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4.xml" ContentType="application/vnd.openxmlformats-officedocument.wordprocessingml.footer+xml"/>
  <Override PartName="/word/header26.xml" ContentType="application/vnd.openxmlformats-officedocument.wordprocessingml.header+xml"/>
  <Override PartName="/word/footer21.xml" ContentType="application/vnd.openxmlformats-officedocument.wordprocessingml.footer+xml"/>
  <Override PartName="/word/footer25.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header9.xml" ContentType="application/vnd.openxmlformats-officedocument.wordprocessingml.header+xml"/>
  <Override PartName="/word/footer10.xml" ContentType="application/vnd.openxmlformats-officedocument.wordprocessingml.footer+xml"/>
  <Override PartName="/word/header10.xml" ContentType="application/vnd.openxmlformats-officedocument.wordprocessingml.header+xml"/>
  <Override PartName="/word/footer11.xml" ContentType="application/vnd.openxmlformats-officedocument.wordprocessingml.footer+xml"/>
  <Override PartName="/word/header11.xml" ContentType="application/vnd.openxmlformats-officedocument.wordprocessingml.header+xml"/>
  <Override PartName="/word/footer12.xml" ContentType="application/vnd.openxmlformats-officedocument.wordprocessingml.footer+xml"/>
  <Override PartName="/word/header12.xml" ContentType="application/vnd.openxmlformats-officedocument.wordprocessingml.header+xml"/>
  <Override PartName="/word/footer13.xml" ContentType="application/vnd.openxmlformats-officedocument.wordprocessingml.footer+xml"/>
  <Override PartName="/word/header13.xml" ContentType="application/vnd.openxmlformats-officedocument.wordprocessingml.header+xml"/>
  <Override PartName="/word/footer14.xml" ContentType="application/vnd.openxmlformats-officedocument.wordprocessingml.footer+xml"/>
  <Override PartName="/word/header14.xml" ContentType="application/vnd.openxmlformats-officedocument.wordprocessingml.header+xml"/>
  <Override PartName="/word/footer15.xml" ContentType="application/vnd.openxmlformats-officedocument.wordprocessingml.footer+xml"/>
  <Override PartName="/word/header15.xml" ContentType="application/vnd.openxmlformats-officedocument.wordprocessingml.header+xml"/>
  <Override PartName="/word/footer16.xml" ContentType="application/vnd.openxmlformats-officedocument.wordprocessingml.footer+xml"/>
  <Override PartName="/word/header16.xml" ContentType="application/vnd.openxmlformats-officedocument.wordprocessingml.header+xml"/>
  <Override PartName="/word/footer17.xml" ContentType="application/vnd.openxmlformats-officedocument.wordprocessingml.footer+xml"/>
  <Override PartName="/word/header17.xml" ContentType="application/vnd.openxmlformats-officedocument.wordprocessingml.header+xml"/>
  <Override PartName="/word/footer18.xml" ContentType="application/vnd.openxmlformats-officedocument.wordprocessingml.footer+xml"/>
  <Override PartName="/word/header18.xml" ContentType="application/vnd.openxmlformats-officedocument.wordprocessingml.header+xml"/>
  <Override PartName="/word/footer19.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20.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header24.xml" ContentType="application/vnd.openxmlformats-officedocument.wordprocessingml.header+xml"/>
  <Override PartName="/word/footer23.xml" ContentType="application/vnd.openxmlformats-officedocument.wordprocessingml.footer+xml"/>
  <Override PartName="/word/header25.xml" ContentType="application/vnd.openxmlformats-officedocument.wordprocessingml.head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webSettings.xml" ContentType="application/vnd.openxmlformats-officedocument.wordprocessingml.webSetting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0E1623" w:rsidP="009A68C6" w:rsidRDefault="000E1623" w14:paraId="52571722" w14:textId="1DE183B6">
      <w:pPr>
        <w:pStyle w:val="zGTitle14"/>
      </w:pPr>
    </w:p>
    <w:p w:rsidR="000E1623" w:rsidP="009A68C6" w:rsidRDefault="000E1623" w14:paraId="28CEE250" w14:textId="77777777">
      <w:pPr>
        <w:pStyle w:val="zGTitle14"/>
      </w:pPr>
    </w:p>
    <w:p w:rsidR="000E1623" w:rsidP="009A68C6" w:rsidRDefault="000E1623" w14:paraId="7F67E6F6" w14:textId="77777777">
      <w:pPr>
        <w:pStyle w:val="zGTitle14"/>
      </w:pPr>
    </w:p>
    <w:p w:rsidR="000E1623" w:rsidP="009A68C6" w:rsidRDefault="000E1623" w14:paraId="05BEF900" w14:textId="77777777">
      <w:pPr>
        <w:pStyle w:val="zGTitle14"/>
      </w:pPr>
    </w:p>
    <w:p w:rsidRPr="00F10071" w:rsidR="009C5DEF" w:rsidP="009A68C6" w:rsidRDefault="00117210" w14:paraId="5A577189" w14:textId="7BF87575">
      <w:pPr>
        <w:pStyle w:val="zGTitle14"/>
      </w:pPr>
      <w:r>
        <w:t>Pro Forma Power Purchase Agreement for</w:t>
      </w:r>
    </w:p>
    <w:p w:rsidR="004C75A7" w:rsidP="008A2087" w:rsidRDefault="00527F9E" w14:paraId="10E68D0B" w14:textId="2688C134">
      <w:pPr>
        <w:pStyle w:val="zGTitle14"/>
      </w:pPr>
      <w:r>
        <w:t xml:space="preserve">Firm Capacity, Firm Energy, and Ancillary Services from a </w:t>
      </w:r>
    </w:p>
    <w:p w:rsidRPr="00F10071" w:rsidR="009C5DEF" w:rsidP="008A2087" w:rsidRDefault="0075658C" w14:paraId="67AB76EC" w14:textId="288EFF58">
      <w:pPr>
        <w:pStyle w:val="zGTitle14"/>
      </w:pPr>
      <w:r>
        <w:t>Combined Cycle Facility</w:t>
      </w:r>
    </w:p>
    <w:p w:rsidR="006D1DFB" w:rsidP="006D1DFB" w:rsidRDefault="001E2208" w14:paraId="348E97AE" w14:textId="16AE784E">
      <w:pPr>
        <w:pStyle w:val="zGTitle14"/>
      </w:pPr>
      <w:r>
        <w:t xml:space="preserve">for 2026 All-Source Capacity Request for Proposals for Need Years 2032–2033 </w:t>
      </w:r>
    </w:p>
    <w:p w:rsidRPr="00F10071" w:rsidR="009C5DEF" w:rsidP="00F655A7" w:rsidRDefault="00527F9E" w14:paraId="2F037B39" w14:textId="70FBE212">
      <w:pPr>
        <w:pStyle w:val="zGTitle14"/>
      </w:pPr>
      <w:r>
        <w:t>between</w:t>
      </w:r>
    </w:p>
    <w:p w:rsidRPr="00F10071" w:rsidR="009C5DEF" w:rsidP="008A2087" w:rsidRDefault="00527F9E" w14:paraId="339B0B28" w14:textId="0A1CC16E">
      <w:pPr>
        <w:pStyle w:val="zGTitle14"/>
      </w:pPr>
      <w:r>
        <w:t>Georgia Power Company</w:t>
      </w:r>
    </w:p>
    <w:p w:rsidRPr="00F10071" w:rsidR="009C5DEF" w:rsidP="008A2087" w:rsidRDefault="00527F9E" w14:paraId="5E07C204" w14:textId="0C355A3A">
      <w:pPr>
        <w:pStyle w:val="zGTitle14"/>
      </w:pPr>
      <w:r>
        <w:t>and</w:t>
      </w:r>
    </w:p>
    <w:p w:rsidRPr="00FD55F2" w:rsidR="00441786" w:rsidP="008A2087" w:rsidRDefault="00843BAF" w14:paraId="2793F650" w14:textId="7F455ECC">
      <w:pPr>
        <w:pStyle w:val="zGTitle14"/>
        <w:rPr>
          <w:iCs/>
        </w:rPr>
      </w:pPr>
      <w:r>
        <w:rPr>
          <w:color w:val="000000" w:themeColor="text1"/>
          <w:highlight w:val="yellow"/>
        </w:rPr>
        <w:t>#SellerLegalName#</w:t>
      </w:r>
      <w:r>
        <w:rPr>
          <w:bCs/>
          <w:i/>
          <w:caps/>
        </w:rPr>
        <w:t xml:space="preserve"> </w:t>
      </w:r>
    </w:p>
    <w:p w:rsidR="00305396" w:rsidP="19136CBD" w:rsidRDefault="00305396" w14:paraId="7EE09CD6" w14:textId="391393B7">
      <w:pPr>
        <w:suppressAutoHyphens/>
        <w:spacing w:after="720"/>
        <w:jc w:val="center"/>
        <w:outlineLvl w:val="0"/>
        <w:rPr>
          <w:rFonts w:cs="Arial"/>
        </w:rPr>
      </w:pPr>
    </w:p>
    <w:p w:rsidR="19136CBD" w:rsidP="19136CBD" w:rsidRDefault="19136CBD" w14:paraId="7A3484E0" w14:textId="764EF3B5">
      <w:pPr>
        <w:spacing w:after="720"/>
        <w:jc w:val="center"/>
        <w:outlineLvl w:val="0"/>
        <w:rPr>
          <w:rFonts w:cs="Arial"/>
        </w:rPr>
      </w:pPr>
    </w:p>
    <w:p w:rsidR="005B34C3" w:rsidP="00305396" w:rsidRDefault="005B34C3" w14:paraId="6E7E4928" w14:textId="77777777">
      <w:pPr>
        <w:suppressAutoHyphens/>
        <w:spacing w:after="720"/>
        <w:outlineLvl w:val="0"/>
        <w:rPr>
          <w:rFonts w:cs="Arial"/>
        </w:rPr>
      </w:pPr>
    </w:p>
    <w:p w:rsidR="005B34C3" w:rsidP="00305396" w:rsidRDefault="005B34C3" w14:paraId="20A17C33" w14:textId="77777777">
      <w:pPr>
        <w:suppressAutoHyphens/>
        <w:spacing w:after="720"/>
        <w:outlineLvl w:val="0"/>
        <w:rPr>
          <w:rFonts w:cs="Arial"/>
        </w:rPr>
      </w:pPr>
    </w:p>
    <w:p w:rsidR="005B34C3" w:rsidP="00305396" w:rsidRDefault="005B34C3" w14:paraId="57447D86" w14:textId="77777777">
      <w:pPr>
        <w:suppressAutoHyphens/>
        <w:spacing w:after="720"/>
        <w:outlineLvl w:val="0"/>
        <w:rPr>
          <w:rFonts w:cs="Arial"/>
        </w:rPr>
      </w:pPr>
    </w:p>
    <w:p w:rsidR="00DE665E" w:rsidP="00305396" w:rsidRDefault="00DE665E" w14:paraId="2C8F4987" w14:textId="77777777">
      <w:pPr>
        <w:suppressAutoHyphens/>
        <w:spacing w:after="720"/>
        <w:outlineLvl w:val="0"/>
        <w:rPr>
          <w:rFonts w:cs="Arial"/>
        </w:rPr>
      </w:pPr>
    </w:p>
    <w:p w:rsidR="00730AA3" w:rsidP="00305396" w:rsidRDefault="00730AA3" w14:paraId="097D48F0" w14:textId="77777777">
      <w:pPr>
        <w:suppressAutoHyphens/>
        <w:spacing w:after="720"/>
        <w:outlineLvl w:val="0"/>
        <w:rPr>
          <w:rFonts w:cs="Arial"/>
        </w:rPr>
      </w:pPr>
    </w:p>
    <w:p w:rsidR="00305396" w:rsidP="00305396" w:rsidRDefault="00305396" w14:paraId="6E6A082F" w14:textId="7BB611E4">
      <w:pPr>
        <w:suppressAutoHyphens/>
        <w:spacing w:after="720"/>
        <w:outlineLvl w:val="0"/>
        <w:rPr>
          <w:rFonts w:cs="Arial"/>
        </w:rPr>
      </w:pPr>
      <w:r>
        <w:rPr>
          <w:i/>
          <w:noProof/>
        </w:rPr>
        <w:t>This agreement contains confidential information for use by Georgia Power Company, Seller, or their Affiliates only; do not disclose, copy, or scan for any other purpose, except to the extent required by law or allowed by contract.</w:t>
      </w:r>
    </w:p>
    <w:p w:rsidRPr="00F10071" w:rsidR="00305396" w:rsidP="00305396" w:rsidRDefault="00305396" w14:paraId="7AFC6B4A" w14:textId="213EBCE0">
      <w:pPr>
        <w:suppressAutoHyphens/>
        <w:spacing w:after="720"/>
        <w:jc w:val="left"/>
        <w:outlineLvl w:val="0"/>
        <w:rPr>
          <w:rFonts w:cs="Arial"/>
        </w:rPr>
        <w:sectPr w:rsidRPr="00F10071" w:rsidR="00305396" w:rsidSect="005B310E">
          <w:headerReference w:type="even" r:id="rId9"/>
          <w:headerReference w:type="default" r:id="rId10"/>
          <w:footerReference w:type="even" r:id="rId11"/>
          <w:footerReference w:type="default" r:id="rId12"/>
          <w:headerReference w:type="first" r:id="rId13"/>
          <w:footerReference w:type="first" r:id="rId14"/>
          <w:pgSz w:w="12240" w:h="15840" w:code="1"/>
          <w:pgMar w:top="1080" w:right="1080" w:bottom="936" w:left="1224" w:header="432" w:footer="576" w:gutter="0"/>
          <w:pgNumType w:start="1"/>
          <w:cols w:space="720"/>
          <w:docGrid w:linePitch="360"/>
        </w:sectPr>
      </w:pPr>
    </w:p>
    <w:p w:rsidRPr="00372880" w:rsidR="00500844" w:rsidP="00500844" w:rsidRDefault="00500844" w14:paraId="29FFB2A1" w14:textId="77777777">
      <w:pPr>
        <w:pStyle w:val="zGTitle11"/>
        <w:rPr>
          <w:rFonts w:ascii="Arial Bold" w:hAnsi="Arial Bold"/>
          <w:caps/>
        </w:rPr>
      </w:pPr>
      <w:bookmarkStart w:name="_Toc116571546" w:id="17"/>
      <w:bookmarkStart w:name="_Toc83401224" w:id="18"/>
      <w:bookmarkStart w:name="_Toc83401297" w:id="19"/>
      <w:bookmarkStart w:name="_Toc83401370" w:id="20"/>
      <w:bookmarkStart w:name="_Toc83835562" w:id="21"/>
      <w:bookmarkStart w:name="_Toc90465575" w:id="22"/>
      <w:r w:rsidRPr="00372880">
        <w:rPr>
          <w:rFonts w:ascii="Arial Bold" w:hAnsi="Arial Bold"/>
          <w:caps/>
        </w:rPr>
        <w:lastRenderedPageBreak/>
        <w:t>Table of Contents</w:t>
      </w:r>
    </w:p>
    <w:sdt>
      <w:sdtPr>
        <w:rPr>
          <w:rFonts w:cs="Times New Roman"/>
          <w:b w:val="0"/>
          <w:caps w:val="0"/>
          <w:kern w:val="0"/>
        </w:rPr>
        <w:id w:val="-1443527103"/>
        <w:docPartObj>
          <w:docPartGallery w:val="Table of Contents"/>
          <w:docPartUnique/>
        </w:docPartObj>
      </w:sdtPr>
      <w:sdtEndPr>
        <w:rPr>
          <w:rFonts w:cs="Arial"/>
          <w:b/>
          <w:bCs/>
          <w:caps/>
          <w:noProof/>
          <w:kern w:val="14"/>
        </w:rPr>
      </w:sdtEndPr>
      <w:sdtContent>
        <w:p w:rsidR="00CC5F3E" w:rsidRDefault="00500844" w14:paraId="6E08EAF7" w14:textId="1774F1FD">
          <w:pPr>
            <w:pStyle w:val="TOC1"/>
            <w:rPr>
              <w:rFonts w:asciiTheme="minorHAnsi" w:hAnsiTheme="minorHAnsi" w:eastAsiaTheme="minorEastAsia" w:cstheme="minorBidi"/>
              <w:b w:val="0"/>
              <w:caps w:val="0"/>
              <w:noProof/>
              <w:kern w:val="2"/>
              <w:sz w:val="24"/>
              <w:szCs w:val="24"/>
              <w14:ligatures w14:val="standardContextual"/>
            </w:rPr>
          </w:pPr>
          <w:r w:rsidRPr="000247F7">
            <w:fldChar w:fldCharType="begin"/>
          </w:r>
          <w:r w:rsidRPr="000247F7">
            <w:instrText xml:space="preserve"> TOC \h \z \t "zGTC01,1,zGTC02,2,zGBody 1,1,zGBody 2,2,zGTitleExhibit,1" </w:instrText>
          </w:r>
          <w:r w:rsidRPr="000247F7">
            <w:fldChar w:fldCharType="separate"/>
          </w:r>
          <w:hyperlink w:history="1" w:anchor="_Toc227840642">
            <w:r w:rsidRPr="00CF704D" w:rsidR="00CC5F3E">
              <w:rPr>
                <w:rStyle w:val="Hyperlink"/>
                <w:noProof/>
              </w:rPr>
              <w:t>Schedule of Defined Terms</w:t>
            </w:r>
            <w:r w:rsidR="00CC5F3E">
              <w:rPr>
                <w:noProof/>
                <w:webHidden/>
              </w:rPr>
              <w:tab/>
            </w:r>
            <w:r w:rsidR="00CC5F3E">
              <w:rPr>
                <w:noProof/>
                <w:webHidden/>
              </w:rPr>
              <w:fldChar w:fldCharType="begin"/>
            </w:r>
            <w:r w:rsidR="00CC5F3E">
              <w:rPr>
                <w:noProof/>
                <w:webHidden/>
              </w:rPr>
              <w:instrText xml:space="preserve"> PAGEREF _Toc227840642 \h </w:instrText>
            </w:r>
            <w:r w:rsidR="00CC5F3E">
              <w:rPr>
                <w:noProof/>
                <w:webHidden/>
              </w:rPr>
            </w:r>
            <w:r w:rsidR="00CC5F3E">
              <w:rPr>
                <w:noProof/>
                <w:webHidden/>
              </w:rPr>
              <w:fldChar w:fldCharType="separate"/>
            </w:r>
            <w:r w:rsidR="00CC5F3E">
              <w:rPr>
                <w:noProof/>
                <w:webHidden/>
              </w:rPr>
              <w:t>5</w:t>
            </w:r>
            <w:r w:rsidR="00CC5F3E">
              <w:rPr>
                <w:noProof/>
                <w:webHidden/>
              </w:rPr>
              <w:fldChar w:fldCharType="end"/>
            </w:r>
          </w:hyperlink>
        </w:p>
        <w:p w:rsidR="00CC5F3E" w:rsidRDefault="00CC5F3E" w14:paraId="672B0661" w14:textId="118D727E">
          <w:pPr>
            <w:pStyle w:val="TOC1"/>
            <w:rPr>
              <w:rFonts w:asciiTheme="minorHAnsi" w:hAnsiTheme="minorHAnsi" w:eastAsiaTheme="minorEastAsia" w:cstheme="minorBidi"/>
              <w:b w:val="0"/>
              <w:caps w:val="0"/>
              <w:noProof/>
              <w:kern w:val="2"/>
              <w:sz w:val="24"/>
              <w:szCs w:val="24"/>
              <w14:ligatures w14:val="standardContextual"/>
            </w:rPr>
          </w:pPr>
          <w:hyperlink w:history="1" w:anchor="_Toc227840643">
            <w:r w:rsidRPr="00CF704D">
              <w:rPr>
                <w:rStyle w:val="Hyperlink"/>
                <w:noProof/>
                <w14:scene3d>
                  <w14:camera w14:prst="orthographicFront"/>
                  <w14:lightRig w14:rig="threePt" w14:dir="t">
                    <w14:rot w14:lat="0" w14:lon="0" w14:rev="0"/>
                  </w14:lightRig>
                </w14:scene3d>
                <w14:props3d w14:extrusionH="0" w14:contourW="0" w14:prstMaterial="warmMatte"/>
              </w:rPr>
              <w:t>Part 1.</w:t>
            </w:r>
            <w:r>
              <w:rPr>
                <w:rFonts w:asciiTheme="minorHAnsi" w:hAnsiTheme="minorHAnsi" w:eastAsiaTheme="minorEastAsia" w:cstheme="minorBidi"/>
                <w:b w:val="0"/>
                <w:caps w:val="0"/>
                <w:noProof/>
                <w:kern w:val="2"/>
                <w:sz w:val="24"/>
                <w:szCs w:val="24"/>
                <w14:ligatures w14:val="standardContextual"/>
              </w:rPr>
              <w:tab/>
            </w:r>
            <w:r w:rsidRPr="00CF704D">
              <w:rPr>
                <w:rStyle w:val="Hyperlink"/>
                <w:noProof/>
              </w:rPr>
              <w:t>Term of Agreement</w:t>
            </w:r>
            <w:r>
              <w:rPr>
                <w:noProof/>
                <w:webHidden/>
              </w:rPr>
              <w:tab/>
            </w:r>
            <w:r>
              <w:rPr>
                <w:noProof/>
                <w:webHidden/>
              </w:rPr>
              <w:fldChar w:fldCharType="begin"/>
            </w:r>
            <w:r>
              <w:rPr>
                <w:noProof/>
                <w:webHidden/>
              </w:rPr>
              <w:instrText xml:space="preserve"> PAGEREF _Toc227840643 \h </w:instrText>
            </w:r>
            <w:r>
              <w:rPr>
                <w:noProof/>
                <w:webHidden/>
              </w:rPr>
            </w:r>
            <w:r>
              <w:rPr>
                <w:noProof/>
                <w:webHidden/>
              </w:rPr>
              <w:fldChar w:fldCharType="separate"/>
            </w:r>
            <w:r>
              <w:rPr>
                <w:noProof/>
                <w:webHidden/>
              </w:rPr>
              <w:t>22</w:t>
            </w:r>
            <w:r>
              <w:rPr>
                <w:noProof/>
                <w:webHidden/>
              </w:rPr>
              <w:fldChar w:fldCharType="end"/>
            </w:r>
          </w:hyperlink>
        </w:p>
        <w:p w:rsidR="00CC5F3E" w:rsidRDefault="00CC5F3E" w14:paraId="78A0B2CB" w14:textId="67875BB3">
          <w:pPr>
            <w:pStyle w:val="TOC2"/>
            <w:rPr>
              <w:rFonts w:asciiTheme="minorHAnsi" w:hAnsiTheme="minorHAnsi" w:eastAsiaTheme="minorEastAsia" w:cstheme="minorBidi"/>
              <w:noProof/>
              <w:kern w:val="2"/>
              <w:sz w:val="24"/>
              <w:szCs w:val="24"/>
              <w14:ligatures w14:val="standardContextual"/>
            </w:rPr>
          </w:pPr>
          <w:hyperlink w:history="1" w:anchor="_Toc227840644">
            <w:r w:rsidRPr="00CF704D">
              <w:rPr>
                <w:rStyle w:val="Hyperlink"/>
                <w:rFonts w:eastAsia="PMingLiU" w:cs="Arial"/>
                <w:caps/>
                <w:noProof/>
                <w:specVanish/>
              </w:rPr>
              <w:t>1.1</w:t>
            </w:r>
            <w:r>
              <w:rPr>
                <w:rFonts w:asciiTheme="minorHAnsi" w:hAnsiTheme="minorHAnsi" w:eastAsiaTheme="minorEastAsia" w:cstheme="minorBidi"/>
                <w:noProof/>
                <w:kern w:val="2"/>
                <w:sz w:val="24"/>
                <w:szCs w:val="24"/>
                <w14:ligatures w14:val="standardContextual"/>
              </w:rPr>
              <w:tab/>
            </w:r>
            <w:r w:rsidRPr="00CF704D">
              <w:rPr>
                <w:rStyle w:val="Hyperlink"/>
                <w:rFonts w:cs="Arial"/>
                <w:noProof/>
              </w:rPr>
              <w:t>Term.</w:t>
            </w:r>
            <w:r>
              <w:rPr>
                <w:noProof/>
                <w:webHidden/>
              </w:rPr>
              <w:tab/>
            </w:r>
            <w:r>
              <w:rPr>
                <w:noProof/>
                <w:webHidden/>
              </w:rPr>
              <w:fldChar w:fldCharType="begin"/>
            </w:r>
            <w:r>
              <w:rPr>
                <w:noProof/>
                <w:webHidden/>
              </w:rPr>
              <w:instrText xml:space="preserve"> PAGEREF _Toc227840644 \h </w:instrText>
            </w:r>
            <w:r>
              <w:rPr>
                <w:noProof/>
                <w:webHidden/>
              </w:rPr>
            </w:r>
            <w:r>
              <w:rPr>
                <w:noProof/>
                <w:webHidden/>
              </w:rPr>
              <w:fldChar w:fldCharType="separate"/>
            </w:r>
            <w:r>
              <w:rPr>
                <w:noProof/>
                <w:webHidden/>
              </w:rPr>
              <w:t>22</w:t>
            </w:r>
            <w:r>
              <w:rPr>
                <w:noProof/>
                <w:webHidden/>
              </w:rPr>
              <w:fldChar w:fldCharType="end"/>
            </w:r>
          </w:hyperlink>
        </w:p>
        <w:p w:rsidR="00CC5F3E" w:rsidRDefault="00CC5F3E" w14:paraId="47F803BE" w14:textId="791EFF1C">
          <w:pPr>
            <w:pStyle w:val="TOC2"/>
            <w:rPr>
              <w:rFonts w:asciiTheme="minorHAnsi" w:hAnsiTheme="minorHAnsi" w:eastAsiaTheme="minorEastAsia" w:cstheme="minorBidi"/>
              <w:noProof/>
              <w:kern w:val="2"/>
              <w:sz w:val="24"/>
              <w:szCs w:val="24"/>
              <w14:ligatures w14:val="standardContextual"/>
            </w:rPr>
          </w:pPr>
          <w:hyperlink w:history="1" w:anchor="_Toc227840645">
            <w:r w:rsidRPr="00CF704D">
              <w:rPr>
                <w:rStyle w:val="Hyperlink"/>
                <w:rFonts w:eastAsia="PMingLiU" w:cs="Arial"/>
                <w:caps/>
                <w:noProof/>
                <w:specVanish/>
              </w:rPr>
              <w:t>1.2</w:t>
            </w:r>
            <w:r>
              <w:rPr>
                <w:rFonts w:asciiTheme="minorHAnsi" w:hAnsiTheme="minorHAnsi" w:eastAsiaTheme="minorEastAsia" w:cstheme="minorBidi"/>
                <w:noProof/>
                <w:kern w:val="2"/>
                <w:sz w:val="24"/>
                <w:szCs w:val="24"/>
                <w14:ligatures w14:val="standardContextual"/>
              </w:rPr>
              <w:tab/>
            </w:r>
            <w:r w:rsidRPr="00CF704D">
              <w:rPr>
                <w:rStyle w:val="Hyperlink"/>
                <w:rFonts w:cs="Arial"/>
                <w:noProof/>
              </w:rPr>
              <w:t>Survival.</w:t>
            </w:r>
            <w:r>
              <w:rPr>
                <w:noProof/>
                <w:webHidden/>
              </w:rPr>
              <w:tab/>
            </w:r>
            <w:r>
              <w:rPr>
                <w:noProof/>
                <w:webHidden/>
              </w:rPr>
              <w:fldChar w:fldCharType="begin"/>
            </w:r>
            <w:r>
              <w:rPr>
                <w:noProof/>
                <w:webHidden/>
              </w:rPr>
              <w:instrText xml:space="preserve"> PAGEREF _Toc227840645 \h </w:instrText>
            </w:r>
            <w:r>
              <w:rPr>
                <w:noProof/>
                <w:webHidden/>
              </w:rPr>
            </w:r>
            <w:r>
              <w:rPr>
                <w:noProof/>
                <w:webHidden/>
              </w:rPr>
              <w:fldChar w:fldCharType="separate"/>
            </w:r>
            <w:r>
              <w:rPr>
                <w:noProof/>
                <w:webHidden/>
              </w:rPr>
              <w:t>22</w:t>
            </w:r>
            <w:r>
              <w:rPr>
                <w:noProof/>
                <w:webHidden/>
              </w:rPr>
              <w:fldChar w:fldCharType="end"/>
            </w:r>
          </w:hyperlink>
        </w:p>
        <w:p w:rsidR="00CC5F3E" w:rsidRDefault="00CC5F3E" w14:paraId="10B45C61" w14:textId="396860BF">
          <w:pPr>
            <w:pStyle w:val="TOC2"/>
            <w:rPr>
              <w:rFonts w:asciiTheme="minorHAnsi" w:hAnsiTheme="minorHAnsi" w:eastAsiaTheme="minorEastAsia" w:cstheme="minorBidi"/>
              <w:noProof/>
              <w:kern w:val="2"/>
              <w:sz w:val="24"/>
              <w:szCs w:val="24"/>
              <w14:ligatures w14:val="standardContextual"/>
            </w:rPr>
          </w:pPr>
          <w:hyperlink w:history="1" w:anchor="_Toc227840646">
            <w:r w:rsidRPr="00CF704D">
              <w:rPr>
                <w:rStyle w:val="Hyperlink"/>
                <w:rFonts w:eastAsia="PMingLiU" w:cs="Arial"/>
                <w:caps/>
                <w:noProof/>
                <w:specVanish/>
              </w:rPr>
              <w:t>1.3</w:t>
            </w:r>
            <w:r>
              <w:rPr>
                <w:rFonts w:asciiTheme="minorHAnsi" w:hAnsiTheme="minorHAnsi" w:eastAsiaTheme="minorEastAsia" w:cstheme="minorBidi"/>
                <w:noProof/>
                <w:kern w:val="2"/>
                <w:sz w:val="24"/>
                <w:szCs w:val="24"/>
                <w14:ligatures w14:val="standardContextual"/>
              </w:rPr>
              <w:tab/>
            </w:r>
            <w:r w:rsidRPr="00CF704D">
              <w:rPr>
                <w:rStyle w:val="Hyperlink"/>
                <w:rFonts w:cs="Arial"/>
                <w:noProof/>
              </w:rPr>
              <w:t>Conditions Subsequent.</w:t>
            </w:r>
            <w:r>
              <w:rPr>
                <w:noProof/>
                <w:webHidden/>
              </w:rPr>
              <w:tab/>
            </w:r>
            <w:r>
              <w:rPr>
                <w:noProof/>
                <w:webHidden/>
              </w:rPr>
              <w:fldChar w:fldCharType="begin"/>
            </w:r>
            <w:r>
              <w:rPr>
                <w:noProof/>
                <w:webHidden/>
              </w:rPr>
              <w:instrText xml:space="preserve"> PAGEREF _Toc227840646 \h </w:instrText>
            </w:r>
            <w:r>
              <w:rPr>
                <w:noProof/>
                <w:webHidden/>
              </w:rPr>
            </w:r>
            <w:r>
              <w:rPr>
                <w:noProof/>
                <w:webHidden/>
              </w:rPr>
              <w:fldChar w:fldCharType="separate"/>
            </w:r>
            <w:r>
              <w:rPr>
                <w:noProof/>
                <w:webHidden/>
              </w:rPr>
              <w:t>22</w:t>
            </w:r>
            <w:r>
              <w:rPr>
                <w:noProof/>
                <w:webHidden/>
              </w:rPr>
              <w:fldChar w:fldCharType="end"/>
            </w:r>
          </w:hyperlink>
        </w:p>
        <w:p w:rsidR="00CC5F3E" w:rsidRDefault="00CC5F3E" w14:paraId="7248AC3C" w14:textId="5F88DEED">
          <w:pPr>
            <w:pStyle w:val="TOC1"/>
            <w:rPr>
              <w:rFonts w:asciiTheme="minorHAnsi" w:hAnsiTheme="minorHAnsi" w:eastAsiaTheme="minorEastAsia" w:cstheme="minorBidi"/>
              <w:b w:val="0"/>
              <w:caps w:val="0"/>
              <w:noProof/>
              <w:kern w:val="2"/>
              <w:sz w:val="24"/>
              <w:szCs w:val="24"/>
              <w14:ligatures w14:val="standardContextual"/>
            </w:rPr>
          </w:pPr>
          <w:hyperlink w:history="1" w:anchor="_Toc227840647">
            <w:r w:rsidRPr="00CF704D">
              <w:rPr>
                <w:rStyle w:val="Hyperlink"/>
                <w:noProof/>
                <w14:scene3d>
                  <w14:camera w14:prst="orthographicFront"/>
                  <w14:lightRig w14:rig="threePt" w14:dir="t">
                    <w14:rot w14:lat="0" w14:lon="0" w14:rev="0"/>
                  </w14:lightRig>
                </w14:scene3d>
                <w14:props3d w14:extrusionH="0" w14:contourW="0" w14:prstMaterial="warmMatte"/>
              </w:rPr>
              <w:t>Part 2.</w:t>
            </w:r>
            <w:r>
              <w:rPr>
                <w:rFonts w:asciiTheme="minorHAnsi" w:hAnsiTheme="minorHAnsi" w:eastAsiaTheme="minorEastAsia" w:cstheme="minorBidi"/>
                <w:b w:val="0"/>
                <w:caps w:val="0"/>
                <w:noProof/>
                <w:kern w:val="2"/>
                <w:sz w:val="24"/>
                <w:szCs w:val="24"/>
                <w14:ligatures w14:val="standardContextual"/>
              </w:rPr>
              <w:tab/>
            </w:r>
            <w:r w:rsidRPr="00CF704D">
              <w:rPr>
                <w:rStyle w:val="Hyperlink"/>
                <w:noProof/>
              </w:rPr>
              <w:t>Representations, Warranties, and Covenants</w:t>
            </w:r>
            <w:r>
              <w:rPr>
                <w:noProof/>
                <w:webHidden/>
              </w:rPr>
              <w:tab/>
            </w:r>
            <w:r>
              <w:rPr>
                <w:noProof/>
                <w:webHidden/>
              </w:rPr>
              <w:fldChar w:fldCharType="begin"/>
            </w:r>
            <w:r>
              <w:rPr>
                <w:noProof/>
                <w:webHidden/>
              </w:rPr>
              <w:instrText xml:space="preserve"> PAGEREF _Toc227840647 \h </w:instrText>
            </w:r>
            <w:r>
              <w:rPr>
                <w:noProof/>
                <w:webHidden/>
              </w:rPr>
            </w:r>
            <w:r>
              <w:rPr>
                <w:noProof/>
                <w:webHidden/>
              </w:rPr>
              <w:fldChar w:fldCharType="separate"/>
            </w:r>
            <w:r>
              <w:rPr>
                <w:noProof/>
                <w:webHidden/>
              </w:rPr>
              <w:t>24</w:t>
            </w:r>
            <w:r>
              <w:rPr>
                <w:noProof/>
                <w:webHidden/>
              </w:rPr>
              <w:fldChar w:fldCharType="end"/>
            </w:r>
          </w:hyperlink>
        </w:p>
        <w:p w:rsidR="00CC5F3E" w:rsidRDefault="00CC5F3E" w14:paraId="69046012" w14:textId="5D063C2A">
          <w:pPr>
            <w:pStyle w:val="TOC2"/>
            <w:rPr>
              <w:rFonts w:asciiTheme="minorHAnsi" w:hAnsiTheme="minorHAnsi" w:eastAsiaTheme="minorEastAsia" w:cstheme="minorBidi"/>
              <w:noProof/>
              <w:kern w:val="2"/>
              <w:sz w:val="24"/>
              <w:szCs w:val="24"/>
              <w14:ligatures w14:val="standardContextual"/>
            </w:rPr>
          </w:pPr>
          <w:hyperlink w:history="1" w:anchor="_Toc227840648">
            <w:r w:rsidRPr="00CF704D">
              <w:rPr>
                <w:rStyle w:val="Hyperlink"/>
                <w:rFonts w:eastAsia="PMingLiU" w:cs="Arial"/>
                <w:caps/>
                <w:noProof/>
                <w:specVanish/>
              </w:rPr>
              <w:t>2.1</w:t>
            </w:r>
            <w:r>
              <w:rPr>
                <w:rFonts w:asciiTheme="minorHAnsi" w:hAnsiTheme="minorHAnsi" w:eastAsiaTheme="minorEastAsia" w:cstheme="minorBidi"/>
                <w:noProof/>
                <w:kern w:val="2"/>
                <w:sz w:val="24"/>
                <w:szCs w:val="24"/>
                <w14:ligatures w14:val="standardContextual"/>
              </w:rPr>
              <w:tab/>
            </w:r>
            <w:r w:rsidRPr="00CF704D">
              <w:rPr>
                <w:rStyle w:val="Hyperlink"/>
                <w:rFonts w:cs="Arial"/>
                <w:noProof/>
              </w:rPr>
              <w:t>Seller Representations, Warranties, and Covenants.</w:t>
            </w:r>
            <w:r>
              <w:rPr>
                <w:noProof/>
                <w:webHidden/>
              </w:rPr>
              <w:tab/>
            </w:r>
            <w:r>
              <w:rPr>
                <w:noProof/>
                <w:webHidden/>
              </w:rPr>
              <w:fldChar w:fldCharType="begin"/>
            </w:r>
            <w:r>
              <w:rPr>
                <w:noProof/>
                <w:webHidden/>
              </w:rPr>
              <w:instrText xml:space="preserve"> PAGEREF _Toc227840648 \h </w:instrText>
            </w:r>
            <w:r>
              <w:rPr>
                <w:noProof/>
                <w:webHidden/>
              </w:rPr>
            </w:r>
            <w:r>
              <w:rPr>
                <w:noProof/>
                <w:webHidden/>
              </w:rPr>
              <w:fldChar w:fldCharType="separate"/>
            </w:r>
            <w:r>
              <w:rPr>
                <w:noProof/>
                <w:webHidden/>
              </w:rPr>
              <w:t>24</w:t>
            </w:r>
            <w:r>
              <w:rPr>
                <w:noProof/>
                <w:webHidden/>
              </w:rPr>
              <w:fldChar w:fldCharType="end"/>
            </w:r>
          </w:hyperlink>
        </w:p>
        <w:p w:rsidR="00CC5F3E" w:rsidRDefault="00CC5F3E" w14:paraId="67E6907E" w14:textId="32A84741">
          <w:pPr>
            <w:pStyle w:val="TOC2"/>
            <w:rPr>
              <w:rFonts w:asciiTheme="minorHAnsi" w:hAnsiTheme="minorHAnsi" w:eastAsiaTheme="minorEastAsia" w:cstheme="minorBidi"/>
              <w:noProof/>
              <w:kern w:val="2"/>
              <w:sz w:val="24"/>
              <w:szCs w:val="24"/>
              <w14:ligatures w14:val="standardContextual"/>
            </w:rPr>
          </w:pPr>
          <w:hyperlink w:history="1" w:anchor="_Toc227840649">
            <w:r w:rsidRPr="00CF704D">
              <w:rPr>
                <w:rStyle w:val="Hyperlink"/>
                <w:rFonts w:eastAsia="PMingLiU" w:cs="Arial"/>
                <w:caps/>
                <w:noProof/>
                <w:specVanish/>
              </w:rPr>
              <w:t>2.2</w:t>
            </w:r>
            <w:r>
              <w:rPr>
                <w:rFonts w:asciiTheme="minorHAnsi" w:hAnsiTheme="minorHAnsi" w:eastAsiaTheme="minorEastAsia" w:cstheme="minorBidi"/>
                <w:noProof/>
                <w:kern w:val="2"/>
                <w:sz w:val="24"/>
                <w:szCs w:val="24"/>
                <w14:ligatures w14:val="standardContextual"/>
              </w:rPr>
              <w:tab/>
            </w:r>
            <w:r w:rsidRPr="00CF704D">
              <w:rPr>
                <w:rStyle w:val="Hyperlink"/>
                <w:rFonts w:cs="Arial"/>
                <w:noProof/>
              </w:rPr>
              <w:t>GPC Representations, Warranties, and Covenants.</w:t>
            </w:r>
            <w:r>
              <w:rPr>
                <w:noProof/>
                <w:webHidden/>
              </w:rPr>
              <w:tab/>
            </w:r>
            <w:r>
              <w:rPr>
                <w:noProof/>
                <w:webHidden/>
              </w:rPr>
              <w:fldChar w:fldCharType="begin"/>
            </w:r>
            <w:r>
              <w:rPr>
                <w:noProof/>
                <w:webHidden/>
              </w:rPr>
              <w:instrText xml:space="preserve"> PAGEREF _Toc227840649 \h </w:instrText>
            </w:r>
            <w:r>
              <w:rPr>
                <w:noProof/>
                <w:webHidden/>
              </w:rPr>
            </w:r>
            <w:r>
              <w:rPr>
                <w:noProof/>
                <w:webHidden/>
              </w:rPr>
              <w:fldChar w:fldCharType="separate"/>
            </w:r>
            <w:r>
              <w:rPr>
                <w:noProof/>
                <w:webHidden/>
              </w:rPr>
              <w:t>26</w:t>
            </w:r>
            <w:r>
              <w:rPr>
                <w:noProof/>
                <w:webHidden/>
              </w:rPr>
              <w:fldChar w:fldCharType="end"/>
            </w:r>
          </w:hyperlink>
        </w:p>
        <w:p w:rsidR="00CC5F3E" w:rsidRDefault="00CC5F3E" w14:paraId="13421894" w14:textId="443CFC5F">
          <w:pPr>
            <w:pStyle w:val="TOC1"/>
            <w:rPr>
              <w:rFonts w:asciiTheme="minorHAnsi" w:hAnsiTheme="minorHAnsi" w:eastAsiaTheme="minorEastAsia" w:cstheme="minorBidi"/>
              <w:b w:val="0"/>
              <w:caps w:val="0"/>
              <w:noProof/>
              <w:kern w:val="2"/>
              <w:sz w:val="24"/>
              <w:szCs w:val="24"/>
              <w14:ligatures w14:val="standardContextual"/>
            </w:rPr>
          </w:pPr>
          <w:hyperlink w:history="1" w:anchor="_Toc227840650">
            <w:r w:rsidRPr="00CF704D">
              <w:rPr>
                <w:rStyle w:val="Hyperlink"/>
                <w:noProof/>
                <w14:scene3d>
                  <w14:camera w14:prst="orthographicFront"/>
                  <w14:lightRig w14:rig="threePt" w14:dir="t">
                    <w14:rot w14:lat="0" w14:lon="0" w14:rev="0"/>
                  </w14:lightRig>
                </w14:scene3d>
                <w14:props3d w14:extrusionH="0" w14:contourW="0" w14:prstMaterial="warmMatte"/>
              </w:rPr>
              <w:t>Part 3.</w:t>
            </w:r>
            <w:r>
              <w:rPr>
                <w:rFonts w:asciiTheme="minorHAnsi" w:hAnsiTheme="minorHAnsi" w:eastAsiaTheme="minorEastAsia" w:cstheme="minorBidi"/>
                <w:b w:val="0"/>
                <w:caps w:val="0"/>
                <w:noProof/>
                <w:kern w:val="2"/>
                <w:sz w:val="24"/>
                <w:szCs w:val="24"/>
                <w14:ligatures w14:val="standardContextual"/>
              </w:rPr>
              <w:tab/>
            </w:r>
            <w:r w:rsidRPr="00CF704D">
              <w:rPr>
                <w:rStyle w:val="Hyperlink"/>
                <w:noProof/>
              </w:rPr>
              <w:t>Preservation of Terms; Consents; Taxes</w:t>
            </w:r>
            <w:r>
              <w:rPr>
                <w:noProof/>
                <w:webHidden/>
              </w:rPr>
              <w:tab/>
            </w:r>
            <w:r>
              <w:rPr>
                <w:noProof/>
                <w:webHidden/>
              </w:rPr>
              <w:fldChar w:fldCharType="begin"/>
            </w:r>
            <w:r>
              <w:rPr>
                <w:noProof/>
                <w:webHidden/>
              </w:rPr>
              <w:instrText xml:space="preserve"> PAGEREF _Toc227840650 \h </w:instrText>
            </w:r>
            <w:r>
              <w:rPr>
                <w:noProof/>
                <w:webHidden/>
              </w:rPr>
            </w:r>
            <w:r>
              <w:rPr>
                <w:noProof/>
                <w:webHidden/>
              </w:rPr>
              <w:fldChar w:fldCharType="separate"/>
            </w:r>
            <w:r>
              <w:rPr>
                <w:noProof/>
                <w:webHidden/>
              </w:rPr>
              <w:t>27</w:t>
            </w:r>
            <w:r>
              <w:rPr>
                <w:noProof/>
                <w:webHidden/>
              </w:rPr>
              <w:fldChar w:fldCharType="end"/>
            </w:r>
          </w:hyperlink>
        </w:p>
        <w:p w:rsidR="00CC5F3E" w:rsidRDefault="00CC5F3E" w14:paraId="69B5A155" w14:textId="1534BE9D">
          <w:pPr>
            <w:pStyle w:val="TOC2"/>
            <w:rPr>
              <w:rFonts w:asciiTheme="minorHAnsi" w:hAnsiTheme="minorHAnsi" w:eastAsiaTheme="minorEastAsia" w:cstheme="minorBidi"/>
              <w:noProof/>
              <w:kern w:val="2"/>
              <w:sz w:val="24"/>
              <w:szCs w:val="24"/>
              <w14:ligatures w14:val="standardContextual"/>
            </w:rPr>
          </w:pPr>
          <w:hyperlink w:history="1" w:anchor="_Toc227840651">
            <w:r w:rsidRPr="00CF704D">
              <w:rPr>
                <w:rStyle w:val="Hyperlink"/>
                <w:rFonts w:eastAsia="PMingLiU" w:cs="Arial"/>
                <w:caps/>
                <w:noProof/>
                <w:specVanish/>
              </w:rPr>
              <w:t>3.1</w:t>
            </w:r>
            <w:r>
              <w:rPr>
                <w:rFonts w:asciiTheme="minorHAnsi" w:hAnsiTheme="minorHAnsi" w:eastAsiaTheme="minorEastAsia" w:cstheme="minorBidi"/>
                <w:noProof/>
                <w:kern w:val="2"/>
                <w:sz w:val="24"/>
                <w:szCs w:val="24"/>
                <w14:ligatures w14:val="standardContextual"/>
              </w:rPr>
              <w:tab/>
            </w:r>
            <w:r w:rsidRPr="00CF704D">
              <w:rPr>
                <w:rStyle w:val="Hyperlink"/>
                <w:rFonts w:cs="Arial"/>
                <w:noProof/>
              </w:rPr>
              <w:t>Preservation of Terms.</w:t>
            </w:r>
            <w:r>
              <w:rPr>
                <w:noProof/>
                <w:webHidden/>
              </w:rPr>
              <w:tab/>
            </w:r>
            <w:r>
              <w:rPr>
                <w:noProof/>
                <w:webHidden/>
              </w:rPr>
              <w:fldChar w:fldCharType="begin"/>
            </w:r>
            <w:r>
              <w:rPr>
                <w:noProof/>
                <w:webHidden/>
              </w:rPr>
              <w:instrText xml:space="preserve"> PAGEREF _Toc227840651 \h </w:instrText>
            </w:r>
            <w:r>
              <w:rPr>
                <w:noProof/>
                <w:webHidden/>
              </w:rPr>
            </w:r>
            <w:r>
              <w:rPr>
                <w:noProof/>
                <w:webHidden/>
              </w:rPr>
              <w:fldChar w:fldCharType="separate"/>
            </w:r>
            <w:r>
              <w:rPr>
                <w:noProof/>
                <w:webHidden/>
              </w:rPr>
              <w:t>27</w:t>
            </w:r>
            <w:r>
              <w:rPr>
                <w:noProof/>
                <w:webHidden/>
              </w:rPr>
              <w:fldChar w:fldCharType="end"/>
            </w:r>
          </w:hyperlink>
        </w:p>
        <w:p w:rsidR="00CC5F3E" w:rsidRDefault="00CC5F3E" w14:paraId="77FB233A" w14:textId="33469439">
          <w:pPr>
            <w:pStyle w:val="TOC2"/>
            <w:rPr>
              <w:rFonts w:asciiTheme="minorHAnsi" w:hAnsiTheme="minorHAnsi" w:eastAsiaTheme="minorEastAsia" w:cstheme="minorBidi"/>
              <w:noProof/>
              <w:kern w:val="2"/>
              <w:sz w:val="24"/>
              <w:szCs w:val="24"/>
              <w14:ligatures w14:val="standardContextual"/>
            </w:rPr>
          </w:pPr>
          <w:hyperlink w:history="1" w:anchor="_Toc227840652">
            <w:r w:rsidRPr="00CF704D">
              <w:rPr>
                <w:rStyle w:val="Hyperlink"/>
                <w:rFonts w:eastAsia="PMingLiU" w:cs="Arial"/>
                <w:caps/>
                <w:noProof/>
                <w:specVanish/>
              </w:rPr>
              <w:t>3.2</w:t>
            </w:r>
            <w:r>
              <w:rPr>
                <w:rFonts w:asciiTheme="minorHAnsi" w:hAnsiTheme="minorHAnsi" w:eastAsiaTheme="minorEastAsia" w:cstheme="minorBidi"/>
                <w:noProof/>
                <w:kern w:val="2"/>
                <w:sz w:val="24"/>
                <w:szCs w:val="24"/>
                <w14:ligatures w14:val="standardContextual"/>
              </w:rPr>
              <w:tab/>
            </w:r>
            <w:r w:rsidRPr="00CF704D">
              <w:rPr>
                <w:rStyle w:val="Hyperlink"/>
                <w:rFonts w:cs="Arial"/>
                <w:noProof/>
              </w:rPr>
              <w:t>Other Approvals.</w:t>
            </w:r>
            <w:r>
              <w:rPr>
                <w:noProof/>
                <w:webHidden/>
              </w:rPr>
              <w:tab/>
            </w:r>
            <w:r>
              <w:rPr>
                <w:noProof/>
                <w:webHidden/>
              </w:rPr>
              <w:fldChar w:fldCharType="begin"/>
            </w:r>
            <w:r>
              <w:rPr>
                <w:noProof/>
                <w:webHidden/>
              </w:rPr>
              <w:instrText xml:space="preserve"> PAGEREF _Toc227840652 \h </w:instrText>
            </w:r>
            <w:r>
              <w:rPr>
                <w:noProof/>
                <w:webHidden/>
              </w:rPr>
            </w:r>
            <w:r>
              <w:rPr>
                <w:noProof/>
                <w:webHidden/>
              </w:rPr>
              <w:fldChar w:fldCharType="separate"/>
            </w:r>
            <w:r>
              <w:rPr>
                <w:noProof/>
                <w:webHidden/>
              </w:rPr>
              <w:t>27</w:t>
            </w:r>
            <w:r>
              <w:rPr>
                <w:noProof/>
                <w:webHidden/>
              </w:rPr>
              <w:fldChar w:fldCharType="end"/>
            </w:r>
          </w:hyperlink>
        </w:p>
        <w:p w:rsidR="00CC5F3E" w:rsidRDefault="00CC5F3E" w14:paraId="788350BE" w14:textId="699E06D2">
          <w:pPr>
            <w:pStyle w:val="TOC2"/>
            <w:rPr>
              <w:rFonts w:asciiTheme="minorHAnsi" w:hAnsiTheme="minorHAnsi" w:eastAsiaTheme="minorEastAsia" w:cstheme="minorBidi"/>
              <w:noProof/>
              <w:kern w:val="2"/>
              <w:sz w:val="24"/>
              <w:szCs w:val="24"/>
              <w14:ligatures w14:val="standardContextual"/>
            </w:rPr>
          </w:pPr>
          <w:hyperlink w:history="1" w:anchor="_Toc227840653">
            <w:r w:rsidRPr="00CF704D">
              <w:rPr>
                <w:rStyle w:val="Hyperlink"/>
                <w:rFonts w:eastAsia="PMingLiU" w:cs="Arial"/>
                <w:caps/>
                <w:noProof/>
                <w:specVanish/>
              </w:rPr>
              <w:t>3.3</w:t>
            </w:r>
            <w:r>
              <w:rPr>
                <w:rFonts w:asciiTheme="minorHAnsi" w:hAnsiTheme="minorHAnsi" w:eastAsiaTheme="minorEastAsia" w:cstheme="minorBidi"/>
                <w:noProof/>
                <w:kern w:val="2"/>
                <w:sz w:val="24"/>
                <w:szCs w:val="24"/>
                <w14:ligatures w14:val="standardContextual"/>
              </w:rPr>
              <w:tab/>
            </w:r>
            <w:r w:rsidRPr="00CF704D">
              <w:rPr>
                <w:rStyle w:val="Hyperlink"/>
                <w:rFonts w:cs="Arial"/>
                <w:noProof/>
              </w:rPr>
              <w:t>Taxes.</w:t>
            </w:r>
            <w:r>
              <w:rPr>
                <w:noProof/>
                <w:webHidden/>
              </w:rPr>
              <w:tab/>
            </w:r>
            <w:r>
              <w:rPr>
                <w:noProof/>
                <w:webHidden/>
              </w:rPr>
              <w:fldChar w:fldCharType="begin"/>
            </w:r>
            <w:r>
              <w:rPr>
                <w:noProof/>
                <w:webHidden/>
              </w:rPr>
              <w:instrText xml:space="preserve"> PAGEREF _Toc227840653 \h </w:instrText>
            </w:r>
            <w:r>
              <w:rPr>
                <w:noProof/>
                <w:webHidden/>
              </w:rPr>
            </w:r>
            <w:r>
              <w:rPr>
                <w:noProof/>
                <w:webHidden/>
              </w:rPr>
              <w:fldChar w:fldCharType="separate"/>
            </w:r>
            <w:r>
              <w:rPr>
                <w:noProof/>
                <w:webHidden/>
              </w:rPr>
              <w:t>27</w:t>
            </w:r>
            <w:r>
              <w:rPr>
                <w:noProof/>
                <w:webHidden/>
              </w:rPr>
              <w:fldChar w:fldCharType="end"/>
            </w:r>
          </w:hyperlink>
        </w:p>
        <w:p w:rsidR="00CC5F3E" w:rsidRDefault="00CC5F3E" w14:paraId="60BD7FC8" w14:textId="234D9BD4">
          <w:pPr>
            <w:pStyle w:val="TOC1"/>
            <w:rPr>
              <w:rFonts w:asciiTheme="minorHAnsi" w:hAnsiTheme="minorHAnsi" w:eastAsiaTheme="minorEastAsia" w:cstheme="minorBidi"/>
              <w:b w:val="0"/>
              <w:caps w:val="0"/>
              <w:noProof/>
              <w:kern w:val="2"/>
              <w:sz w:val="24"/>
              <w:szCs w:val="24"/>
              <w14:ligatures w14:val="standardContextual"/>
            </w:rPr>
          </w:pPr>
          <w:hyperlink w:history="1" w:anchor="_Toc227840654">
            <w:r w:rsidRPr="00CF704D">
              <w:rPr>
                <w:rStyle w:val="Hyperlink"/>
                <w:noProof/>
                <w14:scene3d>
                  <w14:camera w14:prst="orthographicFront"/>
                  <w14:lightRig w14:rig="threePt" w14:dir="t">
                    <w14:rot w14:lat="0" w14:lon="0" w14:rev="0"/>
                  </w14:lightRig>
                </w14:scene3d>
                <w14:props3d w14:extrusionH="0" w14:contourW="0" w14:prstMaterial="warmMatte"/>
              </w:rPr>
              <w:t>Part 4.</w:t>
            </w:r>
            <w:r>
              <w:rPr>
                <w:rFonts w:asciiTheme="minorHAnsi" w:hAnsiTheme="minorHAnsi" w:eastAsiaTheme="minorEastAsia" w:cstheme="minorBidi"/>
                <w:b w:val="0"/>
                <w:caps w:val="0"/>
                <w:noProof/>
                <w:kern w:val="2"/>
                <w:sz w:val="24"/>
                <w:szCs w:val="24"/>
                <w14:ligatures w14:val="standardContextual"/>
              </w:rPr>
              <w:tab/>
            </w:r>
            <w:r w:rsidRPr="00CF704D">
              <w:rPr>
                <w:rStyle w:val="Hyperlink"/>
                <w:noProof/>
              </w:rPr>
              <w:t>Sale and Delivery of Capacity and Energy</w:t>
            </w:r>
            <w:r>
              <w:rPr>
                <w:noProof/>
                <w:webHidden/>
              </w:rPr>
              <w:tab/>
            </w:r>
            <w:r>
              <w:rPr>
                <w:noProof/>
                <w:webHidden/>
              </w:rPr>
              <w:fldChar w:fldCharType="begin"/>
            </w:r>
            <w:r>
              <w:rPr>
                <w:noProof/>
                <w:webHidden/>
              </w:rPr>
              <w:instrText xml:space="preserve"> PAGEREF _Toc227840654 \h </w:instrText>
            </w:r>
            <w:r>
              <w:rPr>
                <w:noProof/>
                <w:webHidden/>
              </w:rPr>
            </w:r>
            <w:r>
              <w:rPr>
                <w:noProof/>
                <w:webHidden/>
              </w:rPr>
              <w:fldChar w:fldCharType="separate"/>
            </w:r>
            <w:r>
              <w:rPr>
                <w:noProof/>
                <w:webHidden/>
              </w:rPr>
              <w:t>28</w:t>
            </w:r>
            <w:r>
              <w:rPr>
                <w:noProof/>
                <w:webHidden/>
              </w:rPr>
              <w:fldChar w:fldCharType="end"/>
            </w:r>
          </w:hyperlink>
        </w:p>
        <w:p w:rsidR="00CC5F3E" w:rsidRDefault="00CC5F3E" w14:paraId="60DC181C" w14:textId="41AAC270">
          <w:pPr>
            <w:pStyle w:val="TOC2"/>
            <w:rPr>
              <w:rFonts w:asciiTheme="minorHAnsi" w:hAnsiTheme="minorHAnsi" w:eastAsiaTheme="minorEastAsia" w:cstheme="minorBidi"/>
              <w:noProof/>
              <w:kern w:val="2"/>
              <w:sz w:val="24"/>
              <w:szCs w:val="24"/>
              <w14:ligatures w14:val="standardContextual"/>
            </w:rPr>
          </w:pPr>
          <w:hyperlink w:history="1" w:anchor="_Toc227840655">
            <w:r w:rsidRPr="00CF704D">
              <w:rPr>
                <w:rStyle w:val="Hyperlink"/>
                <w:rFonts w:eastAsia="PMingLiU" w:cs="Arial"/>
                <w:caps/>
                <w:noProof/>
                <w:specVanish/>
              </w:rPr>
              <w:t>4.1</w:t>
            </w:r>
            <w:r>
              <w:rPr>
                <w:rFonts w:asciiTheme="minorHAnsi" w:hAnsiTheme="minorHAnsi" w:eastAsiaTheme="minorEastAsia" w:cstheme="minorBidi"/>
                <w:noProof/>
                <w:kern w:val="2"/>
                <w:sz w:val="24"/>
                <w:szCs w:val="24"/>
                <w14:ligatures w14:val="standardContextual"/>
              </w:rPr>
              <w:tab/>
            </w:r>
            <w:r w:rsidRPr="00CF704D">
              <w:rPr>
                <w:rStyle w:val="Hyperlink"/>
                <w:rFonts w:cs="Arial"/>
                <w:noProof/>
              </w:rPr>
              <w:t>Agreement to Sell and Purchase.</w:t>
            </w:r>
            <w:r>
              <w:rPr>
                <w:noProof/>
                <w:webHidden/>
              </w:rPr>
              <w:tab/>
            </w:r>
            <w:r>
              <w:rPr>
                <w:noProof/>
                <w:webHidden/>
              </w:rPr>
              <w:fldChar w:fldCharType="begin"/>
            </w:r>
            <w:r>
              <w:rPr>
                <w:noProof/>
                <w:webHidden/>
              </w:rPr>
              <w:instrText xml:space="preserve"> PAGEREF _Toc227840655 \h </w:instrText>
            </w:r>
            <w:r>
              <w:rPr>
                <w:noProof/>
                <w:webHidden/>
              </w:rPr>
            </w:r>
            <w:r>
              <w:rPr>
                <w:noProof/>
                <w:webHidden/>
              </w:rPr>
              <w:fldChar w:fldCharType="separate"/>
            </w:r>
            <w:r>
              <w:rPr>
                <w:noProof/>
                <w:webHidden/>
              </w:rPr>
              <w:t>28</w:t>
            </w:r>
            <w:r>
              <w:rPr>
                <w:noProof/>
                <w:webHidden/>
              </w:rPr>
              <w:fldChar w:fldCharType="end"/>
            </w:r>
          </w:hyperlink>
        </w:p>
        <w:p w:rsidR="00CC5F3E" w:rsidRDefault="00CC5F3E" w14:paraId="7695DF0F" w14:textId="3A17AEE3">
          <w:pPr>
            <w:pStyle w:val="TOC2"/>
            <w:rPr>
              <w:rFonts w:asciiTheme="minorHAnsi" w:hAnsiTheme="minorHAnsi" w:eastAsiaTheme="minorEastAsia" w:cstheme="minorBidi"/>
              <w:noProof/>
              <w:kern w:val="2"/>
              <w:sz w:val="24"/>
              <w:szCs w:val="24"/>
              <w14:ligatures w14:val="standardContextual"/>
            </w:rPr>
          </w:pPr>
          <w:hyperlink w:history="1" w:anchor="_Toc227840656">
            <w:r w:rsidRPr="00CF704D">
              <w:rPr>
                <w:rStyle w:val="Hyperlink"/>
                <w:rFonts w:eastAsia="PMingLiU" w:cs="Arial"/>
                <w:caps/>
                <w:noProof/>
                <w:specVanish/>
              </w:rPr>
              <w:t>4.2</w:t>
            </w:r>
            <w:r>
              <w:rPr>
                <w:rFonts w:asciiTheme="minorHAnsi" w:hAnsiTheme="minorHAnsi" w:eastAsiaTheme="minorEastAsia" w:cstheme="minorBidi"/>
                <w:noProof/>
                <w:kern w:val="2"/>
                <w:sz w:val="24"/>
                <w:szCs w:val="24"/>
                <w14:ligatures w14:val="standardContextual"/>
              </w:rPr>
              <w:tab/>
            </w:r>
            <w:r w:rsidRPr="00CF704D">
              <w:rPr>
                <w:rStyle w:val="Hyperlink"/>
                <w:rFonts w:cs="Arial"/>
                <w:noProof/>
              </w:rPr>
              <w:t>Calculation of Monthly Capacity Payments.</w:t>
            </w:r>
            <w:r>
              <w:rPr>
                <w:noProof/>
                <w:webHidden/>
              </w:rPr>
              <w:tab/>
            </w:r>
            <w:r>
              <w:rPr>
                <w:noProof/>
                <w:webHidden/>
              </w:rPr>
              <w:fldChar w:fldCharType="begin"/>
            </w:r>
            <w:r>
              <w:rPr>
                <w:noProof/>
                <w:webHidden/>
              </w:rPr>
              <w:instrText xml:space="preserve"> PAGEREF _Toc227840656 \h </w:instrText>
            </w:r>
            <w:r>
              <w:rPr>
                <w:noProof/>
                <w:webHidden/>
              </w:rPr>
            </w:r>
            <w:r>
              <w:rPr>
                <w:noProof/>
                <w:webHidden/>
              </w:rPr>
              <w:fldChar w:fldCharType="separate"/>
            </w:r>
            <w:r>
              <w:rPr>
                <w:noProof/>
                <w:webHidden/>
              </w:rPr>
              <w:t>31</w:t>
            </w:r>
            <w:r>
              <w:rPr>
                <w:noProof/>
                <w:webHidden/>
              </w:rPr>
              <w:fldChar w:fldCharType="end"/>
            </w:r>
          </w:hyperlink>
        </w:p>
        <w:p w:rsidR="00CC5F3E" w:rsidRDefault="00CC5F3E" w14:paraId="6E9B2A13" w14:textId="591E11A5">
          <w:pPr>
            <w:pStyle w:val="TOC2"/>
            <w:rPr>
              <w:rFonts w:asciiTheme="minorHAnsi" w:hAnsiTheme="minorHAnsi" w:eastAsiaTheme="minorEastAsia" w:cstheme="minorBidi"/>
              <w:noProof/>
              <w:kern w:val="2"/>
              <w:sz w:val="24"/>
              <w:szCs w:val="24"/>
              <w14:ligatures w14:val="standardContextual"/>
            </w:rPr>
          </w:pPr>
          <w:hyperlink w:history="1" w:anchor="_Toc227840657">
            <w:r w:rsidRPr="00CF704D">
              <w:rPr>
                <w:rStyle w:val="Hyperlink"/>
                <w:rFonts w:eastAsia="PMingLiU" w:cs="Arial"/>
                <w:caps/>
                <w:noProof/>
                <w:specVanish/>
              </w:rPr>
              <w:t>4.3</w:t>
            </w:r>
            <w:r>
              <w:rPr>
                <w:rFonts w:asciiTheme="minorHAnsi" w:hAnsiTheme="minorHAnsi" w:eastAsiaTheme="minorEastAsia" w:cstheme="minorBidi"/>
                <w:noProof/>
                <w:kern w:val="2"/>
                <w:sz w:val="24"/>
                <w:szCs w:val="24"/>
                <w14:ligatures w14:val="standardContextual"/>
              </w:rPr>
              <w:tab/>
            </w:r>
            <w:r w:rsidRPr="00CF704D">
              <w:rPr>
                <w:rStyle w:val="Hyperlink"/>
                <w:rFonts w:cs="Arial"/>
                <w:noProof/>
              </w:rPr>
              <w:t>Calculation of Monthly Energy Payments.</w:t>
            </w:r>
            <w:r>
              <w:rPr>
                <w:noProof/>
                <w:webHidden/>
              </w:rPr>
              <w:tab/>
            </w:r>
            <w:r>
              <w:rPr>
                <w:noProof/>
                <w:webHidden/>
              </w:rPr>
              <w:fldChar w:fldCharType="begin"/>
            </w:r>
            <w:r>
              <w:rPr>
                <w:noProof/>
                <w:webHidden/>
              </w:rPr>
              <w:instrText xml:space="preserve"> PAGEREF _Toc227840657 \h </w:instrText>
            </w:r>
            <w:r>
              <w:rPr>
                <w:noProof/>
                <w:webHidden/>
              </w:rPr>
            </w:r>
            <w:r>
              <w:rPr>
                <w:noProof/>
                <w:webHidden/>
              </w:rPr>
              <w:fldChar w:fldCharType="separate"/>
            </w:r>
            <w:r>
              <w:rPr>
                <w:noProof/>
                <w:webHidden/>
              </w:rPr>
              <w:t>31</w:t>
            </w:r>
            <w:r>
              <w:rPr>
                <w:noProof/>
                <w:webHidden/>
              </w:rPr>
              <w:fldChar w:fldCharType="end"/>
            </w:r>
          </w:hyperlink>
        </w:p>
        <w:p w:rsidR="00CC5F3E" w:rsidRDefault="00CC5F3E" w14:paraId="51A9FCD5" w14:textId="69915EDF">
          <w:pPr>
            <w:pStyle w:val="TOC2"/>
            <w:rPr>
              <w:rFonts w:asciiTheme="minorHAnsi" w:hAnsiTheme="minorHAnsi" w:eastAsiaTheme="minorEastAsia" w:cstheme="minorBidi"/>
              <w:noProof/>
              <w:kern w:val="2"/>
              <w:sz w:val="24"/>
              <w:szCs w:val="24"/>
              <w14:ligatures w14:val="standardContextual"/>
            </w:rPr>
          </w:pPr>
          <w:hyperlink w:history="1" w:anchor="_Toc227840658">
            <w:r w:rsidRPr="00CF704D">
              <w:rPr>
                <w:rStyle w:val="Hyperlink"/>
                <w:rFonts w:eastAsia="PMingLiU" w:cs="Arial"/>
                <w:caps/>
                <w:noProof/>
                <w:specVanish/>
              </w:rPr>
              <w:t>4.4</w:t>
            </w:r>
            <w:r>
              <w:rPr>
                <w:rFonts w:asciiTheme="minorHAnsi" w:hAnsiTheme="minorHAnsi" w:eastAsiaTheme="minorEastAsia" w:cstheme="minorBidi"/>
                <w:noProof/>
                <w:kern w:val="2"/>
                <w:sz w:val="24"/>
                <w:szCs w:val="24"/>
                <w14:ligatures w14:val="standardContextual"/>
              </w:rPr>
              <w:tab/>
            </w:r>
            <w:r w:rsidRPr="00CF704D">
              <w:rPr>
                <w:rStyle w:val="Hyperlink"/>
                <w:noProof/>
              </w:rPr>
              <w:t>Substitution of a Unit at the Site.</w:t>
            </w:r>
            <w:r>
              <w:rPr>
                <w:noProof/>
                <w:webHidden/>
              </w:rPr>
              <w:tab/>
            </w:r>
            <w:r>
              <w:rPr>
                <w:noProof/>
                <w:webHidden/>
              </w:rPr>
              <w:fldChar w:fldCharType="begin"/>
            </w:r>
            <w:r>
              <w:rPr>
                <w:noProof/>
                <w:webHidden/>
              </w:rPr>
              <w:instrText xml:space="preserve"> PAGEREF _Toc227840658 \h </w:instrText>
            </w:r>
            <w:r>
              <w:rPr>
                <w:noProof/>
                <w:webHidden/>
              </w:rPr>
            </w:r>
            <w:r>
              <w:rPr>
                <w:noProof/>
                <w:webHidden/>
              </w:rPr>
              <w:fldChar w:fldCharType="separate"/>
            </w:r>
            <w:r>
              <w:rPr>
                <w:noProof/>
                <w:webHidden/>
              </w:rPr>
              <w:t>31</w:t>
            </w:r>
            <w:r>
              <w:rPr>
                <w:noProof/>
                <w:webHidden/>
              </w:rPr>
              <w:fldChar w:fldCharType="end"/>
            </w:r>
          </w:hyperlink>
        </w:p>
        <w:p w:rsidR="00CC5F3E" w:rsidRDefault="00CC5F3E" w14:paraId="015560CF" w14:textId="35C74361">
          <w:pPr>
            <w:pStyle w:val="TOC1"/>
            <w:rPr>
              <w:rFonts w:asciiTheme="minorHAnsi" w:hAnsiTheme="minorHAnsi" w:eastAsiaTheme="minorEastAsia" w:cstheme="minorBidi"/>
              <w:b w:val="0"/>
              <w:caps w:val="0"/>
              <w:noProof/>
              <w:kern w:val="2"/>
              <w:sz w:val="24"/>
              <w:szCs w:val="24"/>
              <w14:ligatures w14:val="standardContextual"/>
            </w:rPr>
          </w:pPr>
          <w:hyperlink w:history="1" w:anchor="_Toc227840659">
            <w:r w:rsidRPr="00CF704D">
              <w:rPr>
                <w:rStyle w:val="Hyperlink"/>
                <w:noProof/>
                <w14:scene3d>
                  <w14:camera w14:prst="orthographicFront"/>
                  <w14:lightRig w14:rig="threePt" w14:dir="t">
                    <w14:rot w14:lat="0" w14:lon="0" w14:rev="0"/>
                  </w14:lightRig>
                </w14:scene3d>
                <w14:props3d w14:extrusionH="0" w14:contourW="0" w14:prstMaterial="warmMatte"/>
              </w:rPr>
              <w:t>Part 5.</w:t>
            </w:r>
            <w:r>
              <w:rPr>
                <w:rFonts w:asciiTheme="minorHAnsi" w:hAnsiTheme="minorHAnsi" w:eastAsiaTheme="minorEastAsia" w:cstheme="minorBidi"/>
                <w:b w:val="0"/>
                <w:caps w:val="0"/>
                <w:noProof/>
                <w:kern w:val="2"/>
                <w:sz w:val="24"/>
                <w:szCs w:val="24"/>
                <w14:ligatures w14:val="standardContextual"/>
              </w:rPr>
              <w:tab/>
            </w:r>
            <w:r w:rsidRPr="00CF704D">
              <w:rPr>
                <w:rStyle w:val="Hyperlink"/>
                <w:noProof/>
              </w:rPr>
              <w:t>Billing and Collections</w:t>
            </w:r>
            <w:r>
              <w:rPr>
                <w:noProof/>
                <w:webHidden/>
              </w:rPr>
              <w:tab/>
            </w:r>
            <w:r>
              <w:rPr>
                <w:noProof/>
                <w:webHidden/>
              </w:rPr>
              <w:fldChar w:fldCharType="begin"/>
            </w:r>
            <w:r>
              <w:rPr>
                <w:noProof/>
                <w:webHidden/>
              </w:rPr>
              <w:instrText xml:space="preserve"> PAGEREF _Toc227840659 \h </w:instrText>
            </w:r>
            <w:r>
              <w:rPr>
                <w:noProof/>
                <w:webHidden/>
              </w:rPr>
            </w:r>
            <w:r>
              <w:rPr>
                <w:noProof/>
                <w:webHidden/>
              </w:rPr>
              <w:fldChar w:fldCharType="separate"/>
            </w:r>
            <w:r>
              <w:rPr>
                <w:noProof/>
                <w:webHidden/>
              </w:rPr>
              <w:t>32</w:t>
            </w:r>
            <w:r>
              <w:rPr>
                <w:noProof/>
                <w:webHidden/>
              </w:rPr>
              <w:fldChar w:fldCharType="end"/>
            </w:r>
          </w:hyperlink>
        </w:p>
        <w:p w:rsidR="00CC5F3E" w:rsidRDefault="00CC5F3E" w14:paraId="436F881E" w14:textId="552CBF21">
          <w:pPr>
            <w:pStyle w:val="TOC2"/>
            <w:rPr>
              <w:rFonts w:asciiTheme="minorHAnsi" w:hAnsiTheme="minorHAnsi" w:eastAsiaTheme="minorEastAsia" w:cstheme="minorBidi"/>
              <w:noProof/>
              <w:kern w:val="2"/>
              <w:sz w:val="24"/>
              <w:szCs w:val="24"/>
              <w14:ligatures w14:val="standardContextual"/>
            </w:rPr>
          </w:pPr>
          <w:hyperlink w:history="1" w:anchor="_Toc227840660">
            <w:r w:rsidRPr="00CF704D">
              <w:rPr>
                <w:rStyle w:val="Hyperlink"/>
                <w:rFonts w:eastAsia="PMingLiU" w:cs="Arial"/>
                <w:caps/>
                <w:noProof/>
                <w:specVanish/>
              </w:rPr>
              <w:t>5.1</w:t>
            </w:r>
            <w:r>
              <w:rPr>
                <w:rFonts w:asciiTheme="minorHAnsi" w:hAnsiTheme="minorHAnsi" w:eastAsiaTheme="minorEastAsia" w:cstheme="minorBidi"/>
                <w:noProof/>
                <w:kern w:val="2"/>
                <w:sz w:val="24"/>
                <w:szCs w:val="24"/>
                <w14:ligatures w14:val="standardContextual"/>
              </w:rPr>
              <w:tab/>
            </w:r>
            <w:r w:rsidRPr="00CF704D">
              <w:rPr>
                <w:rStyle w:val="Hyperlink"/>
                <w:rFonts w:cs="Arial"/>
                <w:noProof/>
              </w:rPr>
              <w:t>Capacity and Energy Billing and Payment.</w:t>
            </w:r>
            <w:r>
              <w:rPr>
                <w:noProof/>
                <w:webHidden/>
              </w:rPr>
              <w:tab/>
            </w:r>
            <w:r>
              <w:rPr>
                <w:noProof/>
                <w:webHidden/>
              </w:rPr>
              <w:fldChar w:fldCharType="begin"/>
            </w:r>
            <w:r>
              <w:rPr>
                <w:noProof/>
                <w:webHidden/>
              </w:rPr>
              <w:instrText xml:space="preserve"> PAGEREF _Toc227840660 \h </w:instrText>
            </w:r>
            <w:r>
              <w:rPr>
                <w:noProof/>
                <w:webHidden/>
              </w:rPr>
            </w:r>
            <w:r>
              <w:rPr>
                <w:noProof/>
                <w:webHidden/>
              </w:rPr>
              <w:fldChar w:fldCharType="separate"/>
            </w:r>
            <w:r>
              <w:rPr>
                <w:noProof/>
                <w:webHidden/>
              </w:rPr>
              <w:t>32</w:t>
            </w:r>
            <w:r>
              <w:rPr>
                <w:noProof/>
                <w:webHidden/>
              </w:rPr>
              <w:fldChar w:fldCharType="end"/>
            </w:r>
          </w:hyperlink>
        </w:p>
        <w:p w:rsidR="00CC5F3E" w:rsidRDefault="00CC5F3E" w14:paraId="28C5B31A" w14:textId="014031CB">
          <w:pPr>
            <w:pStyle w:val="TOC2"/>
            <w:rPr>
              <w:rFonts w:asciiTheme="minorHAnsi" w:hAnsiTheme="minorHAnsi" w:eastAsiaTheme="minorEastAsia" w:cstheme="minorBidi"/>
              <w:noProof/>
              <w:kern w:val="2"/>
              <w:sz w:val="24"/>
              <w:szCs w:val="24"/>
              <w14:ligatures w14:val="standardContextual"/>
            </w:rPr>
          </w:pPr>
          <w:hyperlink w:history="1" w:anchor="_Toc227840661">
            <w:r w:rsidRPr="00CF704D">
              <w:rPr>
                <w:rStyle w:val="Hyperlink"/>
                <w:rFonts w:eastAsia="PMingLiU" w:cs="Arial"/>
                <w:caps/>
                <w:noProof/>
                <w:specVanish/>
              </w:rPr>
              <w:t>5.2</w:t>
            </w:r>
            <w:r>
              <w:rPr>
                <w:rFonts w:asciiTheme="minorHAnsi" w:hAnsiTheme="minorHAnsi" w:eastAsiaTheme="minorEastAsia" w:cstheme="minorBidi"/>
                <w:noProof/>
                <w:kern w:val="2"/>
                <w:sz w:val="24"/>
                <w:szCs w:val="24"/>
                <w14:ligatures w14:val="standardContextual"/>
              </w:rPr>
              <w:tab/>
            </w:r>
            <w:r w:rsidRPr="00CF704D">
              <w:rPr>
                <w:rStyle w:val="Hyperlink"/>
                <w:rFonts w:cs="Arial"/>
                <w:noProof/>
              </w:rPr>
              <w:t>Billing Disputes and Final Accounting.</w:t>
            </w:r>
            <w:r>
              <w:rPr>
                <w:noProof/>
                <w:webHidden/>
              </w:rPr>
              <w:tab/>
            </w:r>
            <w:r>
              <w:rPr>
                <w:noProof/>
                <w:webHidden/>
              </w:rPr>
              <w:fldChar w:fldCharType="begin"/>
            </w:r>
            <w:r>
              <w:rPr>
                <w:noProof/>
                <w:webHidden/>
              </w:rPr>
              <w:instrText xml:space="preserve"> PAGEREF _Toc227840661 \h </w:instrText>
            </w:r>
            <w:r>
              <w:rPr>
                <w:noProof/>
                <w:webHidden/>
              </w:rPr>
            </w:r>
            <w:r>
              <w:rPr>
                <w:noProof/>
                <w:webHidden/>
              </w:rPr>
              <w:fldChar w:fldCharType="separate"/>
            </w:r>
            <w:r>
              <w:rPr>
                <w:noProof/>
                <w:webHidden/>
              </w:rPr>
              <w:t>33</w:t>
            </w:r>
            <w:r>
              <w:rPr>
                <w:noProof/>
                <w:webHidden/>
              </w:rPr>
              <w:fldChar w:fldCharType="end"/>
            </w:r>
          </w:hyperlink>
        </w:p>
        <w:p w:rsidR="00CC5F3E" w:rsidRDefault="00CC5F3E" w14:paraId="4374C755" w14:textId="4CE1EFEB">
          <w:pPr>
            <w:pStyle w:val="TOC2"/>
            <w:rPr>
              <w:rFonts w:asciiTheme="minorHAnsi" w:hAnsiTheme="minorHAnsi" w:eastAsiaTheme="minorEastAsia" w:cstheme="minorBidi"/>
              <w:noProof/>
              <w:kern w:val="2"/>
              <w:sz w:val="24"/>
              <w:szCs w:val="24"/>
              <w14:ligatures w14:val="standardContextual"/>
            </w:rPr>
          </w:pPr>
          <w:hyperlink w:history="1" w:anchor="_Toc227840662">
            <w:r w:rsidRPr="00CF704D">
              <w:rPr>
                <w:rStyle w:val="Hyperlink"/>
                <w:rFonts w:eastAsia="PMingLiU" w:cs="Arial"/>
                <w:caps/>
                <w:noProof/>
                <w:specVanish/>
              </w:rPr>
              <w:t>5.3</w:t>
            </w:r>
            <w:r>
              <w:rPr>
                <w:rFonts w:asciiTheme="minorHAnsi" w:hAnsiTheme="minorHAnsi" w:eastAsiaTheme="minorEastAsia" w:cstheme="minorBidi"/>
                <w:noProof/>
                <w:kern w:val="2"/>
                <w:sz w:val="24"/>
                <w:szCs w:val="24"/>
                <w14:ligatures w14:val="standardContextual"/>
              </w:rPr>
              <w:tab/>
            </w:r>
            <w:r w:rsidRPr="00CF704D">
              <w:rPr>
                <w:rStyle w:val="Hyperlink"/>
                <w:rFonts w:cs="Arial"/>
                <w:noProof/>
              </w:rPr>
              <w:t>Interest.</w:t>
            </w:r>
            <w:r>
              <w:rPr>
                <w:noProof/>
                <w:webHidden/>
              </w:rPr>
              <w:tab/>
            </w:r>
            <w:r>
              <w:rPr>
                <w:noProof/>
                <w:webHidden/>
              </w:rPr>
              <w:fldChar w:fldCharType="begin"/>
            </w:r>
            <w:r>
              <w:rPr>
                <w:noProof/>
                <w:webHidden/>
              </w:rPr>
              <w:instrText xml:space="preserve"> PAGEREF _Toc227840662 \h </w:instrText>
            </w:r>
            <w:r>
              <w:rPr>
                <w:noProof/>
                <w:webHidden/>
              </w:rPr>
            </w:r>
            <w:r>
              <w:rPr>
                <w:noProof/>
                <w:webHidden/>
              </w:rPr>
              <w:fldChar w:fldCharType="separate"/>
            </w:r>
            <w:r>
              <w:rPr>
                <w:noProof/>
                <w:webHidden/>
              </w:rPr>
              <w:t>33</w:t>
            </w:r>
            <w:r>
              <w:rPr>
                <w:noProof/>
                <w:webHidden/>
              </w:rPr>
              <w:fldChar w:fldCharType="end"/>
            </w:r>
          </w:hyperlink>
        </w:p>
        <w:p w:rsidR="00CC5F3E" w:rsidRDefault="00CC5F3E" w14:paraId="720FEE61" w14:textId="18FB9800">
          <w:pPr>
            <w:pStyle w:val="TOC2"/>
            <w:rPr>
              <w:rFonts w:asciiTheme="minorHAnsi" w:hAnsiTheme="minorHAnsi" w:eastAsiaTheme="minorEastAsia" w:cstheme="minorBidi"/>
              <w:noProof/>
              <w:kern w:val="2"/>
              <w:sz w:val="24"/>
              <w:szCs w:val="24"/>
              <w14:ligatures w14:val="standardContextual"/>
            </w:rPr>
          </w:pPr>
          <w:hyperlink w:history="1" w:anchor="_Toc227840663">
            <w:r w:rsidRPr="00CF704D">
              <w:rPr>
                <w:rStyle w:val="Hyperlink"/>
                <w:rFonts w:eastAsia="PMingLiU" w:cs="Arial"/>
                <w:caps/>
                <w:noProof/>
                <w:specVanish/>
              </w:rPr>
              <w:t>5.4</w:t>
            </w:r>
            <w:r>
              <w:rPr>
                <w:rFonts w:asciiTheme="minorHAnsi" w:hAnsiTheme="minorHAnsi" w:eastAsiaTheme="minorEastAsia" w:cstheme="minorBidi"/>
                <w:noProof/>
                <w:kern w:val="2"/>
                <w:sz w:val="24"/>
                <w:szCs w:val="24"/>
                <w14:ligatures w14:val="standardContextual"/>
              </w:rPr>
              <w:tab/>
            </w:r>
            <w:r w:rsidRPr="00CF704D">
              <w:rPr>
                <w:rStyle w:val="Hyperlink"/>
                <w:rFonts w:cs="Arial"/>
                <w:noProof/>
              </w:rPr>
              <w:t>Billing and Payment Records.</w:t>
            </w:r>
            <w:r>
              <w:rPr>
                <w:noProof/>
                <w:webHidden/>
              </w:rPr>
              <w:tab/>
            </w:r>
            <w:r>
              <w:rPr>
                <w:noProof/>
                <w:webHidden/>
              </w:rPr>
              <w:fldChar w:fldCharType="begin"/>
            </w:r>
            <w:r>
              <w:rPr>
                <w:noProof/>
                <w:webHidden/>
              </w:rPr>
              <w:instrText xml:space="preserve"> PAGEREF _Toc227840663 \h </w:instrText>
            </w:r>
            <w:r>
              <w:rPr>
                <w:noProof/>
                <w:webHidden/>
              </w:rPr>
            </w:r>
            <w:r>
              <w:rPr>
                <w:noProof/>
                <w:webHidden/>
              </w:rPr>
              <w:fldChar w:fldCharType="separate"/>
            </w:r>
            <w:r>
              <w:rPr>
                <w:noProof/>
                <w:webHidden/>
              </w:rPr>
              <w:t>33</w:t>
            </w:r>
            <w:r>
              <w:rPr>
                <w:noProof/>
                <w:webHidden/>
              </w:rPr>
              <w:fldChar w:fldCharType="end"/>
            </w:r>
          </w:hyperlink>
        </w:p>
        <w:p w:rsidR="00CC5F3E" w:rsidRDefault="00CC5F3E" w14:paraId="6838EBA8" w14:textId="15BA3CE0">
          <w:pPr>
            <w:pStyle w:val="TOC1"/>
            <w:rPr>
              <w:rFonts w:asciiTheme="minorHAnsi" w:hAnsiTheme="minorHAnsi" w:eastAsiaTheme="minorEastAsia" w:cstheme="minorBidi"/>
              <w:b w:val="0"/>
              <w:caps w:val="0"/>
              <w:noProof/>
              <w:kern w:val="2"/>
              <w:sz w:val="24"/>
              <w:szCs w:val="24"/>
              <w14:ligatures w14:val="standardContextual"/>
            </w:rPr>
          </w:pPr>
          <w:hyperlink w:history="1" w:anchor="_Toc227840664">
            <w:r w:rsidRPr="00CF704D">
              <w:rPr>
                <w:rStyle w:val="Hyperlink"/>
                <w:noProof/>
                <w14:scene3d>
                  <w14:camera w14:prst="orthographicFront"/>
                  <w14:lightRig w14:rig="threePt" w14:dir="t">
                    <w14:rot w14:lat="0" w14:lon="0" w14:rev="0"/>
                  </w14:lightRig>
                </w14:scene3d>
                <w14:props3d w14:extrusionH="0" w14:contourW="0" w14:prstMaterial="warmMatte"/>
              </w:rPr>
              <w:t>Part 6.</w:t>
            </w:r>
            <w:r>
              <w:rPr>
                <w:rFonts w:asciiTheme="minorHAnsi" w:hAnsiTheme="minorHAnsi" w:eastAsiaTheme="minorEastAsia" w:cstheme="minorBidi"/>
                <w:b w:val="0"/>
                <w:caps w:val="0"/>
                <w:noProof/>
                <w:kern w:val="2"/>
                <w:sz w:val="24"/>
                <w:szCs w:val="24"/>
                <w14:ligatures w14:val="standardContextual"/>
              </w:rPr>
              <w:tab/>
            </w:r>
            <w:r w:rsidRPr="00CF704D">
              <w:rPr>
                <w:rStyle w:val="Hyperlink"/>
                <w:noProof/>
              </w:rPr>
              <w:t>Performance Security</w:t>
            </w:r>
            <w:r>
              <w:rPr>
                <w:noProof/>
                <w:webHidden/>
              </w:rPr>
              <w:tab/>
            </w:r>
            <w:r>
              <w:rPr>
                <w:noProof/>
                <w:webHidden/>
              </w:rPr>
              <w:fldChar w:fldCharType="begin"/>
            </w:r>
            <w:r>
              <w:rPr>
                <w:noProof/>
                <w:webHidden/>
              </w:rPr>
              <w:instrText xml:space="preserve"> PAGEREF _Toc227840664 \h </w:instrText>
            </w:r>
            <w:r>
              <w:rPr>
                <w:noProof/>
                <w:webHidden/>
              </w:rPr>
            </w:r>
            <w:r>
              <w:rPr>
                <w:noProof/>
                <w:webHidden/>
              </w:rPr>
              <w:fldChar w:fldCharType="separate"/>
            </w:r>
            <w:r>
              <w:rPr>
                <w:noProof/>
                <w:webHidden/>
              </w:rPr>
              <w:t>34</w:t>
            </w:r>
            <w:r>
              <w:rPr>
                <w:noProof/>
                <w:webHidden/>
              </w:rPr>
              <w:fldChar w:fldCharType="end"/>
            </w:r>
          </w:hyperlink>
        </w:p>
        <w:p w:rsidR="00CC5F3E" w:rsidRDefault="00CC5F3E" w14:paraId="6AB585F0" w14:textId="2BCFBEE7">
          <w:pPr>
            <w:pStyle w:val="TOC2"/>
            <w:rPr>
              <w:rFonts w:asciiTheme="minorHAnsi" w:hAnsiTheme="minorHAnsi" w:eastAsiaTheme="minorEastAsia" w:cstheme="minorBidi"/>
              <w:noProof/>
              <w:kern w:val="2"/>
              <w:sz w:val="24"/>
              <w:szCs w:val="24"/>
              <w14:ligatures w14:val="standardContextual"/>
            </w:rPr>
          </w:pPr>
          <w:hyperlink w:history="1" w:anchor="_Toc227840665">
            <w:r w:rsidRPr="00CF704D">
              <w:rPr>
                <w:rStyle w:val="Hyperlink"/>
                <w:rFonts w:eastAsia="PMingLiU" w:cs="Arial"/>
                <w:caps/>
                <w:noProof/>
                <w:specVanish/>
              </w:rPr>
              <w:t>6.1</w:t>
            </w:r>
            <w:r>
              <w:rPr>
                <w:rFonts w:asciiTheme="minorHAnsi" w:hAnsiTheme="minorHAnsi" w:eastAsiaTheme="minorEastAsia" w:cstheme="minorBidi"/>
                <w:noProof/>
                <w:kern w:val="2"/>
                <w:sz w:val="24"/>
                <w:szCs w:val="24"/>
                <w14:ligatures w14:val="standardContextual"/>
              </w:rPr>
              <w:tab/>
            </w:r>
            <w:r w:rsidRPr="00CF704D">
              <w:rPr>
                <w:rStyle w:val="Hyperlink"/>
                <w:rFonts w:cs="Arial"/>
                <w:noProof/>
              </w:rPr>
              <w:t>Performance Security.</w:t>
            </w:r>
            <w:r>
              <w:rPr>
                <w:noProof/>
                <w:webHidden/>
              </w:rPr>
              <w:tab/>
            </w:r>
            <w:r>
              <w:rPr>
                <w:noProof/>
                <w:webHidden/>
              </w:rPr>
              <w:fldChar w:fldCharType="begin"/>
            </w:r>
            <w:r>
              <w:rPr>
                <w:noProof/>
                <w:webHidden/>
              </w:rPr>
              <w:instrText xml:space="preserve"> PAGEREF _Toc227840665 \h </w:instrText>
            </w:r>
            <w:r>
              <w:rPr>
                <w:noProof/>
                <w:webHidden/>
              </w:rPr>
            </w:r>
            <w:r>
              <w:rPr>
                <w:noProof/>
                <w:webHidden/>
              </w:rPr>
              <w:fldChar w:fldCharType="separate"/>
            </w:r>
            <w:r>
              <w:rPr>
                <w:noProof/>
                <w:webHidden/>
              </w:rPr>
              <w:t>34</w:t>
            </w:r>
            <w:r>
              <w:rPr>
                <w:noProof/>
                <w:webHidden/>
              </w:rPr>
              <w:fldChar w:fldCharType="end"/>
            </w:r>
          </w:hyperlink>
        </w:p>
        <w:p w:rsidR="00CC5F3E" w:rsidRDefault="00CC5F3E" w14:paraId="50E03655" w14:textId="0AEDB5C3">
          <w:pPr>
            <w:pStyle w:val="TOC2"/>
            <w:rPr>
              <w:rFonts w:asciiTheme="minorHAnsi" w:hAnsiTheme="minorHAnsi" w:eastAsiaTheme="minorEastAsia" w:cstheme="minorBidi"/>
              <w:noProof/>
              <w:kern w:val="2"/>
              <w:sz w:val="24"/>
              <w:szCs w:val="24"/>
              <w14:ligatures w14:val="standardContextual"/>
            </w:rPr>
          </w:pPr>
          <w:hyperlink w:history="1" w:anchor="_Toc227840666">
            <w:r w:rsidRPr="00CF704D">
              <w:rPr>
                <w:rStyle w:val="Hyperlink"/>
                <w:rFonts w:eastAsia="PMingLiU" w:cs="Arial"/>
                <w:caps/>
                <w:noProof/>
                <w:specVanish/>
              </w:rPr>
              <w:t>6.2</w:t>
            </w:r>
            <w:r>
              <w:rPr>
                <w:rFonts w:asciiTheme="minorHAnsi" w:hAnsiTheme="minorHAnsi" w:eastAsiaTheme="minorEastAsia" w:cstheme="minorBidi"/>
                <w:noProof/>
                <w:kern w:val="2"/>
                <w:sz w:val="24"/>
                <w:szCs w:val="24"/>
                <w14:ligatures w14:val="standardContextual"/>
              </w:rPr>
              <w:tab/>
            </w:r>
            <w:r w:rsidRPr="00CF704D">
              <w:rPr>
                <w:rStyle w:val="Hyperlink"/>
                <w:rFonts w:cs="Arial"/>
                <w:noProof/>
              </w:rPr>
              <w:t>Replacement Collateral; Substituted Collateral; Release of Collateral.</w:t>
            </w:r>
            <w:r>
              <w:rPr>
                <w:noProof/>
                <w:webHidden/>
              </w:rPr>
              <w:tab/>
            </w:r>
            <w:r>
              <w:rPr>
                <w:noProof/>
                <w:webHidden/>
              </w:rPr>
              <w:fldChar w:fldCharType="begin"/>
            </w:r>
            <w:r>
              <w:rPr>
                <w:noProof/>
                <w:webHidden/>
              </w:rPr>
              <w:instrText xml:space="preserve"> PAGEREF _Toc227840666 \h </w:instrText>
            </w:r>
            <w:r>
              <w:rPr>
                <w:noProof/>
                <w:webHidden/>
              </w:rPr>
            </w:r>
            <w:r>
              <w:rPr>
                <w:noProof/>
                <w:webHidden/>
              </w:rPr>
              <w:fldChar w:fldCharType="separate"/>
            </w:r>
            <w:r>
              <w:rPr>
                <w:noProof/>
                <w:webHidden/>
              </w:rPr>
              <w:t>34</w:t>
            </w:r>
            <w:r>
              <w:rPr>
                <w:noProof/>
                <w:webHidden/>
              </w:rPr>
              <w:fldChar w:fldCharType="end"/>
            </w:r>
          </w:hyperlink>
        </w:p>
        <w:p w:rsidR="00CC5F3E" w:rsidRDefault="00CC5F3E" w14:paraId="4491352B" w14:textId="4F01E0B8">
          <w:pPr>
            <w:pStyle w:val="TOC2"/>
            <w:rPr>
              <w:rFonts w:asciiTheme="minorHAnsi" w:hAnsiTheme="minorHAnsi" w:eastAsiaTheme="minorEastAsia" w:cstheme="minorBidi"/>
              <w:noProof/>
              <w:kern w:val="2"/>
              <w:sz w:val="24"/>
              <w:szCs w:val="24"/>
              <w14:ligatures w14:val="standardContextual"/>
            </w:rPr>
          </w:pPr>
          <w:hyperlink w:history="1" w:anchor="_Toc227840667">
            <w:r w:rsidRPr="00CF704D">
              <w:rPr>
                <w:rStyle w:val="Hyperlink"/>
                <w:rFonts w:eastAsia="PMingLiU" w:cs="Arial"/>
                <w:caps/>
                <w:noProof/>
                <w:specVanish/>
              </w:rPr>
              <w:t>6.3</w:t>
            </w:r>
            <w:r>
              <w:rPr>
                <w:rFonts w:asciiTheme="minorHAnsi" w:hAnsiTheme="minorHAnsi" w:eastAsiaTheme="minorEastAsia" w:cstheme="minorBidi"/>
                <w:noProof/>
                <w:kern w:val="2"/>
                <w:sz w:val="24"/>
                <w:szCs w:val="24"/>
                <w14:ligatures w14:val="standardContextual"/>
              </w:rPr>
              <w:tab/>
            </w:r>
            <w:r w:rsidRPr="00CF704D">
              <w:rPr>
                <w:rStyle w:val="Hyperlink"/>
                <w:rFonts w:cs="Arial"/>
                <w:noProof/>
              </w:rPr>
              <w:t>Draws; Replenishment.</w:t>
            </w:r>
            <w:r>
              <w:rPr>
                <w:noProof/>
                <w:webHidden/>
              </w:rPr>
              <w:tab/>
            </w:r>
            <w:r>
              <w:rPr>
                <w:noProof/>
                <w:webHidden/>
              </w:rPr>
              <w:fldChar w:fldCharType="begin"/>
            </w:r>
            <w:r>
              <w:rPr>
                <w:noProof/>
                <w:webHidden/>
              </w:rPr>
              <w:instrText xml:space="preserve"> PAGEREF _Toc227840667 \h </w:instrText>
            </w:r>
            <w:r>
              <w:rPr>
                <w:noProof/>
                <w:webHidden/>
              </w:rPr>
            </w:r>
            <w:r>
              <w:rPr>
                <w:noProof/>
                <w:webHidden/>
              </w:rPr>
              <w:fldChar w:fldCharType="separate"/>
            </w:r>
            <w:r>
              <w:rPr>
                <w:noProof/>
                <w:webHidden/>
              </w:rPr>
              <w:t>34</w:t>
            </w:r>
            <w:r>
              <w:rPr>
                <w:noProof/>
                <w:webHidden/>
              </w:rPr>
              <w:fldChar w:fldCharType="end"/>
            </w:r>
          </w:hyperlink>
        </w:p>
        <w:p w:rsidR="00CC5F3E" w:rsidRDefault="00CC5F3E" w14:paraId="11B187BE" w14:textId="0657C8FD">
          <w:pPr>
            <w:pStyle w:val="TOC2"/>
            <w:rPr>
              <w:rFonts w:asciiTheme="minorHAnsi" w:hAnsiTheme="minorHAnsi" w:eastAsiaTheme="minorEastAsia" w:cstheme="minorBidi"/>
              <w:noProof/>
              <w:kern w:val="2"/>
              <w:sz w:val="24"/>
              <w:szCs w:val="24"/>
              <w14:ligatures w14:val="standardContextual"/>
            </w:rPr>
          </w:pPr>
          <w:hyperlink w:history="1" w:anchor="_Toc227840668">
            <w:r w:rsidRPr="00CF704D">
              <w:rPr>
                <w:rStyle w:val="Hyperlink"/>
                <w:rFonts w:eastAsia="PMingLiU" w:cs="Arial"/>
                <w:caps/>
                <w:noProof/>
                <w:specVanish/>
              </w:rPr>
              <w:t>6.4</w:t>
            </w:r>
            <w:r>
              <w:rPr>
                <w:rFonts w:asciiTheme="minorHAnsi" w:hAnsiTheme="minorHAnsi" w:eastAsiaTheme="minorEastAsia" w:cstheme="minorBidi"/>
                <w:noProof/>
                <w:kern w:val="2"/>
                <w:sz w:val="24"/>
                <w:szCs w:val="24"/>
                <w14:ligatures w14:val="standardContextual"/>
              </w:rPr>
              <w:tab/>
            </w:r>
            <w:r w:rsidRPr="00CF704D">
              <w:rPr>
                <w:rStyle w:val="Hyperlink"/>
                <w:rFonts w:cs="Arial"/>
                <w:noProof/>
              </w:rPr>
              <w:t>Reporting.</w:t>
            </w:r>
            <w:r>
              <w:rPr>
                <w:noProof/>
                <w:webHidden/>
              </w:rPr>
              <w:tab/>
            </w:r>
            <w:r>
              <w:rPr>
                <w:noProof/>
                <w:webHidden/>
              </w:rPr>
              <w:fldChar w:fldCharType="begin"/>
            </w:r>
            <w:r>
              <w:rPr>
                <w:noProof/>
                <w:webHidden/>
              </w:rPr>
              <w:instrText xml:space="preserve"> PAGEREF _Toc227840668 \h </w:instrText>
            </w:r>
            <w:r>
              <w:rPr>
                <w:noProof/>
                <w:webHidden/>
              </w:rPr>
            </w:r>
            <w:r>
              <w:rPr>
                <w:noProof/>
                <w:webHidden/>
              </w:rPr>
              <w:fldChar w:fldCharType="separate"/>
            </w:r>
            <w:r>
              <w:rPr>
                <w:noProof/>
                <w:webHidden/>
              </w:rPr>
              <w:t>35</w:t>
            </w:r>
            <w:r>
              <w:rPr>
                <w:noProof/>
                <w:webHidden/>
              </w:rPr>
              <w:fldChar w:fldCharType="end"/>
            </w:r>
          </w:hyperlink>
        </w:p>
        <w:p w:rsidR="00CC5F3E" w:rsidRDefault="00CC5F3E" w14:paraId="62B144AF" w14:textId="00864278">
          <w:pPr>
            <w:pStyle w:val="TOC2"/>
            <w:rPr>
              <w:rFonts w:asciiTheme="minorHAnsi" w:hAnsiTheme="minorHAnsi" w:eastAsiaTheme="minorEastAsia" w:cstheme="minorBidi"/>
              <w:noProof/>
              <w:kern w:val="2"/>
              <w:sz w:val="24"/>
              <w:szCs w:val="24"/>
              <w14:ligatures w14:val="standardContextual"/>
            </w:rPr>
          </w:pPr>
          <w:hyperlink w:history="1" w:anchor="_Toc227840669">
            <w:r w:rsidRPr="00CF704D">
              <w:rPr>
                <w:rStyle w:val="Hyperlink"/>
                <w:rFonts w:eastAsia="PMingLiU" w:cs="Arial"/>
                <w:caps/>
                <w:noProof/>
                <w:specVanish/>
              </w:rPr>
              <w:t>6.5</w:t>
            </w:r>
            <w:r>
              <w:rPr>
                <w:rFonts w:asciiTheme="minorHAnsi" w:hAnsiTheme="minorHAnsi" w:eastAsiaTheme="minorEastAsia" w:cstheme="minorBidi"/>
                <w:noProof/>
                <w:kern w:val="2"/>
                <w:sz w:val="24"/>
                <w:szCs w:val="24"/>
                <w14:ligatures w14:val="standardContextual"/>
              </w:rPr>
              <w:tab/>
            </w:r>
            <w:r w:rsidRPr="00CF704D">
              <w:rPr>
                <w:rStyle w:val="Hyperlink"/>
                <w:rFonts w:cs="Arial"/>
                <w:noProof/>
              </w:rPr>
              <w:t>Pre-Approval of Non-Cash Eligible Collateral.</w:t>
            </w:r>
            <w:r>
              <w:rPr>
                <w:noProof/>
                <w:webHidden/>
              </w:rPr>
              <w:tab/>
            </w:r>
            <w:r>
              <w:rPr>
                <w:noProof/>
                <w:webHidden/>
              </w:rPr>
              <w:fldChar w:fldCharType="begin"/>
            </w:r>
            <w:r>
              <w:rPr>
                <w:noProof/>
                <w:webHidden/>
              </w:rPr>
              <w:instrText xml:space="preserve"> PAGEREF _Toc227840669 \h </w:instrText>
            </w:r>
            <w:r>
              <w:rPr>
                <w:noProof/>
                <w:webHidden/>
              </w:rPr>
            </w:r>
            <w:r>
              <w:rPr>
                <w:noProof/>
                <w:webHidden/>
              </w:rPr>
              <w:fldChar w:fldCharType="separate"/>
            </w:r>
            <w:r>
              <w:rPr>
                <w:noProof/>
                <w:webHidden/>
              </w:rPr>
              <w:t>35</w:t>
            </w:r>
            <w:r>
              <w:rPr>
                <w:noProof/>
                <w:webHidden/>
              </w:rPr>
              <w:fldChar w:fldCharType="end"/>
            </w:r>
          </w:hyperlink>
        </w:p>
        <w:p w:rsidR="00CC5F3E" w:rsidRDefault="00CC5F3E" w14:paraId="45A4E469" w14:textId="4A38DEDE">
          <w:pPr>
            <w:pStyle w:val="TOC2"/>
            <w:rPr>
              <w:rFonts w:asciiTheme="minorHAnsi" w:hAnsiTheme="minorHAnsi" w:eastAsiaTheme="minorEastAsia" w:cstheme="minorBidi"/>
              <w:noProof/>
              <w:kern w:val="2"/>
              <w:sz w:val="24"/>
              <w:szCs w:val="24"/>
              <w14:ligatures w14:val="standardContextual"/>
            </w:rPr>
          </w:pPr>
          <w:hyperlink w:history="1" w:anchor="_Toc227840670">
            <w:r w:rsidRPr="00CF704D">
              <w:rPr>
                <w:rStyle w:val="Hyperlink"/>
                <w:rFonts w:eastAsia="PMingLiU" w:cs="Arial"/>
                <w:caps/>
                <w:noProof/>
                <w:specVanish/>
              </w:rPr>
              <w:t>6.6</w:t>
            </w:r>
            <w:r>
              <w:rPr>
                <w:rFonts w:asciiTheme="minorHAnsi" w:hAnsiTheme="minorHAnsi" w:eastAsiaTheme="minorEastAsia" w:cstheme="minorBidi"/>
                <w:noProof/>
                <w:kern w:val="2"/>
                <w:sz w:val="24"/>
                <w:szCs w:val="24"/>
                <w14:ligatures w14:val="standardContextual"/>
              </w:rPr>
              <w:tab/>
            </w:r>
            <w:r w:rsidRPr="00CF704D">
              <w:rPr>
                <w:rStyle w:val="Hyperlink"/>
                <w:rFonts w:cs="Arial"/>
                <w:noProof/>
              </w:rPr>
              <w:t>Delivery of Eligible Collateral for Performance Security.</w:t>
            </w:r>
            <w:r>
              <w:rPr>
                <w:noProof/>
                <w:webHidden/>
              </w:rPr>
              <w:tab/>
            </w:r>
            <w:r>
              <w:rPr>
                <w:noProof/>
                <w:webHidden/>
              </w:rPr>
              <w:fldChar w:fldCharType="begin"/>
            </w:r>
            <w:r>
              <w:rPr>
                <w:noProof/>
                <w:webHidden/>
              </w:rPr>
              <w:instrText xml:space="preserve"> PAGEREF _Toc227840670 \h </w:instrText>
            </w:r>
            <w:r>
              <w:rPr>
                <w:noProof/>
                <w:webHidden/>
              </w:rPr>
            </w:r>
            <w:r>
              <w:rPr>
                <w:noProof/>
                <w:webHidden/>
              </w:rPr>
              <w:fldChar w:fldCharType="separate"/>
            </w:r>
            <w:r>
              <w:rPr>
                <w:noProof/>
                <w:webHidden/>
              </w:rPr>
              <w:t>35</w:t>
            </w:r>
            <w:r>
              <w:rPr>
                <w:noProof/>
                <w:webHidden/>
              </w:rPr>
              <w:fldChar w:fldCharType="end"/>
            </w:r>
          </w:hyperlink>
        </w:p>
        <w:p w:rsidR="00CC5F3E" w:rsidRDefault="00CC5F3E" w14:paraId="61DB6D21" w14:textId="361D7563">
          <w:pPr>
            <w:pStyle w:val="TOC1"/>
            <w:rPr>
              <w:rFonts w:asciiTheme="minorHAnsi" w:hAnsiTheme="minorHAnsi" w:eastAsiaTheme="minorEastAsia" w:cstheme="minorBidi"/>
              <w:b w:val="0"/>
              <w:caps w:val="0"/>
              <w:noProof/>
              <w:kern w:val="2"/>
              <w:sz w:val="24"/>
              <w:szCs w:val="24"/>
              <w14:ligatures w14:val="standardContextual"/>
            </w:rPr>
          </w:pPr>
          <w:hyperlink w:history="1" w:anchor="_Toc227840671">
            <w:r w:rsidRPr="00CF704D">
              <w:rPr>
                <w:rStyle w:val="Hyperlink"/>
                <w:noProof/>
                <w14:scene3d>
                  <w14:camera w14:prst="orthographicFront"/>
                  <w14:lightRig w14:rig="threePt" w14:dir="t">
                    <w14:rot w14:lat="0" w14:lon="0" w14:rev="0"/>
                  </w14:lightRig>
                </w14:scene3d>
                <w14:props3d w14:extrusionH="0" w14:contourW="0" w14:prstMaterial="warmMatte"/>
              </w:rPr>
              <w:t>Part 7.</w:t>
            </w:r>
            <w:r>
              <w:rPr>
                <w:rFonts w:asciiTheme="minorHAnsi" w:hAnsiTheme="minorHAnsi" w:eastAsiaTheme="minorEastAsia" w:cstheme="minorBidi"/>
                <w:b w:val="0"/>
                <w:caps w:val="0"/>
                <w:noProof/>
                <w:kern w:val="2"/>
                <w:sz w:val="24"/>
                <w:szCs w:val="24"/>
                <w14:ligatures w14:val="standardContextual"/>
              </w:rPr>
              <w:tab/>
            </w:r>
            <w:r w:rsidRPr="00CF704D">
              <w:rPr>
                <w:rStyle w:val="Hyperlink"/>
                <w:noProof/>
              </w:rPr>
              <w:t>Facility Design and Construction; Achieving Commercial Operation</w:t>
            </w:r>
            <w:r>
              <w:rPr>
                <w:noProof/>
                <w:webHidden/>
              </w:rPr>
              <w:tab/>
            </w:r>
            <w:r>
              <w:rPr>
                <w:noProof/>
                <w:webHidden/>
              </w:rPr>
              <w:fldChar w:fldCharType="begin"/>
            </w:r>
            <w:r>
              <w:rPr>
                <w:noProof/>
                <w:webHidden/>
              </w:rPr>
              <w:instrText xml:space="preserve"> PAGEREF _Toc227840671 \h </w:instrText>
            </w:r>
            <w:r>
              <w:rPr>
                <w:noProof/>
                <w:webHidden/>
              </w:rPr>
            </w:r>
            <w:r>
              <w:rPr>
                <w:noProof/>
                <w:webHidden/>
              </w:rPr>
              <w:fldChar w:fldCharType="separate"/>
            </w:r>
            <w:r>
              <w:rPr>
                <w:noProof/>
                <w:webHidden/>
              </w:rPr>
              <w:t>35</w:t>
            </w:r>
            <w:r>
              <w:rPr>
                <w:noProof/>
                <w:webHidden/>
              </w:rPr>
              <w:fldChar w:fldCharType="end"/>
            </w:r>
          </w:hyperlink>
        </w:p>
        <w:p w:rsidR="00CC5F3E" w:rsidRDefault="00CC5F3E" w14:paraId="39F674CA" w14:textId="16DEA137">
          <w:pPr>
            <w:pStyle w:val="TOC2"/>
            <w:rPr>
              <w:rFonts w:asciiTheme="minorHAnsi" w:hAnsiTheme="minorHAnsi" w:eastAsiaTheme="minorEastAsia" w:cstheme="minorBidi"/>
              <w:noProof/>
              <w:kern w:val="2"/>
              <w:sz w:val="24"/>
              <w:szCs w:val="24"/>
              <w14:ligatures w14:val="standardContextual"/>
            </w:rPr>
          </w:pPr>
          <w:hyperlink w:history="1" w:anchor="_Toc227840672">
            <w:r w:rsidRPr="00CF704D">
              <w:rPr>
                <w:rStyle w:val="Hyperlink"/>
                <w:rFonts w:eastAsia="PMingLiU" w:cs="Arial"/>
                <w:caps/>
                <w:noProof/>
                <w:specVanish/>
              </w:rPr>
              <w:t>7.1</w:t>
            </w:r>
            <w:r>
              <w:rPr>
                <w:rFonts w:asciiTheme="minorHAnsi" w:hAnsiTheme="minorHAnsi" w:eastAsiaTheme="minorEastAsia" w:cstheme="minorBidi"/>
                <w:noProof/>
                <w:kern w:val="2"/>
                <w:sz w:val="24"/>
                <w:szCs w:val="24"/>
                <w14:ligatures w14:val="standardContextual"/>
              </w:rPr>
              <w:tab/>
            </w:r>
            <w:r w:rsidRPr="00CF704D">
              <w:rPr>
                <w:rStyle w:val="Hyperlink"/>
                <w:rFonts w:cs="Arial"/>
                <w:noProof/>
              </w:rPr>
              <w:t>Design and Construction of the Facility.</w:t>
            </w:r>
            <w:r>
              <w:rPr>
                <w:noProof/>
                <w:webHidden/>
              </w:rPr>
              <w:tab/>
            </w:r>
            <w:r>
              <w:rPr>
                <w:noProof/>
                <w:webHidden/>
              </w:rPr>
              <w:fldChar w:fldCharType="begin"/>
            </w:r>
            <w:r>
              <w:rPr>
                <w:noProof/>
                <w:webHidden/>
              </w:rPr>
              <w:instrText xml:space="preserve"> PAGEREF _Toc227840672 \h </w:instrText>
            </w:r>
            <w:r>
              <w:rPr>
                <w:noProof/>
                <w:webHidden/>
              </w:rPr>
            </w:r>
            <w:r>
              <w:rPr>
                <w:noProof/>
                <w:webHidden/>
              </w:rPr>
              <w:fldChar w:fldCharType="separate"/>
            </w:r>
            <w:r>
              <w:rPr>
                <w:noProof/>
                <w:webHidden/>
              </w:rPr>
              <w:t>35</w:t>
            </w:r>
            <w:r>
              <w:rPr>
                <w:noProof/>
                <w:webHidden/>
              </w:rPr>
              <w:fldChar w:fldCharType="end"/>
            </w:r>
          </w:hyperlink>
        </w:p>
        <w:p w:rsidR="00CC5F3E" w:rsidRDefault="00CC5F3E" w14:paraId="3EEB2F24" w14:textId="7D0F9CD9">
          <w:pPr>
            <w:pStyle w:val="TOC2"/>
            <w:rPr>
              <w:rFonts w:asciiTheme="minorHAnsi" w:hAnsiTheme="minorHAnsi" w:eastAsiaTheme="minorEastAsia" w:cstheme="minorBidi"/>
              <w:noProof/>
              <w:kern w:val="2"/>
              <w:sz w:val="24"/>
              <w:szCs w:val="24"/>
              <w14:ligatures w14:val="standardContextual"/>
            </w:rPr>
          </w:pPr>
          <w:hyperlink w:history="1" w:anchor="_Toc227840673">
            <w:r w:rsidRPr="00CF704D">
              <w:rPr>
                <w:rStyle w:val="Hyperlink"/>
                <w:rFonts w:eastAsia="PMingLiU" w:cs="Arial"/>
                <w:caps/>
                <w:noProof/>
                <w:specVanish/>
              </w:rPr>
              <w:t>7.2</w:t>
            </w:r>
            <w:r>
              <w:rPr>
                <w:rFonts w:asciiTheme="minorHAnsi" w:hAnsiTheme="minorHAnsi" w:eastAsiaTheme="minorEastAsia" w:cstheme="minorBidi"/>
                <w:noProof/>
                <w:kern w:val="2"/>
                <w:sz w:val="24"/>
                <w:szCs w:val="24"/>
                <w14:ligatures w14:val="standardContextual"/>
              </w:rPr>
              <w:tab/>
            </w:r>
            <w:r w:rsidRPr="00CF704D">
              <w:rPr>
                <w:rStyle w:val="Hyperlink"/>
                <w:noProof/>
              </w:rPr>
              <w:t>Key Milestones and Milestone Schedule.</w:t>
            </w:r>
            <w:r>
              <w:rPr>
                <w:noProof/>
                <w:webHidden/>
              </w:rPr>
              <w:tab/>
            </w:r>
            <w:r>
              <w:rPr>
                <w:noProof/>
                <w:webHidden/>
              </w:rPr>
              <w:fldChar w:fldCharType="begin"/>
            </w:r>
            <w:r>
              <w:rPr>
                <w:noProof/>
                <w:webHidden/>
              </w:rPr>
              <w:instrText xml:space="preserve"> PAGEREF _Toc227840673 \h </w:instrText>
            </w:r>
            <w:r>
              <w:rPr>
                <w:noProof/>
                <w:webHidden/>
              </w:rPr>
            </w:r>
            <w:r>
              <w:rPr>
                <w:noProof/>
                <w:webHidden/>
              </w:rPr>
              <w:fldChar w:fldCharType="separate"/>
            </w:r>
            <w:r>
              <w:rPr>
                <w:noProof/>
                <w:webHidden/>
              </w:rPr>
              <w:t>36</w:t>
            </w:r>
            <w:r>
              <w:rPr>
                <w:noProof/>
                <w:webHidden/>
              </w:rPr>
              <w:fldChar w:fldCharType="end"/>
            </w:r>
          </w:hyperlink>
        </w:p>
        <w:p w:rsidR="00CC5F3E" w:rsidRDefault="00CC5F3E" w14:paraId="5F7C5609" w14:textId="54FA1817">
          <w:pPr>
            <w:pStyle w:val="TOC2"/>
            <w:rPr>
              <w:rFonts w:asciiTheme="minorHAnsi" w:hAnsiTheme="minorHAnsi" w:eastAsiaTheme="minorEastAsia" w:cstheme="minorBidi"/>
              <w:noProof/>
              <w:kern w:val="2"/>
              <w:sz w:val="24"/>
              <w:szCs w:val="24"/>
              <w14:ligatures w14:val="standardContextual"/>
            </w:rPr>
          </w:pPr>
          <w:hyperlink w:history="1" w:anchor="_Toc227840674">
            <w:r w:rsidRPr="00CF704D">
              <w:rPr>
                <w:rStyle w:val="Hyperlink"/>
                <w:rFonts w:eastAsia="PMingLiU" w:cs="Arial"/>
                <w:caps/>
                <w:noProof/>
                <w:specVanish/>
              </w:rPr>
              <w:t>7.3</w:t>
            </w:r>
            <w:r>
              <w:rPr>
                <w:rFonts w:asciiTheme="minorHAnsi" w:hAnsiTheme="minorHAnsi" w:eastAsiaTheme="minorEastAsia" w:cstheme="minorBidi"/>
                <w:noProof/>
                <w:kern w:val="2"/>
                <w:sz w:val="24"/>
                <w:szCs w:val="24"/>
                <w14:ligatures w14:val="standardContextual"/>
              </w:rPr>
              <w:tab/>
            </w:r>
            <w:r w:rsidRPr="00CF704D">
              <w:rPr>
                <w:rStyle w:val="Hyperlink"/>
                <w:rFonts w:cs="Arial"/>
                <w:noProof/>
              </w:rPr>
              <w:t>Permitting.</w:t>
            </w:r>
            <w:r>
              <w:rPr>
                <w:noProof/>
                <w:webHidden/>
              </w:rPr>
              <w:tab/>
            </w:r>
            <w:r>
              <w:rPr>
                <w:noProof/>
                <w:webHidden/>
              </w:rPr>
              <w:fldChar w:fldCharType="begin"/>
            </w:r>
            <w:r>
              <w:rPr>
                <w:noProof/>
                <w:webHidden/>
              </w:rPr>
              <w:instrText xml:space="preserve"> PAGEREF _Toc227840674 \h </w:instrText>
            </w:r>
            <w:r>
              <w:rPr>
                <w:noProof/>
                <w:webHidden/>
              </w:rPr>
            </w:r>
            <w:r>
              <w:rPr>
                <w:noProof/>
                <w:webHidden/>
              </w:rPr>
              <w:fldChar w:fldCharType="separate"/>
            </w:r>
            <w:r>
              <w:rPr>
                <w:noProof/>
                <w:webHidden/>
              </w:rPr>
              <w:t>37</w:t>
            </w:r>
            <w:r>
              <w:rPr>
                <w:noProof/>
                <w:webHidden/>
              </w:rPr>
              <w:fldChar w:fldCharType="end"/>
            </w:r>
          </w:hyperlink>
        </w:p>
        <w:p w:rsidR="00CC5F3E" w:rsidRDefault="00CC5F3E" w14:paraId="3FFD8EEE" w14:textId="1E45F062">
          <w:pPr>
            <w:pStyle w:val="TOC2"/>
            <w:rPr>
              <w:rFonts w:asciiTheme="minorHAnsi" w:hAnsiTheme="minorHAnsi" w:eastAsiaTheme="minorEastAsia" w:cstheme="minorBidi"/>
              <w:noProof/>
              <w:kern w:val="2"/>
              <w:sz w:val="24"/>
              <w:szCs w:val="24"/>
              <w14:ligatures w14:val="standardContextual"/>
            </w:rPr>
          </w:pPr>
          <w:hyperlink w:history="1" w:anchor="_Toc227840675">
            <w:r w:rsidRPr="00CF704D">
              <w:rPr>
                <w:rStyle w:val="Hyperlink"/>
                <w:rFonts w:eastAsia="PMingLiU" w:cs="Arial"/>
                <w:caps/>
                <w:noProof/>
                <w:specVanish/>
              </w:rPr>
              <w:t>7.4</w:t>
            </w:r>
            <w:r>
              <w:rPr>
                <w:rFonts w:asciiTheme="minorHAnsi" w:hAnsiTheme="minorHAnsi" w:eastAsiaTheme="minorEastAsia" w:cstheme="minorBidi"/>
                <w:noProof/>
                <w:kern w:val="2"/>
                <w:sz w:val="24"/>
                <w:szCs w:val="24"/>
                <w14:ligatures w14:val="standardContextual"/>
              </w:rPr>
              <w:tab/>
            </w:r>
            <w:r w:rsidRPr="00CF704D">
              <w:rPr>
                <w:rStyle w:val="Hyperlink"/>
                <w:rFonts w:cs="Arial"/>
                <w:noProof/>
              </w:rPr>
              <w:t>Failure to Achieve Commercial Operation by RCOD.</w:t>
            </w:r>
            <w:r>
              <w:rPr>
                <w:noProof/>
                <w:webHidden/>
              </w:rPr>
              <w:tab/>
            </w:r>
            <w:r>
              <w:rPr>
                <w:noProof/>
                <w:webHidden/>
              </w:rPr>
              <w:fldChar w:fldCharType="begin"/>
            </w:r>
            <w:r>
              <w:rPr>
                <w:noProof/>
                <w:webHidden/>
              </w:rPr>
              <w:instrText xml:space="preserve"> PAGEREF _Toc227840675 \h </w:instrText>
            </w:r>
            <w:r>
              <w:rPr>
                <w:noProof/>
                <w:webHidden/>
              </w:rPr>
            </w:r>
            <w:r>
              <w:rPr>
                <w:noProof/>
                <w:webHidden/>
              </w:rPr>
              <w:fldChar w:fldCharType="separate"/>
            </w:r>
            <w:r>
              <w:rPr>
                <w:noProof/>
                <w:webHidden/>
              </w:rPr>
              <w:t>37</w:t>
            </w:r>
            <w:r>
              <w:rPr>
                <w:noProof/>
                <w:webHidden/>
              </w:rPr>
              <w:fldChar w:fldCharType="end"/>
            </w:r>
          </w:hyperlink>
        </w:p>
        <w:p w:rsidR="00CC5F3E" w:rsidRDefault="00CC5F3E" w14:paraId="7D611D5E" w14:textId="7E26FCE8">
          <w:pPr>
            <w:pStyle w:val="TOC1"/>
            <w:rPr>
              <w:rFonts w:asciiTheme="minorHAnsi" w:hAnsiTheme="minorHAnsi" w:eastAsiaTheme="minorEastAsia" w:cstheme="minorBidi"/>
              <w:b w:val="0"/>
              <w:caps w:val="0"/>
              <w:noProof/>
              <w:kern w:val="2"/>
              <w:sz w:val="24"/>
              <w:szCs w:val="24"/>
              <w14:ligatures w14:val="standardContextual"/>
            </w:rPr>
          </w:pPr>
          <w:hyperlink w:history="1" w:anchor="_Toc227840676">
            <w:r w:rsidRPr="00CF704D">
              <w:rPr>
                <w:rStyle w:val="Hyperlink"/>
                <w:noProof/>
                <w14:scene3d>
                  <w14:camera w14:prst="orthographicFront"/>
                  <w14:lightRig w14:rig="threePt" w14:dir="t">
                    <w14:rot w14:lat="0" w14:lon="0" w14:rev="0"/>
                  </w14:lightRig>
                </w14:scene3d>
                <w14:props3d w14:extrusionH="0" w14:contourW="0" w14:prstMaterial="warmMatte"/>
              </w:rPr>
              <w:t>Part 8.</w:t>
            </w:r>
            <w:r>
              <w:rPr>
                <w:rFonts w:asciiTheme="minorHAnsi" w:hAnsiTheme="minorHAnsi" w:eastAsiaTheme="minorEastAsia" w:cstheme="minorBidi"/>
                <w:b w:val="0"/>
                <w:caps w:val="0"/>
                <w:noProof/>
                <w:kern w:val="2"/>
                <w:sz w:val="24"/>
                <w:szCs w:val="24"/>
                <w14:ligatures w14:val="standardContextual"/>
              </w:rPr>
              <w:tab/>
            </w:r>
            <w:r w:rsidRPr="00CF704D">
              <w:rPr>
                <w:rStyle w:val="Hyperlink"/>
                <w:noProof/>
              </w:rPr>
              <w:t>Interconnection and Metering</w:t>
            </w:r>
            <w:r>
              <w:rPr>
                <w:noProof/>
                <w:webHidden/>
              </w:rPr>
              <w:tab/>
            </w:r>
            <w:r>
              <w:rPr>
                <w:noProof/>
                <w:webHidden/>
              </w:rPr>
              <w:fldChar w:fldCharType="begin"/>
            </w:r>
            <w:r>
              <w:rPr>
                <w:noProof/>
                <w:webHidden/>
              </w:rPr>
              <w:instrText xml:space="preserve"> PAGEREF _Toc227840676 \h </w:instrText>
            </w:r>
            <w:r>
              <w:rPr>
                <w:noProof/>
                <w:webHidden/>
              </w:rPr>
            </w:r>
            <w:r>
              <w:rPr>
                <w:noProof/>
                <w:webHidden/>
              </w:rPr>
              <w:fldChar w:fldCharType="separate"/>
            </w:r>
            <w:r>
              <w:rPr>
                <w:noProof/>
                <w:webHidden/>
              </w:rPr>
              <w:t>39</w:t>
            </w:r>
            <w:r>
              <w:rPr>
                <w:noProof/>
                <w:webHidden/>
              </w:rPr>
              <w:fldChar w:fldCharType="end"/>
            </w:r>
          </w:hyperlink>
        </w:p>
        <w:p w:rsidR="00CC5F3E" w:rsidRDefault="00CC5F3E" w14:paraId="11B0A858" w14:textId="68931550">
          <w:pPr>
            <w:pStyle w:val="TOC2"/>
            <w:rPr>
              <w:rFonts w:asciiTheme="minorHAnsi" w:hAnsiTheme="minorHAnsi" w:eastAsiaTheme="minorEastAsia" w:cstheme="minorBidi"/>
              <w:noProof/>
              <w:kern w:val="2"/>
              <w:sz w:val="24"/>
              <w:szCs w:val="24"/>
              <w14:ligatures w14:val="standardContextual"/>
            </w:rPr>
          </w:pPr>
          <w:hyperlink w:history="1" w:anchor="_Toc227840677">
            <w:r w:rsidRPr="00CF704D">
              <w:rPr>
                <w:rStyle w:val="Hyperlink"/>
                <w:rFonts w:eastAsia="PMingLiU" w:cs="Arial"/>
                <w:caps/>
                <w:noProof/>
                <w:specVanish/>
              </w:rPr>
              <w:t>8.1</w:t>
            </w:r>
            <w:r>
              <w:rPr>
                <w:rFonts w:asciiTheme="minorHAnsi" w:hAnsiTheme="minorHAnsi" w:eastAsiaTheme="minorEastAsia" w:cstheme="minorBidi"/>
                <w:noProof/>
                <w:kern w:val="2"/>
                <w:sz w:val="24"/>
                <w:szCs w:val="24"/>
                <w14:ligatures w14:val="standardContextual"/>
              </w:rPr>
              <w:tab/>
            </w:r>
            <w:r w:rsidRPr="00CF704D">
              <w:rPr>
                <w:rStyle w:val="Hyperlink"/>
                <w:rFonts w:cs="Arial"/>
                <w:noProof/>
              </w:rPr>
              <w:t>Interconnection.</w:t>
            </w:r>
            <w:r>
              <w:rPr>
                <w:noProof/>
                <w:webHidden/>
              </w:rPr>
              <w:tab/>
            </w:r>
            <w:r>
              <w:rPr>
                <w:noProof/>
                <w:webHidden/>
              </w:rPr>
              <w:fldChar w:fldCharType="begin"/>
            </w:r>
            <w:r>
              <w:rPr>
                <w:noProof/>
                <w:webHidden/>
              </w:rPr>
              <w:instrText xml:space="preserve"> PAGEREF _Toc227840677 \h </w:instrText>
            </w:r>
            <w:r>
              <w:rPr>
                <w:noProof/>
                <w:webHidden/>
              </w:rPr>
            </w:r>
            <w:r>
              <w:rPr>
                <w:noProof/>
                <w:webHidden/>
              </w:rPr>
              <w:fldChar w:fldCharType="separate"/>
            </w:r>
            <w:r>
              <w:rPr>
                <w:noProof/>
                <w:webHidden/>
              </w:rPr>
              <w:t>39</w:t>
            </w:r>
            <w:r>
              <w:rPr>
                <w:noProof/>
                <w:webHidden/>
              </w:rPr>
              <w:fldChar w:fldCharType="end"/>
            </w:r>
          </w:hyperlink>
        </w:p>
        <w:p w:rsidR="00CC5F3E" w:rsidRDefault="00CC5F3E" w14:paraId="413701EC" w14:textId="02F52810">
          <w:pPr>
            <w:pStyle w:val="TOC2"/>
            <w:rPr>
              <w:rFonts w:asciiTheme="minorHAnsi" w:hAnsiTheme="minorHAnsi" w:eastAsiaTheme="minorEastAsia" w:cstheme="minorBidi"/>
              <w:noProof/>
              <w:kern w:val="2"/>
              <w:sz w:val="24"/>
              <w:szCs w:val="24"/>
              <w14:ligatures w14:val="standardContextual"/>
            </w:rPr>
          </w:pPr>
          <w:hyperlink w:history="1" w:anchor="_Toc227840678">
            <w:r w:rsidRPr="00CF704D">
              <w:rPr>
                <w:rStyle w:val="Hyperlink"/>
                <w:rFonts w:eastAsia="PMingLiU"/>
                <w:caps/>
                <w:noProof/>
                <w:specVanish/>
              </w:rPr>
              <w:t>8.2</w:t>
            </w:r>
            <w:r>
              <w:rPr>
                <w:rFonts w:asciiTheme="minorHAnsi" w:hAnsiTheme="minorHAnsi" w:eastAsiaTheme="minorEastAsia" w:cstheme="minorBidi"/>
                <w:noProof/>
                <w:kern w:val="2"/>
                <w:sz w:val="24"/>
                <w:szCs w:val="24"/>
                <w14:ligatures w14:val="standardContextual"/>
              </w:rPr>
              <w:tab/>
            </w:r>
            <w:r w:rsidRPr="00CF704D">
              <w:rPr>
                <w:rStyle w:val="Hyperlink"/>
                <w:noProof/>
              </w:rPr>
              <w:t>Metering and Telemetry.</w:t>
            </w:r>
            <w:r>
              <w:rPr>
                <w:noProof/>
                <w:webHidden/>
              </w:rPr>
              <w:tab/>
            </w:r>
            <w:r>
              <w:rPr>
                <w:noProof/>
                <w:webHidden/>
              </w:rPr>
              <w:fldChar w:fldCharType="begin"/>
            </w:r>
            <w:r>
              <w:rPr>
                <w:noProof/>
                <w:webHidden/>
              </w:rPr>
              <w:instrText xml:space="preserve"> PAGEREF _Toc227840678 \h </w:instrText>
            </w:r>
            <w:r>
              <w:rPr>
                <w:noProof/>
                <w:webHidden/>
              </w:rPr>
            </w:r>
            <w:r>
              <w:rPr>
                <w:noProof/>
                <w:webHidden/>
              </w:rPr>
              <w:fldChar w:fldCharType="separate"/>
            </w:r>
            <w:r>
              <w:rPr>
                <w:noProof/>
                <w:webHidden/>
              </w:rPr>
              <w:t>39</w:t>
            </w:r>
            <w:r>
              <w:rPr>
                <w:noProof/>
                <w:webHidden/>
              </w:rPr>
              <w:fldChar w:fldCharType="end"/>
            </w:r>
          </w:hyperlink>
        </w:p>
        <w:p w:rsidR="00CC5F3E" w:rsidRDefault="00CC5F3E" w14:paraId="76519F49" w14:textId="5814911F">
          <w:pPr>
            <w:pStyle w:val="TOC1"/>
            <w:rPr>
              <w:rFonts w:asciiTheme="minorHAnsi" w:hAnsiTheme="minorHAnsi" w:eastAsiaTheme="minorEastAsia" w:cstheme="minorBidi"/>
              <w:b w:val="0"/>
              <w:caps w:val="0"/>
              <w:noProof/>
              <w:kern w:val="2"/>
              <w:sz w:val="24"/>
              <w:szCs w:val="24"/>
              <w14:ligatures w14:val="standardContextual"/>
            </w:rPr>
          </w:pPr>
          <w:hyperlink w:history="1" w:anchor="_Toc227840679">
            <w:r w:rsidRPr="00CF704D">
              <w:rPr>
                <w:rStyle w:val="Hyperlink"/>
                <w:noProof/>
                <w14:scene3d>
                  <w14:camera w14:prst="orthographicFront"/>
                  <w14:lightRig w14:rig="threePt" w14:dir="t">
                    <w14:rot w14:lat="0" w14:lon="0" w14:rev="0"/>
                  </w14:lightRig>
                </w14:scene3d>
                <w14:props3d w14:extrusionH="0" w14:contourW="0" w14:prstMaterial="warmMatte"/>
              </w:rPr>
              <w:t>Part 9.</w:t>
            </w:r>
            <w:r>
              <w:rPr>
                <w:rFonts w:asciiTheme="minorHAnsi" w:hAnsiTheme="minorHAnsi" w:eastAsiaTheme="minorEastAsia" w:cstheme="minorBidi"/>
                <w:b w:val="0"/>
                <w:caps w:val="0"/>
                <w:noProof/>
                <w:kern w:val="2"/>
                <w:sz w:val="24"/>
                <w:szCs w:val="24"/>
                <w14:ligatures w14:val="standardContextual"/>
              </w:rPr>
              <w:tab/>
            </w:r>
            <w:r w:rsidRPr="00CF704D">
              <w:rPr>
                <w:rStyle w:val="Hyperlink"/>
                <w:noProof/>
              </w:rPr>
              <w:t>DECLARED Capacity and Performance Tests</w:t>
            </w:r>
            <w:r>
              <w:rPr>
                <w:noProof/>
                <w:webHidden/>
              </w:rPr>
              <w:tab/>
            </w:r>
            <w:r>
              <w:rPr>
                <w:noProof/>
                <w:webHidden/>
              </w:rPr>
              <w:fldChar w:fldCharType="begin"/>
            </w:r>
            <w:r>
              <w:rPr>
                <w:noProof/>
                <w:webHidden/>
              </w:rPr>
              <w:instrText xml:space="preserve"> PAGEREF _Toc227840679 \h </w:instrText>
            </w:r>
            <w:r>
              <w:rPr>
                <w:noProof/>
                <w:webHidden/>
              </w:rPr>
            </w:r>
            <w:r>
              <w:rPr>
                <w:noProof/>
                <w:webHidden/>
              </w:rPr>
              <w:fldChar w:fldCharType="separate"/>
            </w:r>
            <w:r>
              <w:rPr>
                <w:noProof/>
                <w:webHidden/>
              </w:rPr>
              <w:t>40</w:t>
            </w:r>
            <w:r>
              <w:rPr>
                <w:noProof/>
                <w:webHidden/>
              </w:rPr>
              <w:fldChar w:fldCharType="end"/>
            </w:r>
          </w:hyperlink>
        </w:p>
        <w:p w:rsidR="00CC5F3E" w:rsidRDefault="00CC5F3E" w14:paraId="3458AA95" w14:textId="13022A62">
          <w:pPr>
            <w:pStyle w:val="TOC2"/>
            <w:rPr>
              <w:rFonts w:asciiTheme="minorHAnsi" w:hAnsiTheme="minorHAnsi" w:eastAsiaTheme="minorEastAsia" w:cstheme="minorBidi"/>
              <w:noProof/>
              <w:kern w:val="2"/>
              <w:sz w:val="24"/>
              <w:szCs w:val="24"/>
              <w14:ligatures w14:val="standardContextual"/>
            </w:rPr>
          </w:pPr>
          <w:hyperlink w:history="1" w:anchor="_Toc227840680">
            <w:r w:rsidRPr="00CF704D">
              <w:rPr>
                <w:rStyle w:val="Hyperlink"/>
                <w:rFonts w:eastAsia="PMingLiU" w:cs="Arial"/>
                <w:caps/>
                <w:noProof/>
                <w:specVanish/>
              </w:rPr>
              <w:t>9.1</w:t>
            </w:r>
            <w:r>
              <w:rPr>
                <w:rFonts w:asciiTheme="minorHAnsi" w:hAnsiTheme="minorHAnsi" w:eastAsiaTheme="minorEastAsia" w:cstheme="minorBidi"/>
                <w:noProof/>
                <w:kern w:val="2"/>
                <w:sz w:val="24"/>
                <w:szCs w:val="24"/>
                <w14:ligatures w14:val="standardContextual"/>
              </w:rPr>
              <w:tab/>
            </w:r>
            <w:r w:rsidRPr="00CF704D">
              <w:rPr>
                <w:rStyle w:val="Hyperlink"/>
                <w:rFonts w:cs="Arial"/>
                <w:noProof/>
              </w:rPr>
              <w:t>Tested Reliable Capacity and Declared Capacity.</w:t>
            </w:r>
            <w:r>
              <w:rPr>
                <w:noProof/>
                <w:webHidden/>
              </w:rPr>
              <w:tab/>
            </w:r>
            <w:r>
              <w:rPr>
                <w:noProof/>
                <w:webHidden/>
              </w:rPr>
              <w:fldChar w:fldCharType="begin"/>
            </w:r>
            <w:r>
              <w:rPr>
                <w:noProof/>
                <w:webHidden/>
              </w:rPr>
              <w:instrText xml:space="preserve"> PAGEREF _Toc227840680 \h </w:instrText>
            </w:r>
            <w:r>
              <w:rPr>
                <w:noProof/>
                <w:webHidden/>
              </w:rPr>
            </w:r>
            <w:r>
              <w:rPr>
                <w:noProof/>
                <w:webHidden/>
              </w:rPr>
              <w:fldChar w:fldCharType="separate"/>
            </w:r>
            <w:r>
              <w:rPr>
                <w:noProof/>
                <w:webHidden/>
              </w:rPr>
              <w:t>40</w:t>
            </w:r>
            <w:r>
              <w:rPr>
                <w:noProof/>
                <w:webHidden/>
              </w:rPr>
              <w:fldChar w:fldCharType="end"/>
            </w:r>
          </w:hyperlink>
        </w:p>
        <w:p w:rsidR="00CC5F3E" w:rsidRDefault="00CC5F3E" w14:paraId="4894E1BB" w14:textId="614717FA">
          <w:pPr>
            <w:pStyle w:val="TOC2"/>
            <w:rPr>
              <w:rFonts w:asciiTheme="minorHAnsi" w:hAnsiTheme="minorHAnsi" w:eastAsiaTheme="minorEastAsia" w:cstheme="minorBidi"/>
              <w:noProof/>
              <w:kern w:val="2"/>
              <w:sz w:val="24"/>
              <w:szCs w:val="24"/>
              <w14:ligatures w14:val="standardContextual"/>
            </w:rPr>
          </w:pPr>
          <w:hyperlink w:history="1" w:anchor="_Toc227840681">
            <w:r w:rsidRPr="00CF704D">
              <w:rPr>
                <w:rStyle w:val="Hyperlink"/>
                <w:rFonts w:eastAsia="PMingLiU" w:cs="Arial"/>
                <w:caps/>
                <w:noProof/>
                <w:specVanish/>
              </w:rPr>
              <w:t>9.2</w:t>
            </w:r>
            <w:r>
              <w:rPr>
                <w:rFonts w:asciiTheme="minorHAnsi" w:hAnsiTheme="minorHAnsi" w:eastAsiaTheme="minorEastAsia" w:cstheme="minorBidi"/>
                <w:noProof/>
                <w:kern w:val="2"/>
                <w:sz w:val="24"/>
                <w:szCs w:val="24"/>
                <w14:ligatures w14:val="standardContextual"/>
              </w:rPr>
              <w:tab/>
            </w:r>
            <w:r w:rsidRPr="00CF704D">
              <w:rPr>
                <w:rStyle w:val="Hyperlink"/>
                <w:rFonts w:cs="Arial"/>
                <w:noProof/>
              </w:rPr>
              <w:t>Disputes Concerning Capacity Tests.</w:t>
            </w:r>
            <w:r>
              <w:rPr>
                <w:noProof/>
                <w:webHidden/>
              </w:rPr>
              <w:tab/>
            </w:r>
            <w:r>
              <w:rPr>
                <w:noProof/>
                <w:webHidden/>
              </w:rPr>
              <w:fldChar w:fldCharType="begin"/>
            </w:r>
            <w:r>
              <w:rPr>
                <w:noProof/>
                <w:webHidden/>
              </w:rPr>
              <w:instrText xml:space="preserve"> PAGEREF _Toc227840681 \h </w:instrText>
            </w:r>
            <w:r>
              <w:rPr>
                <w:noProof/>
                <w:webHidden/>
              </w:rPr>
            </w:r>
            <w:r>
              <w:rPr>
                <w:noProof/>
                <w:webHidden/>
              </w:rPr>
              <w:fldChar w:fldCharType="separate"/>
            </w:r>
            <w:r>
              <w:rPr>
                <w:noProof/>
                <w:webHidden/>
              </w:rPr>
              <w:t>40</w:t>
            </w:r>
            <w:r>
              <w:rPr>
                <w:noProof/>
                <w:webHidden/>
              </w:rPr>
              <w:fldChar w:fldCharType="end"/>
            </w:r>
          </w:hyperlink>
        </w:p>
        <w:p w:rsidR="00CC5F3E" w:rsidRDefault="00CC5F3E" w14:paraId="12A4A757" w14:textId="7E38349A">
          <w:pPr>
            <w:pStyle w:val="TOC1"/>
            <w:rPr>
              <w:rFonts w:asciiTheme="minorHAnsi" w:hAnsiTheme="minorHAnsi" w:eastAsiaTheme="minorEastAsia" w:cstheme="minorBidi"/>
              <w:b w:val="0"/>
              <w:caps w:val="0"/>
              <w:noProof/>
              <w:kern w:val="2"/>
              <w:sz w:val="24"/>
              <w:szCs w:val="24"/>
              <w14:ligatures w14:val="standardContextual"/>
            </w:rPr>
          </w:pPr>
          <w:hyperlink w:history="1" w:anchor="_Toc227840682">
            <w:r w:rsidRPr="00CF704D">
              <w:rPr>
                <w:rStyle w:val="Hyperlink"/>
                <w:noProof/>
                <w14:scene3d>
                  <w14:camera w14:prst="orthographicFront"/>
                  <w14:lightRig w14:rig="threePt" w14:dir="t">
                    <w14:rot w14:lat="0" w14:lon="0" w14:rev="0"/>
                  </w14:lightRig>
                </w14:scene3d>
                <w14:props3d w14:extrusionH="0" w14:contourW="0" w14:prstMaterial="warmMatte"/>
              </w:rPr>
              <w:t>Part 10.</w:t>
            </w:r>
            <w:r>
              <w:rPr>
                <w:rFonts w:asciiTheme="minorHAnsi" w:hAnsiTheme="minorHAnsi" w:eastAsiaTheme="minorEastAsia" w:cstheme="minorBidi"/>
                <w:b w:val="0"/>
                <w:caps w:val="0"/>
                <w:noProof/>
                <w:kern w:val="2"/>
                <w:sz w:val="24"/>
                <w:szCs w:val="24"/>
                <w14:ligatures w14:val="standardContextual"/>
              </w:rPr>
              <w:tab/>
            </w:r>
            <w:r w:rsidRPr="00CF704D">
              <w:rPr>
                <w:rStyle w:val="Hyperlink"/>
                <w:noProof/>
              </w:rPr>
              <w:t>Operation and Maintenance</w:t>
            </w:r>
            <w:r>
              <w:rPr>
                <w:noProof/>
                <w:webHidden/>
              </w:rPr>
              <w:tab/>
            </w:r>
            <w:r>
              <w:rPr>
                <w:noProof/>
                <w:webHidden/>
              </w:rPr>
              <w:fldChar w:fldCharType="begin"/>
            </w:r>
            <w:r>
              <w:rPr>
                <w:noProof/>
                <w:webHidden/>
              </w:rPr>
              <w:instrText xml:space="preserve"> PAGEREF _Toc227840682 \h </w:instrText>
            </w:r>
            <w:r>
              <w:rPr>
                <w:noProof/>
                <w:webHidden/>
              </w:rPr>
            </w:r>
            <w:r>
              <w:rPr>
                <w:noProof/>
                <w:webHidden/>
              </w:rPr>
              <w:fldChar w:fldCharType="separate"/>
            </w:r>
            <w:r>
              <w:rPr>
                <w:noProof/>
                <w:webHidden/>
              </w:rPr>
              <w:t>40</w:t>
            </w:r>
            <w:r>
              <w:rPr>
                <w:noProof/>
                <w:webHidden/>
              </w:rPr>
              <w:fldChar w:fldCharType="end"/>
            </w:r>
          </w:hyperlink>
        </w:p>
        <w:p w:rsidR="00CC5F3E" w:rsidRDefault="00CC5F3E" w14:paraId="51B4775E" w14:textId="342C7843">
          <w:pPr>
            <w:pStyle w:val="TOC2"/>
            <w:rPr>
              <w:rFonts w:asciiTheme="minorHAnsi" w:hAnsiTheme="minorHAnsi" w:eastAsiaTheme="minorEastAsia" w:cstheme="minorBidi"/>
              <w:noProof/>
              <w:kern w:val="2"/>
              <w:sz w:val="24"/>
              <w:szCs w:val="24"/>
              <w14:ligatures w14:val="standardContextual"/>
            </w:rPr>
          </w:pPr>
          <w:hyperlink w:history="1" w:anchor="_Toc227840683">
            <w:r w:rsidRPr="00CF704D">
              <w:rPr>
                <w:rStyle w:val="Hyperlink"/>
                <w:rFonts w:eastAsia="PMingLiU" w:cs="Arial"/>
                <w:caps/>
                <w:noProof/>
                <w:specVanish/>
              </w:rPr>
              <w:t>10.1</w:t>
            </w:r>
            <w:r>
              <w:rPr>
                <w:rFonts w:asciiTheme="minorHAnsi" w:hAnsiTheme="minorHAnsi" w:eastAsiaTheme="minorEastAsia" w:cstheme="minorBidi"/>
                <w:noProof/>
                <w:kern w:val="2"/>
                <w:sz w:val="24"/>
                <w:szCs w:val="24"/>
                <w14:ligatures w14:val="standardContextual"/>
              </w:rPr>
              <w:tab/>
            </w:r>
            <w:r w:rsidRPr="00CF704D">
              <w:rPr>
                <w:rStyle w:val="Hyperlink"/>
                <w:rFonts w:cs="Arial"/>
                <w:noProof/>
              </w:rPr>
              <w:t>Operation and Maintenance.</w:t>
            </w:r>
            <w:r>
              <w:rPr>
                <w:noProof/>
                <w:webHidden/>
              </w:rPr>
              <w:tab/>
            </w:r>
            <w:r>
              <w:rPr>
                <w:noProof/>
                <w:webHidden/>
              </w:rPr>
              <w:fldChar w:fldCharType="begin"/>
            </w:r>
            <w:r>
              <w:rPr>
                <w:noProof/>
                <w:webHidden/>
              </w:rPr>
              <w:instrText xml:space="preserve"> PAGEREF _Toc227840683 \h </w:instrText>
            </w:r>
            <w:r>
              <w:rPr>
                <w:noProof/>
                <w:webHidden/>
              </w:rPr>
            </w:r>
            <w:r>
              <w:rPr>
                <w:noProof/>
                <w:webHidden/>
              </w:rPr>
              <w:fldChar w:fldCharType="separate"/>
            </w:r>
            <w:r>
              <w:rPr>
                <w:noProof/>
                <w:webHidden/>
              </w:rPr>
              <w:t>40</w:t>
            </w:r>
            <w:r>
              <w:rPr>
                <w:noProof/>
                <w:webHidden/>
              </w:rPr>
              <w:fldChar w:fldCharType="end"/>
            </w:r>
          </w:hyperlink>
        </w:p>
        <w:p w:rsidR="00CC5F3E" w:rsidRDefault="00CC5F3E" w14:paraId="135424EC" w14:textId="2BD8A138">
          <w:pPr>
            <w:pStyle w:val="TOC2"/>
            <w:rPr>
              <w:rFonts w:asciiTheme="minorHAnsi" w:hAnsiTheme="minorHAnsi" w:eastAsiaTheme="minorEastAsia" w:cstheme="minorBidi"/>
              <w:noProof/>
              <w:kern w:val="2"/>
              <w:sz w:val="24"/>
              <w:szCs w:val="24"/>
              <w14:ligatures w14:val="standardContextual"/>
            </w:rPr>
          </w:pPr>
          <w:hyperlink w:history="1" w:anchor="_Toc227840684">
            <w:r w:rsidRPr="00CF704D">
              <w:rPr>
                <w:rStyle w:val="Hyperlink"/>
                <w:rFonts w:eastAsia="PMingLiU" w:cs="Arial"/>
                <w:caps/>
                <w:noProof/>
                <w:specVanish/>
              </w:rPr>
              <w:t>10.2</w:t>
            </w:r>
            <w:r>
              <w:rPr>
                <w:rFonts w:asciiTheme="minorHAnsi" w:hAnsiTheme="minorHAnsi" w:eastAsiaTheme="minorEastAsia" w:cstheme="minorBidi"/>
                <w:noProof/>
                <w:kern w:val="2"/>
                <w:sz w:val="24"/>
                <w:szCs w:val="24"/>
                <w14:ligatures w14:val="standardContextual"/>
              </w:rPr>
              <w:tab/>
            </w:r>
            <w:r w:rsidRPr="00CF704D">
              <w:rPr>
                <w:rStyle w:val="Hyperlink"/>
                <w:rFonts w:cs="Arial"/>
                <w:noProof/>
              </w:rPr>
              <w:t>Maintenance Scheduling.</w:t>
            </w:r>
            <w:r>
              <w:rPr>
                <w:noProof/>
                <w:webHidden/>
              </w:rPr>
              <w:tab/>
            </w:r>
            <w:r>
              <w:rPr>
                <w:noProof/>
                <w:webHidden/>
              </w:rPr>
              <w:fldChar w:fldCharType="begin"/>
            </w:r>
            <w:r>
              <w:rPr>
                <w:noProof/>
                <w:webHidden/>
              </w:rPr>
              <w:instrText xml:space="preserve"> PAGEREF _Toc227840684 \h </w:instrText>
            </w:r>
            <w:r>
              <w:rPr>
                <w:noProof/>
                <w:webHidden/>
              </w:rPr>
            </w:r>
            <w:r>
              <w:rPr>
                <w:noProof/>
                <w:webHidden/>
              </w:rPr>
              <w:fldChar w:fldCharType="separate"/>
            </w:r>
            <w:r>
              <w:rPr>
                <w:noProof/>
                <w:webHidden/>
              </w:rPr>
              <w:t>41</w:t>
            </w:r>
            <w:r>
              <w:rPr>
                <w:noProof/>
                <w:webHidden/>
              </w:rPr>
              <w:fldChar w:fldCharType="end"/>
            </w:r>
          </w:hyperlink>
        </w:p>
        <w:p w:rsidR="00CC5F3E" w:rsidRDefault="00CC5F3E" w14:paraId="1E19280F" w14:textId="14126A54">
          <w:pPr>
            <w:pStyle w:val="TOC2"/>
            <w:rPr>
              <w:rFonts w:asciiTheme="minorHAnsi" w:hAnsiTheme="minorHAnsi" w:eastAsiaTheme="minorEastAsia" w:cstheme="minorBidi"/>
              <w:noProof/>
              <w:kern w:val="2"/>
              <w:sz w:val="24"/>
              <w:szCs w:val="24"/>
              <w14:ligatures w14:val="standardContextual"/>
            </w:rPr>
          </w:pPr>
          <w:hyperlink w:history="1" w:anchor="_Toc227840685">
            <w:r w:rsidRPr="00CF704D">
              <w:rPr>
                <w:rStyle w:val="Hyperlink"/>
                <w:rFonts w:eastAsia="PMingLiU" w:cs="Arial"/>
                <w:caps/>
                <w:noProof/>
                <w:specVanish/>
              </w:rPr>
              <w:t>10.3</w:t>
            </w:r>
            <w:r>
              <w:rPr>
                <w:rFonts w:asciiTheme="minorHAnsi" w:hAnsiTheme="minorHAnsi" w:eastAsiaTheme="minorEastAsia" w:cstheme="minorBidi"/>
                <w:noProof/>
                <w:kern w:val="2"/>
                <w:sz w:val="24"/>
                <w:szCs w:val="24"/>
                <w14:ligatures w14:val="standardContextual"/>
              </w:rPr>
              <w:tab/>
            </w:r>
            <w:r w:rsidRPr="00CF704D">
              <w:rPr>
                <w:rStyle w:val="Hyperlink"/>
                <w:rFonts w:cs="Arial"/>
                <w:noProof/>
              </w:rPr>
              <w:t>Permits.</w:t>
            </w:r>
            <w:r>
              <w:rPr>
                <w:noProof/>
                <w:webHidden/>
              </w:rPr>
              <w:tab/>
            </w:r>
            <w:r>
              <w:rPr>
                <w:noProof/>
                <w:webHidden/>
              </w:rPr>
              <w:fldChar w:fldCharType="begin"/>
            </w:r>
            <w:r>
              <w:rPr>
                <w:noProof/>
                <w:webHidden/>
              </w:rPr>
              <w:instrText xml:space="preserve"> PAGEREF _Toc227840685 \h </w:instrText>
            </w:r>
            <w:r>
              <w:rPr>
                <w:noProof/>
                <w:webHidden/>
              </w:rPr>
            </w:r>
            <w:r>
              <w:rPr>
                <w:noProof/>
                <w:webHidden/>
              </w:rPr>
              <w:fldChar w:fldCharType="separate"/>
            </w:r>
            <w:r>
              <w:rPr>
                <w:noProof/>
                <w:webHidden/>
              </w:rPr>
              <w:t>42</w:t>
            </w:r>
            <w:r>
              <w:rPr>
                <w:noProof/>
                <w:webHidden/>
              </w:rPr>
              <w:fldChar w:fldCharType="end"/>
            </w:r>
          </w:hyperlink>
        </w:p>
        <w:p w:rsidR="00CC5F3E" w:rsidRDefault="00CC5F3E" w14:paraId="46229560" w14:textId="23D30DC0">
          <w:pPr>
            <w:pStyle w:val="TOC2"/>
            <w:rPr>
              <w:rFonts w:asciiTheme="minorHAnsi" w:hAnsiTheme="minorHAnsi" w:eastAsiaTheme="minorEastAsia" w:cstheme="minorBidi"/>
              <w:noProof/>
              <w:kern w:val="2"/>
              <w:sz w:val="24"/>
              <w:szCs w:val="24"/>
              <w14:ligatures w14:val="standardContextual"/>
            </w:rPr>
          </w:pPr>
          <w:hyperlink w:history="1" w:anchor="_Toc227840686">
            <w:r w:rsidRPr="00CF704D">
              <w:rPr>
                <w:rStyle w:val="Hyperlink"/>
                <w:rFonts w:eastAsia="PMingLiU" w:cs="Arial"/>
                <w:caps/>
                <w:noProof/>
                <w:specVanish/>
              </w:rPr>
              <w:t>10.4</w:t>
            </w:r>
            <w:r>
              <w:rPr>
                <w:rFonts w:asciiTheme="minorHAnsi" w:hAnsiTheme="minorHAnsi" w:eastAsiaTheme="minorEastAsia" w:cstheme="minorBidi"/>
                <w:noProof/>
                <w:kern w:val="2"/>
                <w:sz w:val="24"/>
                <w:szCs w:val="24"/>
                <w14:ligatures w14:val="standardContextual"/>
              </w:rPr>
              <w:tab/>
            </w:r>
            <w:r w:rsidRPr="00CF704D">
              <w:rPr>
                <w:rStyle w:val="Hyperlink"/>
                <w:rFonts w:cs="Arial"/>
                <w:noProof/>
              </w:rPr>
              <w:t>Access to the Site and the Facility.</w:t>
            </w:r>
            <w:r>
              <w:rPr>
                <w:noProof/>
                <w:webHidden/>
              </w:rPr>
              <w:tab/>
            </w:r>
            <w:r>
              <w:rPr>
                <w:noProof/>
                <w:webHidden/>
              </w:rPr>
              <w:fldChar w:fldCharType="begin"/>
            </w:r>
            <w:r>
              <w:rPr>
                <w:noProof/>
                <w:webHidden/>
              </w:rPr>
              <w:instrText xml:space="preserve"> PAGEREF _Toc227840686 \h </w:instrText>
            </w:r>
            <w:r>
              <w:rPr>
                <w:noProof/>
                <w:webHidden/>
              </w:rPr>
            </w:r>
            <w:r>
              <w:rPr>
                <w:noProof/>
                <w:webHidden/>
              </w:rPr>
              <w:fldChar w:fldCharType="separate"/>
            </w:r>
            <w:r>
              <w:rPr>
                <w:noProof/>
                <w:webHidden/>
              </w:rPr>
              <w:t>42</w:t>
            </w:r>
            <w:r>
              <w:rPr>
                <w:noProof/>
                <w:webHidden/>
              </w:rPr>
              <w:fldChar w:fldCharType="end"/>
            </w:r>
          </w:hyperlink>
        </w:p>
        <w:p w:rsidR="00CC5F3E" w:rsidRDefault="00CC5F3E" w14:paraId="37C95A1E" w14:textId="48FFA37D">
          <w:pPr>
            <w:pStyle w:val="TOC2"/>
            <w:rPr>
              <w:rFonts w:asciiTheme="minorHAnsi" w:hAnsiTheme="minorHAnsi" w:eastAsiaTheme="minorEastAsia" w:cstheme="minorBidi"/>
              <w:noProof/>
              <w:kern w:val="2"/>
              <w:sz w:val="24"/>
              <w:szCs w:val="24"/>
              <w14:ligatures w14:val="standardContextual"/>
            </w:rPr>
          </w:pPr>
          <w:hyperlink w:history="1" w:anchor="_Toc227840687">
            <w:r w:rsidRPr="00CF704D">
              <w:rPr>
                <w:rStyle w:val="Hyperlink"/>
                <w:rFonts w:eastAsia="PMingLiU" w:cs="Arial"/>
                <w:caps/>
                <w:noProof/>
                <w:specVanish/>
              </w:rPr>
              <w:t>10.5</w:t>
            </w:r>
            <w:r>
              <w:rPr>
                <w:rFonts w:asciiTheme="minorHAnsi" w:hAnsiTheme="minorHAnsi" w:eastAsiaTheme="minorEastAsia" w:cstheme="minorBidi"/>
                <w:noProof/>
                <w:kern w:val="2"/>
                <w:sz w:val="24"/>
                <w:szCs w:val="24"/>
                <w14:ligatures w14:val="standardContextual"/>
              </w:rPr>
              <w:tab/>
            </w:r>
            <w:r w:rsidRPr="00CF704D">
              <w:rPr>
                <w:rStyle w:val="Hyperlink"/>
                <w:rFonts w:cs="Arial"/>
                <w:noProof/>
              </w:rPr>
              <w:t>Availability of Records.</w:t>
            </w:r>
            <w:r>
              <w:rPr>
                <w:noProof/>
                <w:webHidden/>
              </w:rPr>
              <w:tab/>
            </w:r>
            <w:r>
              <w:rPr>
                <w:noProof/>
                <w:webHidden/>
              </w:rPr>
              <w:fldChar w:fldCharType="begin"/>
            </w:r>
            <w:r>
              <w:rPr>
                <w:noProof/>
                <w:webHidden/>
              </w:rPr>
              <w:instrText xml:space="preserve"> PAGEREF _Toc227840687 \h </w:instrText>
            </w:r>
            <w:r>
              <w:rPr>
                <w:noProof/>
                <w:webHidden/>
              </w:rPr>
            </w:r>
            <w:r>
              <w:rPr>
                <w:noProof/>
                <w:webHidden/>
              </w:rPr>
              <w:fldChar w:fldCharType="separate"/>
            </w:r>
            <w:r>
              <w:rPr>
                <w:noProof/>
                <w:webHidden/>
              </w:rPr>
              <w:t>43</w:t>
            </w:r>
            <w:r>
              <w:rPr>
                <w:noProof/>
                <w:webHidden/>
              </w:rPr>
              <w:fldChar w:fldCharType="end"/>
            </w:r>
          </w:hyperlink>
        </w:p>
        <w:p w:rsidR="00CC5F3E" w:rsidRDefault="00CC5F3E" w14:paraId="42930D5C" w14:textId="4D235749">
          <w:pPr>
            <w:pStyle w:val="TOC2"/>
            <w:rPr>
              <w:rFonts w:asciiTheme="minorHAnsi" w:hAnsiTheme="minorHAnsi" w:eastAsiaTheme="minorEastAsia" w:cstheme="minorBidi"/>
              <w:noProof/>
              <w:kern w:val="2"/>
              <w:sz w:val="24"/>
              <w:szCs w:val="24"/>
              <w14:ligatures w14:val="standardContextual"/>
            </w:rPr>
          </w:pPr>
          <w:hyperlink w:history="1" w:anchor="_Toc227840688">
            <w:r w:rsidRPr="00CF704D">
              <w:rPr>
                <w:rStyle w:val="Hyperlink"/>
                <w:rFonts w:eastAsia="PMingLiU" w:cs="Arial"/>
                <w:caps/>
                <w:noProof/>
                <w:specVanish/>
              </w:rPr>
              <w:t>10.6</w:t>
            </w:r>
            <w:r>
              <w:rPr>
                <w:rFonts w:asciiTheme="minorHAnsi" w:hAnsiTheme="minorHAnsi" w:eastAsiaTheme="minorEastAsia" w:cstheme="minorBidi"/>
                <w:noProof/>
                <w:kern w:val="2"/>
                <w:sz w:val="24"/>
                <w:szCs w:val="24"/>
                <w14:ligatures w14:val="standardContextual"/>
              </w:rPr>
              <w:tab/>
            </w:r>
            <w:r w:rsidRPr="00CF704D">
              <w:rPr>
                <w:rStyle w:val="Hyperlink"/>
                <w:rFonts w:cs="Arial"/>
                <w:noProof/>
              </w:rPr>
              <w:t>Effect of GPC Action.</w:t>
            </w:r>
            <w:r>
              <w:rPr>
                <w:noProof/>
                <w:webHidden/>
              </w:rPr>
              <w:tab/>
            </w:r>
            <w:r>
              <w:rPr>
                <w:noProof/>
                <w:webHidden/>
              </w:rPr>
              <w:fldChar w:fldCharType="begin"/>
            </w:r>
            <w:r>
              <w:rPr>
                <w:noProof/>
                <w:webHidden/>
              </w:rPr>
              <w:instrText xml:space="preserve"> PAGEREF _Toc227840688 \h </w:instrText>
            </w:r>
            <w:r>
              <w:rPr>
                <w:noProof/>
                <w:webHidden/>
              </w:rPr>
            </w:r>
            <w:r>
              <w:rPr>
                <w:noProof/>
                <w:webHidden/>
              </w:rPr>
              <w:fldChar w:fldCharType="separate"/>
            </w:r>
            <w:r>
              <w:rPr>
                <w:noProof/>
                <w:webHidden/>
              </w:rPr>
              <w:t>43</w:t>
            </w:r>
            <w:r>
              <w:rPr>
                <w:noProof/>
                <w:webHidden/>
              </w:rPr>
              <w:fldChar w:fldCharType="end"/>
            </w:r>
          </w:hyperlink>
        </w:p>
        <w:p w:rsidR="00CC5F3E" w:rsidRDefault="00CC5F3E" w14:paraId="1E7461CF" w14:textId="0D19BC10">
          <w:pPr>
            <w:pStyle w:val="TOC2"/>
            <w:rPr>
              <w:rFonts w:asciiTheme="minorHAnsi" w:hAnsiTheme="minorHAnsi" w:eastAsiaTheme="minorEastAsia" w:cstheme="minorBidi"/>
              <w:noProof/>
              <w:kern w:val="2"/>
              <w:sz w:val="24"/>
              <w:szCs w:val="24"/>
              <w14:ligatures w14:val="standardContextual"/>
            </w:rPr>
          </w:pPr>
          <w:hyperlink w:history="1" w:anchor="_Toc227840689">
            <w:r w:rsidRPr="00CF704D">
              <w:rPr>
                <w:rStyle w:val="Hyperlink"/>
                <w:rFonts w:eastAsia="PMingLiU" w:cs="Arial"/>
                <w:caps/>
                <w:noProof/>
                <w:specVanish/>
              </w:rPr>
              <w:t>10.7</w:t>
            </w:r>
            <w:r>
              <w:rPr>
                <w:rFonts w:asciiTheme="minorHAnsi" w:hAnsiTheme="minorHAnsi" w:eastAsiaTheme="minorEastAsia" w:cstheme="minorBidi"/>
                <w:noProof/>
                <w:kern w:val="2"/>
                <w:sz w:val="24"/>
                <w:szCs w:val="24"/>
                <w14:ligatures w14:val="standardContextual"/>
              </w:rPr>
              <w:tab/>
            </w:r>
            <w:r w:rsidRPr="00CF704D">
              <w:rPr>
                <w:rStyle w:val="Hyperlink"/>
                <w:rFonts w:cs="Arial"/>
                <w:noProof/>
              </w:rPr>
              <w:t>Operating Committee.</w:t>
            </w:r>
            <w:r>
              <w:rPr>
                <w:noProof/>
                <w:webHidden/>
              </w:rPr>
              <w:tab/>
            </w:r>
            <w:r>
              <w:rPr>
                <w:noProof/>
                <w:webHidden/>
              </w:rPr>
              <w:fldChar w:fldCharType="begin"/>
            </w:r>
            <w:r>
              <w:rPr>
                <w:noProof/>
                <w:webHidden/>
              </w:rPr>
              <w:instrText xml:space="preserve"> PAGEREF _Toc227840689 \h </w:instrText>
            </w:r>
            <w:r>
              <w:rPr>
                <w:noProof/>
                <w:webHidden/>
              </w:rPr>
            </w:r>
            <w:r>
              <w:rPr>
                <w:noProof/>
                <w:webHidden/>
              </w:rPr>
              <w:fldChar w:fldCharType="separate"/>
            </w:r>
            <w:r>
              <w:rPr>
                <w:noProof/>
                <w:webHidden/>
              </w:rPr>
              <w:t>43</w:t>
            </w:r>
            <w:r>
              <w:rPr>
                <w:noProof/>
                <w:webHidden/>
              </w:rPr>
              <w:fldChar w:fldCharType="end"/>
            </w:r>
          </w:hyperlink>
        </w:p>
        <w:p w:rsidR="00CC5F3E" w:rsidRDefault="00CC5F3E" w14:paraId="71D8FE70" w14:textId="3861EF8A">
          <w:pPr>
            <w:pStyle w:val="TOC2"/>
            <w:rPr>
              <w:rFonts w:asciiTheme="minorHAnsi" w:hAnsiTheme="minorHAnsi" w:eastAsiaTheme="minorEastAsia" w:cstheme="minorBidi"/>
              <w:noProof/>
              <w:kern w:val="2"/>
              <w:sz w:val="24"/>
              <w:szCs w:val="24"/>
              <w14:ligatures w14:val="standardContextual"/>
            </w:rPr>
          </w:pPr>
          <w:hyperlink w:history="1" w:anchor="_Toc227840690">
            <w:r w:rsidRPr="00CF704D">
              <w:rPr>
                <w:rStyle w:val="Hyperlink"/>
                <w:rFonts w:eastAsia="PMingLiU" w:cs="Arial"/>
                <w:caps/>
                <w:noProof/>
                <w:specVanish/>
              </w:rPr>
              <w:t>10.8</w:t>
            </w:r>
            <w:r>
              <w:rPr>
                <w:rFonts w:asciiTheme="minorHAnsi" w:hAnsiTheme="minorHAnsi" w:eastAsiaTheme="minorEastAsia" w:cstheme="minorBidi"/>
                <w:noProof/>
                <w:kern w:val="2"/>
                <w:sz w:val="24"/>
                <w:szCs w:val="24"/>
                <w14:ligatures w14:val="standardContextual"/>
              </w:rPr>
              <w:tab/>
            </w:r>
            <w:r w:rsidRPr="00CF704D">
              <w:rPr>
                <w:rStyle w:val="Hyperlink"/>
                <w:noProof/>
              </w:rPr>
              <w:t>Cyber Security.</w:t>
            </w:r>
            <w:r>
              <w:rPr>
                <w:noProof/>
                <w:webHidden/>
              </w:rPr>
              <w:tab/>
            </w:r>
            <w:r>
              <w:rPr>
                <w:noProof/>
                <w:webHidden/>
              </w:rPr>
              <w:fldChar w:fldCharType="begin"/>
            </w:r>
            <w:r>
              <w:rPr>
                <w:noProof/>
                <w:webHidden/>
              </w:rPr>
              <w:instrText xml:space="preserve"> PAGEREF _Toc227840690 \h </w:instrText>
            </w:r>
            <w:r>
              <w:rPr>
                <w:noProof/>
                <w:webHidden/>
              </w:rPr>
            </w:r>
            <w:r>
              <w:rPr>
                <w:noProof/>
                <w:webHidden/>
              </w:rPr>
              <w:fldChar w:fldCharType="separate"/>
            </w:r>
            <w:r>
              <w:rPr>
                <w:noProof/>
                <w:webHidden/>
              </w:rPr>
              <w:t>44</w:t>
            </w:r>
            <w:r>
              <w:rPr>
                <w:noProof/>
                <w:webHidden/>
              </w:rPr>
              <w:fldChar w:fldCharType="end"/>
            </w:r>
          </w:hyperlink>
        </w:p>
        <w:p w:rsidR="00CC5F3E" w:rsidRDefault="00CC5F3E" w14:paraId="2CA61064" w14:textId="5531C393">
          <w:pPr>
            <w:pStyle w:val="TOC1"/>
            <w:rPr>
              <w:rFonts w:asciiTheme="minorHAnsi" w:hAnsiTheme="minorHAnsi" w:eastAsiaTheme="minorEastAsia" w:cstheme="minorBidi"/>
              <w:b w:val="0"/>
              <w:caps w:val="0"/>
              <w:noProof/>
              <w:kern w:val="2"/>
              <w:sz w:val="24"/>
              <w:szCs w:val="24"/>
              <w14:ligatures w14:val="standardContextual"/>
            </w:rPr>
          </w:pPr>
          <w:hyperlink w:history="1" w:anchor="_Toc227840691">
            <w:r w:rsidRPr="00CF704D">
              <w:rPr>
                <w:rStyle w:val="Hyperlink"/>
                <w:noProof/>
                <w14:scene3d>
                  <w14:camera w14:prst="orthographicFront"/>
                  <w14:lightRig w14:rig="threePt" w14:dir="t">
                    <w14:rot w14:lat="0" w14:lon="0" w14:rev="0"/>
                  </w14:lightRig>
                </w14:scene3d>
                <w14:props3d w14:extrusionH="0" w14:contourW="0" w14:prstMaterial="warmMatte"/>
              </w:rPr>
              <w:t>Part 11.</w:t>
            </w:r>
            <w:r>
              <w:rPr>
                <w:rFonts w:asciiTheme="minorHAnsi" w:hAnsiTheme="minorHAnsi" w:eastAsiaTheme="minorEastAsia" w:cstheme="minorBidi"/>
                <w:b w:val="0"/>
                <w:caps w:val="0"/>
                <w:noProof/>
                <w:kern w:val="2"/>
                <w:sz w:val="24"/>
                <w:szCs w:val="24"/>
                <w14:ligatures w14:val="standardContextual"/>
              </w:rPr>
              <w:tab/>
            </w:r>
            <w:r w:rsidRPr="00CF704D">
              <w:rPr>
                <w:rStyle w:val="Hyperlink"/>
                <w:noProof/>
              </w:rPr>
              <w:t>Fuel Supply Allowances</w:t>
            </w:r>
            <w:r>
              <w:rPr>
                <w:noProof/>
                <w:webHidden/>
              </w:rPr>
              <w:tab/>
            </w:r>
            <w:r>
              <w:rPr>
                <w:noProof/>
                <w:webHidden/>
              </w:rPr>
              <w:fldChar w:fldCharType="begin"/>
            </w:r>
            <w:r>
              <w:rPr>
                <w:noProof/>
                <w:webHidden/>
              </w:rPr>
              <w:instrText xml:space="preserve"> PAGEREF _Toc227840691 \h </w:instrText>
            </w:r>
            <w:r>
              <w:rPr>
                <w:noProof/>
                <w:webHidden/>
              </w:rPr>
            </w:r>
            <w:r>
              <w:rPr>
                <w:noProof/>
                <w:webHidden/>
              </w:rPr>
              <w:fldChar w:fldCharType="separate"/>
            </w:r>
            <w:r>
              <w:rPr>
                <w:noProof/>
                <w:webHidden/>
              </w:rPr>
              <w:t>44</w:t>
            </w:r>
            <w:r>
              <w:rPr>
                <w:noProof/>
                <w:webHidden/>
              </w:rPr>
              <w:fldChar w:fldCharType="end"/>
            </w:r>
          </w:hyperlink>
        </w:p>
        <w:p w:rsidR="00CC5F3E" w:rsidRDefault="00CC5F3E" w14:paraId="79CF8FFC" w14:textId="438FA46B">
          <w:pPr>
            <w:pStyle w:val="TOC2"/>
            <w:rPr>
              <w:rFonts w:asciiTheme="minorHAnsi" w:hAnsiTheme="minorHAnsi" w:eastAsiaTheme="minorEastAsia" w:cstheme="minorBidi"/>
              <w:noProof/>
              <w:kern w:val="2"/>
              <w:sz w:val="24"/>
              <w:szCs w:val="24"/>
              <w14:ligatures w14:val="standardContextual"/>
            </w:rPr>
          </w:pPr>
          <w:hyperlink w:history="1" w:anchor="_Toc227840692">
            <w:r w:rsidRPr="00CF704D">
              <w:rPr>
                <w:rStyle w:val="Hyperlink"/>
                <w:rFonts w:eastAsia="PMingLiU" w:cs="Arial"/>
                <w:caps/>
                <w:noProof/>
                <w:specVanish/>
              </w:rPr>
              <w:t>11.1</w:t>
            </w:r>
            <w:r>
              <w:rPr>
                <w:rFonts w:asciiTheme="minorHAnsi" w:hAnsiTheme="minorHAnsi" w:eastAsiaTheme="minorEastAsia" w:cstheme="minorBidi"/>
                <w:noProof/>
                <w:kern w:val="2"/>
                <w:sz w:val="24"/>
                <w:szCs w:val="24"/>
                <w14:ligatures w14:val="standardContextual"/>
              </w:rPr>
              <w:tab/>
            </w:r>
            <w:r w:rsidRPr="00CF704D">
              <w:rPr>
                <w:rStyle w:val="Hyperlink"/>
                <w:rFonts w:cs="Arial"/>
                <w:noProof/>
              </w:rPr>
              <w:t>Overview.</w:t>
            </w:r>
            <w:r>
              <w:rPr>
                <w:noProof/>
                <w:webHidden/>
              </w:rPr>
              <w:tab/>
            </w:r>
            <w:r>
              <w:rPr>
                <w:noProof/>
                <w:webHidden/>
              </w:rPr>
              <w:fldChar w:fldCharType="begin"/>
            </w:r>
            <w:r>
              <w:rPr>
                <w:noProof/>
                <w:webHidden/>
              </w:rPr>
              <w:instrText xml:space="preserve"> PAGEREF _Toc227840692 \h </w:instrText>
            </w:r>
            <w:r>
              <w:rPr>
                <w:noProof/>
                <w:webHidden/>
              </w:rPr>
            </w:r>
            <w:r>
              <w:rPr>
                <w:noProof/>
                <w:webHidden/>
              </w:rPr>
              <w:fldChar w:fldCharType="separate"/>
            </w:r>
            <w:r>
              <w:rPr>
                <w:noProof/>
                <w:webHidden/>
              </w:rPr>
              <w:t>44</w:t>
            </w:r>
            <w:r>
              <w:rPr>
                <w:noProof/>
                <w:webHidden/>
              </w:rPr>
              <w:fldChar w:fldCharType="end"/>
            </w:r>
          </w:hyperlink>
        </w:p>
        <w:p w:rsidR="00CC5F3E" w:rsidRDefault="00CC5F3E" w14:paraId="2AD3B793" w14:textId="31617D8D">
          <w:pPr>
            <w:pStyle w:val="TOC2"/>
            <w:rPr>
              <w:rFonts w:asciiTheme="minorHAnsi" w:hAnsiTheme="minorHAnsi" w:eastAsiaTheme="minorEastAsia" w:cstheme="minorBidi"/>
              <w:noProof/>
              <w:kern w:val="2"/>
              <w:sz w:val="24"/>
              <w:szCs w:val="24"/>
              <w14:ligatures w14:val="standardContextual"/>
            </w:rPr>
          </w:pPr>
          <w:hyperlink w:history="1" w:anchor="_Toc227840693">
            <w:r w:rsidRPr="00CF704D">
              <w:rPr>
                <w:rStyle w:val="Hyperlink"/>
                <w:rFonts w:eastAsia="PMingLiU" w:cs="Arial"/>
                <w:caps/>
                <w:noProof/>
                <w:specVanish/>
              </w:rPr>
              <w:t>11.2</w:t>
            </w:r>
            <w:r>
              <w:rPr>
                <w:rFonts w:asciiTheme="minorHAnsi" w:hAnsiTheme="minorHAnsi" w:eastAsiaTheme="minorEastAsia" w:cstheme="minorBidi"/>
                <w:noProof/>
                <w:kern w:val="2"/>
                <w:sz w:val="24"/>
                <w:szCs w:val="24"/>
                <w14:ligatures w14:val="standardContextual"/>
              </w:rPr>
              <w:tab/>
            </w:r>
            <w:r w:rsidRPr="00CF704D">
              <w:rPr>
                <w:rStyle w:val="Hyperlink"/>
                <w:rFonts w:cs="Arial"/>
                <w:noProof/>
              </w:rPr>
              <w:t>Natural Gas Transportation Capacity.</w:t>
            </w:r>
            <w:r>
              <w:rPr>
                <w:noProof/>
                <w:webHidden/>
              </w:rPr>
              <w:tab/>
            </w:r>
            <w:r>
              <w:rPr>
                <w:noProof/>
                <w:webHidden/>
              </w:rPr>
              <w:fldChar w:fldCharType="begin"/>
            </w:r>
            <w:r>
              <w:rPr>
                <w:noProof/>
                <w:webHidden/>
              </w:rPr>
              <w:instrText xml:space="preserve"> PAGEREF _Toc227840693 \h </w:instrText>
            </w:r>
            <w:r>
              <w:rPr>
                <w:noProof/>
                <w:webHidden/>
              </w:rPr>
            </w:r>
            <w:r>
              <w:rPr>
                <w:noProof/>
                <w:webHidden/>
              </w:rPr>
              <w:fldChar w:fldCharType="separate"/>
            </w:r>
            <w:r>
              <w:rPr>
                <w:noProof/>
                <w:webHidden/>
              </w:rPr>
              <w:t>44</w:t>
            </w:r>
            <w:r>
              <w:rPr>
                <w:noProof/>
                <w:webHidden/>
              </w:rPr>
              <w:fldChar w:fldCharType="end"/>
            </w:r>
          </w:hyperlink>
        </w:p>
        <w:p w:rsidR="00CC5F3E" w:rsidRDefault="00CC5F3E" w14:paraId="17365427" w14:textId="0041B0BC">
          <w:pPr>
            <w:pStyle w:val="TOC2"/>
            <w:rPr>
              <w:rFonts w:asciiTheme="minorHAnsi" w:hAnsiTheme="minorHAnsi" w:eastAsiaTheme="minorEastAsia" w:cstheme="minorBidi"/>
              <w:noProof/>
              <w:kern w:val="2"/>
              <w:sz w:val="24"/>
              <w:szCs w:val="24"/>
              <w14:ligatures w14:val="standardContextual"/>
            </w:rPr>
          </w:pPr>
          <w:hyperlink w:history="1" w:anchor="_Toc227840694">
            <w:r w:rsidRPr="00CF704D">
              <w:rPr>
                <w:rStyle w:val="Hyperlink"/>
                <w:rFonts w:eastAsia="PMingLiU" w:cs="Arial"/>
                <w:caps/>
                <w:noProof/>
                <w:specVanish/>
              </w:rPr>
              <w:t>11.3</w:t>
            </w:r>
            <w:r>
              <w:rPr>
                <w:rFonts w:asciiTheme="minorHAnsi" w:hAnsiTheme="minorHAnsi" w:eastAsiaTheme="minorEastAsia" w:cstheme="minorBidi"/>
                <w:noProof/>
                <w:kern w:val="2"/>
                <w:sz w:val="24"/>
                <w:szCs w:val="24"/>
                <w14:ligatures w14:val="standardContextual"/>
              </w:rPr>
              <w:tab/>
            </w:r>
            <w:r w:rsidRPr="00CF704D">
              <w:rPr>
                <w:rStyle w:val="Hyperlink"/>
                <w:rFonts w:cs="Arial"/>
                <w:noProof/>
              </w:rPr>
              <w:t>Allowances.</w:t>
            </w:r>
            <w:r>
              <w:rPr>
                <w:noProof/>
                <w:webHidden/>
              </w:rPr>
              <w:tab/>
            </w:r>
            <w:r>
              <w:rPr>
                <w:noProof/>
                <w:webHidden/>
              </w:rPr>
              <w:fldChar w:fldCharType="begin"/>
            </w:r>
            <w:r>
              <w:rPr>
                <w:noProof/>
                <w:webHidden/>
              </w:rPr>
              <w:instrText xml:space="preserve"> PAGEREF _Toc227840694 \h </w:instrText>
            </w:r>
            <w:r>
              <w:rPr>
                <w:noProof/>
                <w:webHidden/>
              </w:rPr>
            </w:r>
            <w:r>
              <w:rPr>
                <w:noProof/>
                <w:webHidden/>
              </w:rPr>
              <w:fldChar w:fldCharType="separate"/>
            </w:r>
            <w:r>
              <w:rPr>
                <w:noProof/>
                <w:webHidden/>
              </w:rPr>
              <w:t>45</w:t>
            </w:r>
            <w:r>
              <w:rPr>
                <w:noProof/>
                <w:webHidden/>
              </w:rPr>
              <w:fldChar w:fldCharType="end"/>
            </w:r>
          </w:hyperlink>
        </w:p>
        <w:p w:rsidR="00CC5F3E" w:rsidRDefault="00CC5F3E" w14:paraId="1A47162A" w14:textId="0C337585">
          <w:pPr>
            <w:pStyle w:val="TOC1"/>
            <w:rPr>
              <w:rFonts w:asciiTheme="minorHAnsi" w:hAnsiTheme="minorHAnsi" w:eastAsiaTheme="minorEastAsia" w:cstheme="minorBidi"/>
              <w:b w:val="0"/>
              <w:caps w:val="0"/>
              <w:noProof/>
              <w:kern w:val="2"/>
              <w:sz w:val="24"/>
              <w:szCs w:val="24"/>
              <w14:ligatures w14:val="standardContextual"/>
            </w:rPr>
          </w:pPr>
          <w:hyperlink w:history="1" w:anchor="_Toc227840695">
            <w:r w:rsidRPr="00CF704D">
              <w:rPr>
                <w:rStyle w:val="Hyperlink"/>
                <w:noProof/>
                <w14:scene3d>
                  <w14:camera w14:prst="orthographicFront"/>
                  <w14:lightRig w14:rig="threePt" w14:dir="t">
                    <w14:rot w14:lat="0" w14:lon="0" w14:rev="0"/>
                  </w14:lightRig>
                </w14:scene3d>
                <w14:props3d w14:extrusionH="0" w14:contourW="0" w14:prstMaterial="warmMatte"/>
              </w:rPr>
              <w:t>Part 12.</w:t>
            </w:r>
            <w:r>
              <w:rPr>
                <w:rFonts w:asciiTheme="minorHAnsi" w:hAnsiTheme="minorHAnsi" w:eastAsiaTheme="minorEastAsia" w:cstheme="minorBidi"/>
                <w:b w:val="0"/>
                <w:caps w:val="0"/>
                <w:noProof/>
                <w:kern w:val="2"/>
                <w:sz w:val="24"/>
                <w:szCs w:val="24"/>
                <w14:ligatures w14:val="standardContextual"/>
              </w:rPr>
              <w:tab/>
            </w:r>
            <w:r w:rsidRPr="00CF704D">
              <w:rPr>
                <w:rStyle w:val="Hyperlink"/>
                <w:noProof/>
              </w:rPr>
              <w:t>Energy Scheduling and Transmission</w:t>
            </w:r>
            <w:r>
              <w:rPr>
                <w:noProof/>
                <w:webHidden/>
              </w:rPr>
              <w:tab/>
            </w:r>
            <w:r>
              <w:rPr>
                <w:noProof/>
                <w:webHidden/>
              </w:rPr>
              <w:fldChar w:fldCharType="begin"/>
            </w:r>
            <w:r>
              <w:rPr>
                <w:noProof/>
                <w:webHidden/>
              </w:rPr>
              <w:instrText xml:space="preserve"> PAGEREF _Toc227840695 \h </w:instrText>
            </w:r>
            <w:r>
              <w:rPr>
                <w:noProof/>
                <w:webHidden/>
              </w:rPr>
            </w:r>
            <w:r>
              <w:rPr>
                <w:noProof/>
                <w:webHidden/>
              </w:rPr>
              <w:fldChar w:fldCharType="separate"/>
            </w:r>
            <w:r>
              <w:rPr>
                <w:noProof/>
                <w:webHidden/>
              </w:rPr>
              <w:t>46</w:t>
            </w:r>
            <w:r>
              <w:rPr>
                <w:noProof/>
                <w:webHidden/>
              </w:rPr>
              <w:fldChar w:fldCharType="end"/>
            </w:r>
          </w:hyperlink>
        </w:p>
        <w:p w:rsidR="00CC5F3E" w:rsidRDefault="00CC5F3E" w14:paraId="342A135D" w14:textId="2D42F9EF">
          <w:pPr>
            <w:pStyle w:val="TOC2"/>
            <w:rPr>
              <w:rFonts w:asciiTheme="minorHAnsi" w:hAnsiTheme="minorHAnsi" w:eastAsiaTheme="minorEastAsia" w:cstheme="minorBidi"/>
              <w:noProof/>
              <w:kern w:val="2"/>
              <w:sz w:val="24"/>
              <w:szCs w:val="24"/>
              <w14:ligatures w14:val="standardContextual"/>
            </w:rPr>
          </w:pPr>
          <w:hyperlink w:history="1" w:anchor="_Toc227840696">
            <w:r w:rsidRPr="00CF704D">
              <w:rPr>
                <w:rStyle w:val="Hyperlink"/>
                <w:rFonts w:eastAsia="PMingLiU" w:cs="Arial"/>
                <w:caps/>
                <w:noProof/>
                <w:specVanish/>
              </w:rPr>
              <w:t>12.1</w:t>
            </w:r>
            <w:r>
              <w:rPr>
                <w:rFonts w:asciiTheme="minorHAnsi" w:hAnsiTheme="minorHAnsi" w:eastAsiaTheme="minorEastAsia" w:cstheme="minorBidi"/>
                <w:noProof/>
                <w:kern w:val="2"/>
                <w:sz w:val="24"/>
                <w:szCs w:val="24"/>
                <w14:ligatures w14:val="standardContextual"/>
              </w:rPr>
              <w:tab/>
            </w:r>
            <w:r w:rsidRPr="00CF704D">
              <w:rPr>
                <w:rStyle w:val="Hyperlink"/>
                <w:rFonts w:cs="Arial"/>
                <w:noProof/>
              </w:rPr>
              <w:t>Energy Scheduling.</w:t>
            </w:r>
            <w:r>
              <w:rPr>
                <w:noProof/>
                <w:webHidden/>
              </w:rPr>
              <w:tab/>
            </w:r>
            <w:r>
              <w:rPr>
                <w:noProof/>
                <w:webHidden/>
              </w:rPr>
              <w:fldChar w:fldCharType="begin"/>
            </w:r>
            <w:r>
              <w:rPr>
                <w:noProof/>
                <w:webHidden/>
              </w:rPr>
              <w:instrText xml:space="preserve"> PAGEREF _Toc227840696 \h </w:instrText>
            </w:r>
            <w:r>
              <w:rPr>
                <w:noProof/>
                <w:webHidden/>
              </w:rPr>
            </w:r>
            <w:r>
              <w:rPr>
                <w:noProof/>
                <w:webHidden/>
              </w:rPr>
              <w:fldChar w:fldCharType="separate"/>
            </w:r>
            <w:r>
              <w:rPr>
                <w:noProof/>
                <w:webHidden/>
              </w:rPr>
              <w:t>46</w:t>
            </w:r>
            <w:r>
              <w:rPr>
                <w:noProof/>
                <w:webHidden/>
              </w:rPr>
              <w:fldChar w:fldCharType="end"/>
            </w:r>
          </w:hyperlink>
        </w:p>
        <w:p w:rsidR="00CC5F3E" w:rsidRDefault="00CC5F3E" w14:paraId="4D35A2E9" w14:textId="7494EFCB">
          <w:pPr>
            <w:pStyle w:val="TOC2"/>
            <w:rPr>
              <w:rFonts w:asciiTheme="minorHAnsi" w:hAnsiTheme="minorHAnsi" w:eastAsiaTheme="minorEastAsia" w:cstheme="minorBidi"/>
              <w:noProof/>
              <w:kern w:val="2"/>
              <w:sz w:val="24"/>
              <w:szCs w:val="24"/>
              <w14:ligatures w14:val="standardContextual"/>
            </w:rPr>
          </w:pPr>
          <w:hyperlink w:history="1" w:anchor="_Toc227840697">
            <w:r w:rsidRPr="00CF704D">
              <w:rPr>
                <w:rStyle w:val="Hyperlink"/>
                <w:rFonts w:eastAsia="PMingLiU" w:cs="Arial"/>
                <w:caps/>
                <w:noProof/>
                <w:specVanish/>
              </w:rPr>
              <w:t>12.2</w:t>
            </w:r>
            <w:r>
              <w:rPr>
                <w:rFonts w:asciiTheme="minorHAnsi" w:hAnsiTheme="minorHAnsi" w:eastAsiaTheme="minorEastAsia" w:cstheme="minorBidi"/>
                <w:noProof/>
                <w:kern w:val="2"/>
                <w:sz w:val="24"/>
                <w:szCs w:val="24"/>
                <w14:ligatures w14:val="standardContextual"/>
              </w:rPr>
              <w:tab/>
            </w:r>
            <w:r w:rsidRPr="00CF704D">
              <w:rPr>
                <w:rStyle w:val="Hyperlink"/>
                <w:rFonts w:cs="Arial"/>
                <w:noProof/>
              </w:rPr>
              <w:t>Coordination and Scheduling.</w:t>
            </w:r>
            <w:r>
              <w:rPr>
                <w:noProof/>
                <w:webHidden/>
              </w:rPr>
              <w:tab/>
            </w:r>
            <w:r>
              <w:rPr>
                <w:noProof/>
                <w:webHidden/>
              </w:rPr>
              <w:fldChar w:fldCharType="begin"/>
            </w:r>
            <w:r>
              <w:rPr>
                <w:noProof/>
                <w:webHidden/>
              </w:rPr>
              <w:instrText xml:space="preserve"> PAGEREF _Toc227840697 \h </w:instrText>
            </w:r>
            <w:r>
              <w:rPr>
                <w:noProof/>
                <w:webHidden/>
              </w:rPr>
            </w:r>
            <w:r>
              <w:rPr>
                <w:noProof/>
                <w:webHidden/>
              </w:rPr>
              <w:fldChar w:fldCharType="separate"/>
            </w:r>
            <w:r>
              <w:rPr>
                <w:noProof/>
                <w:webHidden/>
              </w:rPr>
              <w:t>46</w:t>
            </w:r>
            <w:r>
              <w:rPr>
                <w:noProof/>
                <w:webHidden/>
              </w:rPr>
              <w:fldChar w:fldCharType="end"/>
            </w:r>
          </w:hyperlink>
        </w:p>
        <w:p w:rsidR="00CC5F3E" w:rsidRDefault="00CC5F3E" w14:paraId="1DB7B377" w14:textId="3886D5AF">
          <w:pPr>
            <w:pStyle w:val="TOC2"/>
            <w:rPr>
              <w:rFonts w:asciiTheme="minorHAnsi" w:hAnsiTheme="minorHAnsi" w:eastAsiaTheme="minorEastAsia" w:cstheme="minorBidi"/>
              <w:noProof/>
              <w:kern w:val="2"/>
              <w:sz w:val="24"/>
              <w:szCs w:val="24"/>
              <w14:ligatures w14:val="standardContextual"/>
            </w:rPr>
          </w:pPr>
          <w:hyperlink w:history="1" w:anchor="_Toc227840698">
            <w:r w:rsidRPr="00CF704D">
              <w:rPr>
                <w:rStyle w:val="Hyperlink"/>
                <w:rFonts w:eastAsia="PMingLiU" w:cs="Arial"/>
                <w:caps/>
                <w:noProof/>
                <w:specVanish/>
              </w:rPr>
              <w:t>12.3</w:t>
            </w:r>
            <w:r>
              <w:rPr>
                <w:rFonts w:asciiTheme="minorHAnsi" w:hAnsiTheme="minorHAnsi" w:eastAsiaTheme="minorEastAsia" w:cstheme="minorBidi"/>
                <w:noProof/>
                <w:kern w:val="2"/>
                <w:sz w:val="24"/>
                <w:szCs w:val="24"/>
                <w14:ligatures w14:val="standardContextual"/>
              </w:rPr>
              <w:tab/>
            </w:r>
            <w:r w:rsidRPr="00CF704D">
              <w:rPr>
                <w:rStyle w:val="Hyperlink"/>
                <w:rFonts w:cs="Arial"/>
                <w:noProof/>
              </w:rPr>
              <w:t>AGC.</w:t>
            </w:r>
            <w:r>
              <w:rPr>
                <w:noProof/>
                <w:webHidden/>
              </w:rPr>
              <w:tab/>
            </w:r>
            <w:r>
              <w:rPr>
                <w:noProof/>
                <w:webHidden/>
              </w:rPr>
              <w:fldChar w:fldCharType="begin"/>
            </w:r>
            <w:r>
              <w:rPr>
                <w:noProof/>
                <w:webHidden/>
              </w:rPr>
              <w:instrText xml:space="preserve"> PAGEREF _Toc227840698 \h </w:instrText>
            </w:r>
            <w:r>
              <w:rPr>
                <w:noProof/>
                <w:webHidden/>
              </w:rPr>
            </w:r>
            <w:r>
              <w:rPr>
                <w:noProof/>
                <w:webHidden/>
              </w:rPr>
              <w:fldChar w:fldCharType="separate"/>
            </w:r>
            <w:r>
              <w:rPr>
                <w:noProof/>
                <w:webHidden/>
              </w:rPr>
              <w:t>48</w:t>
            </w:r>
            <w:r>
              <w:rPr>
                <w:noProof/>
                <w:webHidden/>
              </w:rPr>
              <w:fldChar w:fldCharType="end"/>
            </w:r>
          </w:hyperlink>
        </w:p>
        <w:p w:rsidR="00CC5F3E" w:rsidRDefault="00CC5F3E" w14:paraId="2B6CA882" w14:textId="1A5C196B">
          <w:pPr>
            <w:pStyle w:val="TOC2"/>
            <w:rPr>
              <w:rFonts w:asciiTheme="minorHAnsi" w:hAnsiTheme="minorHAnsi" w:eastAsiaTheme="minorEastAsia" w:cstheme="minorBidi"/>
              <w:noProof/>
              <w:kern w:val="2"/>
              <w:sz w:val="24"/>
              <w:szCs w:val="24"/>
              <w14:ligatures w14:val="standardContextual"/>
            </w:rPr>
          </w:pPr>
          <w:hyperlink w:history="1" w:anchor="_Toc227840699">
            <w:r w:rsidRPr="00CF704D">
              <w:rPr>
                <w:rStyle w:val="Hyperlink"/>
                <w:rFonts w:eastAsia="PMingLiU" w:cs="Arial"/>
                <w:caps/>
                <w:noProof/>
                <w:specVanish/>
              </w:rPr>
              <w:t>12.4</w:t>
            </w:r>
            <w:r>
              <w:rPr>
                <w:rFonts w:asciiTheme="minorHAnsi" w:hAnsiTheme="minorHAnsi" w:eastAsiaTheme="minorEastAsia" w:cstheme="minorBidi"/>
                <w:noProof/>
                <w:kern w:val="2"/>
                <w:sz w:val="24"/>
                <w:szCs w:val="24"/>
                <w14:ligatures w14:val="standardContextual"/>
              </w:rPr>
              <w:tab/>
            </w:r>
            <w:r w:rsidRPr="00CF704D">
              <w:rPr>
                <w:rStyle w:val="Hyperlink"/>
                <w:rFonts w:cs="Arial"/>
                <w:noProof/>
              </w:rPr>
              <w:t>Effect of Grid Emergencies.</w:t>
            </w:r>
            <w:r>
              <w:rPr>
                <w:noProof/>
                <w:webHidden/>
              </w:rPr>
              <w:tab/>
            </w:r>
            <w:r>
              <w:rPr>
                <w:noProof/>
                <w:webHidden/>
              </w:rPr>
              <w:fldChar w:fldCharType="begin"/>
            </w:r>
            <w:r>
              <w:rPr>
                <w:noProof/>
                <w:webHidden/>
              </w:rPr>
              <w:instrText xml:space="preserve"> PAGEREF _Toc227840699 \h </w:instrText>
            </w:r>
            <w:r>
              <w:rPr>
                <w:noProof/>
                <w:webHidden/>
              </w:rPr>
            </w:r>
            <w:r>
              <w:rPr>
                <w:noProof/>
                <w:webHidden/>
              </w:rPr>
              <w:fldChar w:fldCharType="separate"/>
            </w:r>
            <w:r>
              <w:rPr>
                <w:noProof/>
                <w:webHidden/>
              </w:rPr>
              <w:t>49</w:t>
            </w:r>
            <w:r>
              <w:rPr>
                <w:noProof/>
                <w:webHidden/>
              </w:rPr>
              <w:fldChar w:fldCharType="end"/>
            </w:r>
          </w:hyperlink>
        </w:p>
        <w:p w:rsidR="00CC5F3E" w:rsidRDefault="00CC5F3E" w14:paraId="0289599F" w14:textId="13A3CD90">
          <w:pPr>
            <w:pStyle w:val="TOC2"/>
            <w:rPr>
              <w:rFonts w:asciiTheme="minorHAnsi" w:hAnsiTheme="minorHAnsi" w:eastAsiaTheme="minorEastAsia" w:cstheme="minorBidi"/>
              <w:noProof/>
              <w:kern w:val="2"/>
              <w:sz w:val="24"/>
              <w:szCs w:val="24"/>
              <w14:ligatures w14:val="standardContextual"/>
            </w:rPr>
          </w:pPr>
          <w:hyperlink w:history="1" w:anchor="_Toc227840700">
            <w:r w:rsidRPr="00CF704D">
              <w:rPr>
                <w:rStyle w:val="Hyperlink"/>
                <w:rFonts w:eastAsia="PMingLiU" w:cs="Arial"/>
                <w:caps/>
                <w:noProof/>
                <w:specVanish/>
              </w:rPr>
              <w:t>12.5</w:t>
            </w:r>
            <w:r>
              <w:rPr>
                <w:rFonts w:asciiTheme="minorHAnsi" w:hAnsiTheme="minorHAnsi" w:eastAsiaTheme="minorEastAsia" w:cstheme="minorBidi"/>
                <w:noProof/>
                <w:kern w:val="2"/>
                <w:sz w:val="24"/>
                <w:szCs w:val="24"/>
                <w14:ligatures w14:val="standardContextual"/>
              </w:rPr>
              <w:tab/>
            </w:r>
            <w:r w:rsidRPr="00CF704D">
              <w:rPr>
                <w:rStyle w:val="Hyperlink"/>
                <w:rFonts w:cs="Arial"/>
                <w:noProof/>
              </w:rPr>
              <w:t>Effect of Insufficient Capability in the Electric System.</w:t>
            </w:r>
            <w:r>
              <w:rPr>
                <w:noProof/>
                <w:webHidden/>
              </w:rPr>
              <w:tab/>
            </w:r>
            <w:r>
              <w:rPr>
                <w:noProof/>
                <w:webHidden/>
              </w:rPr>
              <w:fldChar w:fldCharType="begin"/>
            </w:r>
            <w:r>
              <w:rPr>
                <w:noProof/>
                <w:webHidden/>
              </w:rPr>
              <w:instrText xml:space="preserve"> PAGEREF _Toc227840700 \h </w:instrText>
            </w:r>
            <w:r>
              <w:rPr>
                <w:noProof/>
                <w:webHidden/>
              </w:rPr>
            </w:r>
            <w:r>
              <w:rPr>
                <w:noProof/>
                <w:webHidden/>
              </w:rPr>
              <w:fldChar w:fldCharType="separate"/>
            </w:r>
            <w:r>
              <w:rPr>
                <w:noProof/>
                <w:webHidden/>
              </w:rPr>
              <w:t>49</w:t>
            </w:r>
            <w:r>
              <w:rPr>
                <w:noProof/>
                <w:webHidden/>
              </w:rPr>
              <w:fldChar w:fldCharType="end"/>
            </w:r>
          </w:hyperlink>
        </w:p>
        <w:p w:rsidR="00CC5F3E" w:rsidRDefault="00CC5F3E" w14:paraId="6A3FECCB" w14:textId="5B68682E">
          <w:pPr>
            <w:pStyle w:val="TOC2"/>
            <w:rPr>
              <w:rFonts w:asciiTheme="minorHAnsi" w:hAnsiTheme="minorHAnsi" w:eastAsiaTheme="minorEastAsia" w:cstheme="minorBidi"/>
              <w:noProof/>
              <w:kern w:val="2"/>
              <w:sz w:val="24"/>
              <w:szCs w:val="24"/>
              <w14:ligatures w14:val="standardContextual"/>
            </w:rPr>
          </w:pPr>
          <w:hyperlink w:history="1" w:anchor="_Toc227840701">
            <w:r w:rsidRPr="00CF704D">
              <w:rPr>
                <w:rStyle w:val="Hyperlink"/>
                <w:iCs/>
                <w:caps/>
                <w:noProof/>
                <w:specVanish/>
              </w:rPr>
              <w:t>12.6</w:t>
            </w:r>
            <w:r>
              <w:rPr>
                <w:rFonts w:asciiTheme="minorHAnsi" w:hAnsiTheme="minorHAnsi" w:eastAsiaTheme="minorEastAsia" w:cstheme="minorBidi"/>
                <w:noProof/>
                <w:kern w:val="2"/>
                <w:sz w:val="24"/>
                <w:szCs w:val="24"/>
                <w14:ligatures w14:val="standardContextual"/>
              </w:rPr>
              <w:tab/>
            </w:r>
            <w:r w:rsidRPr="00CF704D">
              <w:rPr>
                <w:rStyle w:val="Hyperlink"/>
                <w:noProof/>
              </w:rPr>
              <w:t>Transmission and Delivery Responsibilities of GPC.</w:t>
            </w:r>
            <w:r>
              <w:rPr>
                <w:noProof/>
                <w:webHidden/>
              </w:rPr>
              <w:tab/>
            </w:r>
            <w:r>
              <w:rPr>
                <w:noProof/>
                <w:webHidden/>
              </w:rPr>
              <w:fldChar w:fldCharType="begin"/>
            </w:r>
            <w:r>
              <w:rPr>
                <w:noProof/>
                <w:webHidden/>
              </w:rPr>
              <w:instrText xml:space="preserve"> PAGEREF _Toc227840701 \h </w:instrText>
            </w:r>
            <w:r>
              <w:rPr>
                <w:noProof/>
                <w:webHidden/>
              </w:rPr>
            </w:r>
            <w:r>
              <w:rPr>
                <w:noProof/>
                <w:webHidden/>
              </w:rPr>
              <w:fldChar w:fldCharType="separate"/>
            </w:r>
            <w:r>
              <w:rPr>
                <w:noProof/>
                <w:webHidden/>
              </w:rPr>
              <w:t>49</w:t>
            </w:r>
            <w:r>
              <w:rPr>
                <w:noProof/>
                <w:webHidden/>
              </w:rPr>
              <w:fldChar w:fldCharType="end"/>
            </w:r>
          </w:hyperlink>
        </w:p>
        <w:p w:rsidR="00CC5F3E" w:rsidRDefault="00CC5F3E" w14:paraId="316C2541" w14:textId="54E9D6DD">
          <w:pPr>
            <w:pStyle w:val="TOC2"/>
            <w:rPr>
              <w:rFonts w:asciiTheme="minorHAnsi" w:hAnsiTheme="minorHAnsi" w:eastAsiaTheme="minorEastAsia" w:cstheme="minorBidi"/>
              <w:noProof/>
              <w:kern w:val="2"/>
              <w:sz w:val="24"/>
              <w:szCs w:val="24"/>
              <w14:ligatures w14:val="standardContextual"/>
            </w:rPr>
          </w:pPr>
          <w:hyperlink w:history="1" w:anchor="_Toc227840702">
            <w:r w:rsidRPr="00CF704D">
              <w:rPr>
                <w:rStyle w:val="Hyperlink"/>
                <w:rFonts w:eastAsia="PMingLiU" w:cs="Arial"/>
                <w:caps/>
                <w:noProof/>
                <w:specVanish/>
              </w:rPr>
              <w:t>12.7</w:t>
            </w:r>
            <w:r>
              <w:rPr>
                <w:rFonts w:asciiTheme="minorHAnsi" w:hAnsiTheme="minorHAnsi" w:eastAsiaTheme="minorEastAsia" w:cstheme="minorBidi"/>
                <w:noProof/>
                <w:kern w:val="2"/>
                <w:sz w:val="24"/>
                <w:szCs w:val="24"/>
                <w14:ligatures w14:val="standardContextual"/>
              </w:rPr>
              <w:tab/>
            </w:r>
            <w:r w:rsidRPr="00CF704D">
              <w:rPr>
                <w:rStyle w:val="Hyperlink"/>
                <w:noProof/>
              </w:rPr>
              <w:t>Seller Transmission and Delivery Responsibilities.</w:t>
            </w:r>
            <w:r>
              <w:rPr>
                <w:noProof/>
                <w:webHidden/>
              </w:rPr>
              <w:tab/>
            </w:r>
            <w:r>
              <w:rPr>
                <w:noProof/>
                <w:webHidden/>
              </w:rPr>
              <w:fldChar w:fldCharType="begin"/>
            </w:r>
            <w:r>
              <w:rPr>
                <w:noProof/>
                <w:webHidden/>
              </w:rPr>
              <w:instrText xml:space="preserve"> PAGEREF _Toc227840702 \h </w:instrText>
            </w:r>
            <w:r>
              <w:rPr>
                <w:noProof/>
                <w:webHidden/>
              </w:rPr>
            </w:r>
            <w:r>
              <w:rPr>
                <w:noProof/>
                <w:webHidden/>
              </w:rPr>
              <w:fldChar w:fldCharType="separate"/>
            </w:r>
            <w:r>
              <w:rPr>
                <w:noProof/>
                <w:webHidden/>
              </w:rPr>
              <w:t>49</w:t>
            </w:r>
            <w:r>
              <w:rPr>
                <w:noProof/>
                <w:webHidden/>
              </w:rPr>
              <w:fldChar w:fldCharType="end"/>
            </w:r>
          </w:hyperlink>
        </w:p>
        <w:p w:rsidR="00CC5F3E" w:rsidRDefault="00CC5F3E" w14:paraId="1CDE029C" w14:textId="469BD641">
          <w:pPr>
            <w:pStyle w:val="TOC1"/>
            <w:rPr>
              <w:rFonts w:asciiTheme="minorHAnsi" w:hAnsiTheme="minorHAnsi" w:eastAsiaTheme="minorEastAsia" w:cstheme="minorBidi"/>
              <w:b w:val="0"/>
              <w:caps w:val="0"/>
              <w:noProof/>
              <w:kern w:val="2"/>
              <w:sz w:val="24"/>
              <w:szCs w:val="24"/>
              <w14:ligatures w14:val="standardContextual"/>
            </w:rPr>
          </w:pPr>
          <w:hyperlink w:history="1" w:anchor="_Toc227840703">
            <w:r w:rsidRPr="00CF704D">
              <w:rPr>
                <w:rStyle w:val="Hyperlink"/>
                <w:noProof/>
                <w14:scene3d>
                  <w14:camera w14:prst="orthographicFront"/>
                  <w14:lightRig w14:rig="threePt" w14:dir="t">
                    <w14:rot w14:lat="0" w14:lon="0" w14:rev="0"/>
                  </w14:lightRig>
                </w14:scene3d>
                <w14:props3d w14:extrusionH="0" w14:contourW="0" w14:prstMaterial="warmMatte"/>
              </w:rPr>
              <w:t>Part 13.</w:t>
            </w:r>
            <w:r>
              <w:rPr>
                <w:rFonts w:asciiTheme="minorHAnsi" w:hAnsiTheme="minorHAnsi" w:eastAsiaTheme="minorEastAsia" w:cstheme="minorBidi"/>
                <w:b w:val="0"/>
                <w:caps w:val="0"/>
                <w:noProof/>
                <w:kern w:val="2"/>
                <w:sz w:val="24"/>
                <w:szCs w:val="24"/>
                <w14:ligatures w14:val="standardContextual"/>
              </w:rPr>
              <w:tab/>
            </w:r>
            <w:r w:rsidRPr="00CF704D">
              <w:rPr>
                <w:rStyle w:val="Hyperlink"/>
                <w:noProof/>
              </w:rPr>
              <w:t>Insurance</w:t>
            </w:r>
            <w:r>
              <w:rPr>
                <w:noProof/>
                <w:webHidden/>
              </w:rPr>
              <w:tab/>
            </w:r>
            <w:r>
              <w:rPr>
                <w:noProof/>
                <w:webHidden/>
              </w:rPr>
              <w:fldChar w:fldCharType="begin"/>
            </w:r>
            <w:r>
              <w:rPr>
                <w:noProof/>
                <w:webHidden/>
              </w:rPr>
              <w:instrText xml:space="preserve"> PAGEREF _Toc227840703 \h </w:instrText>
            </w:r>
            <w:r>
              <w:rPr>
                <w:noProof/>
                <w:webHidden/>
              </w:rPr>
            </w:r>
            <w:r>
              <w:rPr>
                <w:noProof/>
                <w:webHidden/>
              </w:rPr>
              <w:fldChar w:fldCharType="separate"/>
            </w:r>
            <w:r>
              <w:rPr>
                <w:noProof/>
                <w:webHidden/>
              </w:rPr>
              <w:t>50</w:t>
            </w:r>
            <w:r>
              <w:rPr>
                <w:noProof/>
                <w:webHidden/>
              </w:rPr>
              <w:fldChar w:fldCharType="end"/>
            </w:r>
          </w:hyperlink>
        </w:p>
        <w:p w:rsidR="00CC5F3E" w:rsidRDefault="00CC5F3E" w14:paraId="0C16E5E7" w14:textId="72EE0221">
          <w:pPr>
            <w:pStyle w:val="TOC2"/>
            <w:rPr>
              <w:rFonts w:asciiTheme="minorHAnsi" w:hAnsiTheme="minorHAnsi" w:eastAsiaTheme="minorEastAsia" w:cstheme="minorBidi"/>
              <w:noProof/>
              <w:kern w:val="2"/>
              <w:sz w:val="24"/>
              <w:szCs w:val="24"/>
              <w14:ligatures w14:val="standardContextual"/>
            </w:rPr>
          </w:pPr>
          <w:hyperlink w:history="1" w:anchor="_Toc227840704">
            <w:r w:rsidRPr="00CF704D">
              <w:rPr>
                <w:rStyle w:val="Hyperlink"/>
                <w:rFonts w:eastAsia="PMingLiU" w:cs="Arial"/>
                <w:caps/>
                <w:noProof/>
                <w:specVanish/>
              </w:rPr>
              <w:t>13.1</w:t>
            </w:r>
            <w:r>
              <w:rPr>
                <w:rFonts w:asciiTheme="minorHAnsi" w:hAnsiTheme="minorHAnsi" w:eastAsiaTheme="minorEastAsia" w:cstheme="minorBidi"/>
                <w:noProof/>
                <w:kern w:val="2"/>
                <w:sz w:val="24"/>
                <w:szCs w:val="24"/>
                <w14:ligatures w14:val="standardContextual"/>
              </w:rPr>
              <w:tab/>
            </w:r>
            <w:r w:rsidRPr="00CF704D">
              <w:rPr>
                <w:rStyle w:val="Hyperlink"/>
                <w:rFonts w:cs="Arial"/>
                <w:noProof/>
              </w:rPr>
              <w:t>Insurance Required of Seller.</w:t>
            </w:r>
            <w:r>
              <w:rPr>
                <w:noProof/>
                <w:webHidden/>
              </w:rPr>
              <w:tab/>
            </w:r>
            <w:r>
              <w:rPr>
                <w:noProof/>
                <w:webHidden/>
              </w:rPr>
              <w:fldChar w:fldCharType="begin"/>
            </w:r>
            <w:r>
              <w:rPr>
                <w:noProof/>
                <w:webHidden/>
              </w:rPr>
              <w:instrText xml:space="preserve"> PAGEREF _Toc227840704 \h </w:instrText>
            </w:r>
            <w:r>
              <w:rPr>
                <w:noProof/>
                <w:webHidden/>
              </w:rPr>
            </w:r>
            <w:r>
              <w:rPr>
                <w:noProof/>
                <w:webHidden/>
              </w:rPr>
              <w:fldChar w:fldCharType="separate"/>
            </w:r>
            <w:r>
              <w:rPr>
                <w:noProof/>
                <w:webHidden/>
              </w:rPr>
              <w:t>50</w:t>
            </w:r>
            <w:r>
              <w:rPr>
                <w:noProof/>
                <w:webHidden/>
              </w:rPr>
              <w:fldChar w:fldCharType="end"/>
            </w:r>
          </w:hyperlink>
        </w:p>
        <w:p w:rsidR="00CC5F3E" w:rsidRDefault="00CC5F3E" w14:paraId="657E907A" w14:textId="0D2C4222">
          <w:pPr>
            <w:pStyle w:val="TOC2"/>
            <w:rPr>
              <w:rFonts w:asciiTheme="minorHAnsi" w:hAnsiTheme="minorHAnsi" w:eastAsiaTheme="minorEastAsia" w:cstheme="minorBidi"/>
              <w:noProof/>
              <w:kern w:val="2"/>
              <w:sz w:val="24"/>
              <w:szCs w:val="24"/>
              <w14:ligatures w14:val="standardContextual"/>
            </w:rPr>
          </w:pPr>
          <w:hyperlink w:history="1" w:anchor="_Toc227840705">
            <w:r w:rsidRPr="00CF704D">
              <w:rPr>
                <w:rStyle w:val="Hyperlink"/>
                <w:rFonts w:eastAsia="PMingLiU" w:cs="Arial"/>
                <w:caps/>
                <w:noProof/>
                <w:specVanish/>
              </w:rPr>
              <w:t>13.2</w:t>
            </w:r>
            <w:r>
              <w:rPr>
                <w:rFonts w:asciiTheme="minorHAnsi" w:hAnsiTheme="minorHAnsi" w:eastAsiaTheme="minorEastAsia" w:cstheme="minorBidi"/>
                <w:noProof/>
                <w:kern w:val="2"/>
                <w:sz w:val="24"/>
                <w:szCs w:val="24"/>
                <w14:ligatures w14:val="standardContextual"/>
              </w:rPr>
              <w:tab/>
            </w:r>
            <w:r w:rsidRPr="00CF704D">
              <w:rPr>
                <w:rStyle w:val="Hyperlink"/>
                <w:rFonts w:cs="Arial"/>
                <w:noProof/>
              </w:rPr>
              <w:t>Proof of Insurance.</w:t>
            </w:r>
            <w:r>
              <w:rPr>
                <w:noProof/>
                <w:webHidden/>
              </w:rPr>
              <w:tab/>
            </w:r>
            <w:r>
              <w:rPr>
                <w:noProof/>
                <w:webHidden/>
              </w:rPr>
              <w:fldChar w:fldCharType="begin"/>
            </w:r>
            <w:r>
              <w:rPr>
                <w:noProof/>
                <w:webHidden/>
              </w:rPr>
              <w:instrText xml:space="preserve"> PAGEREF _Toc227840705 \h </w:instrText>
            </w:r>
            <w:r>
              <w:rPr>
                <w:noProof/>
                <w:webHidden/>
              </w:rPr>
            </w:r>
            <w:r>
              <w:rPr>
                <w:noProof/>
                <w:webHidden/>
              </w:rPr>
              <w:fldChar w:fldCharType="separate"/>
            </w:r>
            <w:r>
              <w:rPr>
                <w:noProof/>
                <w:webHidden/>
              </w:rPr>
              <w:t>50</w:t>
            </w:r>
            <w:r>
              <w:rPr>
                <w:noProof/>
                <w:webHidden/>
              </w:rPr>
              <w:fldChar w:fldCharType="end"/>
            </w:r>
          </w:hyperlink>
        </w:p>
        <w:p w:rsidR="00CC5F3E" w:rsidRDefault="00CC5F3E" w14:paraId="4379960D" w14:textId="59D729D0">
          <w:pPr>
            <w:pStyle w:val="TOC2"/>
            <w:rPr>
              <w:rFonts w:asciiTheme="minorHAnsi" w:hAnsiTheme="minorHAnsi" w:eastAsiaTheme="minorEastAsia" w:cstheme="minorBidi"/>
              <w:noProof/>
              <w:kern w:val="2"/>
              <w:sz w:val="24"/>
              <w:szCs w:val="24"/>
              <w14:ligatures w14:val="standardContextual"/>
            </w:rPr>
          </w:pPr>
          <w:hyperlink w:history="1" w:anchor="_Toc227840706">
            <w:r w:rsidRPr="00CF704D">
              <w:rPr>
                <w:rStyle w:val="Hyperlink"/>
                <w:rFonts w:eastAsia="PMingLiU" w:cs="Arial"/>
                <w:caps/>
                <w:noProof/>
                <w:specVanish/>
              </w:rPr>
              <w:t>13.3</w:t>
            </w:r>
            <w:r>
              <w:rPr>
                <w:rFonts w:asciiTheme="minorHAnsi" w:hAnsiTheme="minorHAnsi" w:eastAsiaTheme="minorEastAsia" w:cstheme="minorBidi"/>
                <w:noProof/>
                <w:kern w:val="2"/>
                <w:sz w:val="24"/>
                <w:szCs w:val="24"/>
                <w14:ligatures w14:val="standardContextual"/>
              </w:rPr>
              <w:tab/>
            </w:r>
            <w:r w:rsidRPr="00CF704D">
              <w:rPr>
                <w:rStyle w:val="Hyperlink"/>
                <w:noProof/>
              </w:rPr>
              <w:t>General Terms.</w:t>
            </w:r>
            <w:r>
              <w:rPr>
                <w:noProof/>
                <w:webHidden/>
              </w:rPr>
              <w:tab/>
            </w:r>
            <w:r>
              <w:rPr>
                <w:noProof/>
                <w:webHidden/>
              </w:rPr>
              <w:fldChar w:fldCharType="begin"/>
            </w:r>
            <w:r>
              <w:rPr>
                <w:noProof/>
                <w:webHidden/>
              </w:rPr>
              <w:instrText xml:space="preserve"> PAGEREF _Toc227840706 \h </w:instrText>
            </w:r>
            <w:r>
              <w:rPr>
                <w:noProof/>
                <w:webHidden/>
              </w:rPr>
            </w:r>
            <w:r>
              <w:rPr>
                <w:noProof/>
                <w:webHidden/>
              </w:rPr>
              <w:fldChar w:fldCharType="separate"/>
            </w:r>
            <w:r>
              <w:rPr>
                <w:noProof/>
                <w:webHidden/>
              </w:rPr>
              <w:t>50</w:t>
            </w:r>
            <w:r>
              <w:rPr>
                <w:noProof/>
                <w:webHidden/>
              </w:rPr>
              <w:fldChar w:fldCharType="end"/>
            </w:r>
          </w:hyperlink>
        </w:p>
        <w:p w:rsidR="00CC5F3E" w:rsidRDefault="00CC5F3E" w14:paraId="2A7E429F" w14:textId="7E0EF772">
          <w:pPr>
            <w:pStyle w:val="TOC2"/>
            <w:rPr>
              <w:rFonts w:asciiTheme="minorHAnsi" w:hAnsiTheme="minorHAnsi" w:eastAsiaTheme="minorEastAsia" w:cstheme="minorBidi"/>
              <w:noProof/>
              <w:kern w:val="2"/>
              <w:sz w:val="24"/>
              <w:szCs w:val="24"/>
              <w14:ligatures w14:val="standardContextual"/>
            </w:rPr>
          </w:pPr>
          <w:hyperlink w:history="1" w:anchor="_Toc227840707">
            <w:r w:rsidRPr="00CF704D">
              <w:rPr>
                <w:rStyle w:val="Hyperlink"/>
                <w:rFonts w:eastAsia="PMingLiU" w:cs="Arial"/>
                <w:caps/>
                <w:noProof/>
                <w:specVanish/>
              </w:rPr>
              <w:t>13.4</w:t>
            </w:r>
            <w:r>
              <w:rPr>
                <w:rFonts w:asciiTheme="minorHAnsi" w:hAnsiTheme="minorHAnsi" w:eastAsiaTheme="minorEastAsia" w:cstheme="minorBidi"/>
                <w:noProof/>
                <w:kern w:val="2"/>
                <w:sz w:val="24"/>
                <w:szCs w:val="24"/>
                <w14:ligatures w14:val="standardContextual"/>
              </w:rPr>
              <w:tab/>
            </w:r>
            <w:r w:rsidRPr="00CF704D">
              <w:rPr>
                <w:rStyle w:val="Hyperlink"/>
                <w:rFonts w:eastAsia="PMingLiU"/>
                <w:noProof/>
              </w:rPr>
              <w:t>Required Insurance.</w:t>
            </w:r>
            <w:r>
              <w:rPr>
                <w:noProof/>
                <w:webHidden/>
              </w:rPr>
              <w:tab/>
            </w:r>
            <w:r>
              <w:rPr>
                <w:noProof/>
                <w:webHidden/>
              </w:rPr>
              <w:fldChar w:fldCharType="begin"/>
            </w:r>
            <w:r>
              <w:rPr>
                <w:noProof/>
                <w:webHidden/>
              </w:rPr>
              <w:instrText xml:space="preserve"> PAGEREF _Toc227840707 \h </w:instrText>
            </w:r>
            <w:r>
              <w:rPr>
                <w:noProof/>
                <w:webHidden/>
              </w:rPr>
            </w:r>
            <w:r>
              <w:rPr>
                <w:noProof/>
                <w:webHidden/>
              </w:rPr>
              <w:fldChar w:fldCharType="separate"/>
            </w:r>
            <w:r>
              <w:rPr>
                <w:noProof/>
                <w:webHidden/>
              </w:rPr>
              <w:t>50</w:t>
            </w:r>
            <w:r>
              <w:rPr>
                <w:noProof/>
                <w:webHidden/>
              </w:rPr>
              <w:fldChar w:fldCharType="end"/>
            </w:r>
          </w:hyperlink>
        </w:p>
        <w:p w:rsidR="00CC5F3E" w:rsidRDefault="00CC5F3E" w14:paraId="48CE95B1" w14:textId="3D2279F0">
          <w:pPr>
            <w:pStyle w:val="TOC2"/>
            <w:rPr>
              <w:rFonts w:asciiTheme="minorHAnsi" w:hAnsiTheme="minorHAnsi" w:eastAsiaTheme="minorEastAsia" w:cstheme="minorBidi"/>
              <w:noProof/>
              <w:kern w:val="2"/>
              <w:sz w:val="24"/>
              <w:szCs w:val="24"/>
              <w14:ligatures w14:val="standardContextual"/>
            </w:rPr>
          </w:pPr>
          <w:hyperlink w:history="1" w:anchor="_Toc227840708">
            <w:r w:rsidRPr="00CF704D">
              <w:rPr>
                <w:rStyle w:val="Hyperlink"/>
                <w:rFonts w:eastAsia="PMingLiU" w:cs="Arial"/>
                <w:caps/>
                <w:noProof/>
                <w:specVanish/>
              </w:rPr>
              <w:t>13.5</w:t>
            </w:r>
            <w:r>
              <w:rPr>
                <w:rFonts w:asciiTheme="minorHAnsi" w:hAnsiTheme="minorHAnsi" w:eastAsiaTheme="minorEastAsia" w:cstheme="minorBidi"/>
                <w:noProof/>
                <w:kern w:val="2"/>
                <w:sz w:val="24"/>
                <w:szCs w:val="24"/>
                <w14:ligatures w14:val="standardContextual"/>
              </w:rPr>
              <w:tab/>
            </w:r>
            <w:r w:rsidRPr="00CF704D">
              <w:rPr>
                <w:rStyle w:val="Hyperlink"/>
                <w:rFonts w:cs="Arial"/>
                <w:noProof/>
              </w:rPr>
              <w:t>Notice of Change or Cancellation.</w:t>
            </w:r>
            <w:r>
              <w:rPr>
                <w:noProof/>
                <w:webHidden/>
              </w:rPr>
              <w:tab/>
            </w:r>
            <w:r>
              <w:rPr>
                <w:noProof/>
                <w:webHidden/>
              </w:rPr>
              <w:fldChar w:fldCharType="begin"/>
            </w:r>
            <w:r>
              <w:rPr>
                <w:noProof/>
                <w:webHidden/>
              </w:rPr>
              <w:instrText xml:space="preserve"> PAGEREF _Toc227840708 \h </w:instrText>
            </w:r>
            <w:r>
              <w:rPr>
                <w:noProof/>
                <w:webHidden/>
              </w:rPr>
            </w:r>
            <w:r>
              <w:rPr>
                <w:noProof/>
                <w:webHidden/>
              </w:rPr>
              <w:fldChar w:fldCharType="separate"/>
            </w:r>
            <w:r>
              <w:rPr>
                <w:noProof/>
                <w:webHidden/>
              </w:rPr>
              <w:t>51</w:t>
            </w:r>
            <w:r>
              <w:rPr>
                <w:noProof/>
                <w:webHidden/>
              </w:rPr>
              <w:fldChar w:fldCharType="end"/>
            </w:r>
          </w:hyperlink>
        </w:p>
        <w:p w:rsidR="00CC5F3E" w:rsidRDefault="00CC5F3E" w14:paraId="38518F87" w14:textId="72A389D4">
          <w:pPr>
            <w:pStyle w:val="TOC2"/>
            <w:rPr>
              <w:rFonts w:asciiTheme="minorHAnsi" w:hAnsiTheme="minorHAnsi" w:eastAsiaTheme="minorEastAsia" w:cstheme="minorBidi"/>
              <w:noProof/>
              <w:kern w:val="2"/>
              <w:sz w:val="24"/>
              <w:szCs w:val="24"/>
              <w14:ligatures w14:val="standardContextual"/>
            </w:rPr>
          </w:pPr>
          <w:hyperlink w:history="1" w:anchor="_Toc227840709">
            <w:r w:rsidRPr="00CF704D">
              <w:rPr>
                <w:rStyle w:val="Hyperlink"/>
                <w:rFonts w:eastAsia="PMingLiU" w:cs="Arial"/>
                <w:caps/>
                <w:noProof/>
                <w:specVanish/>
              </w:rPr>
              <w:t>13.6</w:t>
            </w:r>
            <w:r>
              <w:rPr>
                <w:rFonts w:asciiTheme="minorHAnsi" w:hAnsiTheme="minorHAnsi" w:eastAsiaTheme="minorEastAsia" w:cstheme="minorBidi"/>
                <w:noProof/>
                <w:kern w:val="2"/>
                <w:sz w:val="24"/>
                <w:szCs w:val="24"/>
                <w14:ligatures w14:val="standardContextual"/>
              </w:rPr>
              <w:tab/>
            </w:r>
            <w:r w:rsidRPr="00CF704D">
              <w:rPr>
                <w:rStyle w:val="Hyperlink"/>
                <w:rFonts w:cs="Arial"/>
                <w:noProof/>
              </w:rPr>
              <w:t>Payment of Premiums.</w:t>
            </w:r>
            <w:r>
              <w:rPr>
                <w:noProof/>
                <w:webHidden/>
              </w:rPr>
              <w:tab/>
            </w:r>
            <w:r>
              <w:rPr>
                <w:noProof/>
                <w:webHidden/>
              </w:rPr>
              <w:fldChar w:fldCharType="begin"/>
            </w:r>
            <w:r>
              <w:rPr>
                <w:noProof/>
                <w:webHidden/>
              </w:rPr>
              <w:instrText xml:space="preserve"> PAGEREF _Toc227840709 \h </w:instrText>
            </w:r>
            <w:r>
              <w:rPr>
                <w:noProof/>
                <w:webHidden/>
              </w:rPr>
            </w:r>
            <w:r>
              <w:rPr>
                <w:noProof/>
                <w:webHidden/>
              </w:rPr>
              <w:fldChar w:fldCharType="separate"/>
            </w:r>
            <w:r>
              <w:rPr>
                <w:noProof/>
                <w:webHidden/>
              </w:rPr>
              <w:t>51</w:t>
            </w:r>
            <w:r>
              <w:rPr>
                <w:noProof/>
                <w:webHidden/>
              </w:rPr>
              <w:fldChar w:fldCharType="end"/>
            </w:r>
          </w:hyperlink>
        </w:p>
        <w:p w:rsidR="00CC5F3E" w:rsidRDefault="00CC5F3E" w14:paraId="2BFBFAEC" w14:textId="12C6B341">
          <w:pPr>
            <w:pStyle w:val="TOC2"/>
            <w:rPr>
              <w:rFonts w:asciiTheme="minorHAnsi" w:hAnsiTheme="minorHAnsi" w:eastAsiaTheme="minorEastAsia" w:cstheme="minorBidi"/>
              <w:noProof/>
              <w:kern w:val="2"/>
              <w:sz w:val="24"/>
              <w:szCs w:val="24"/>
              <w14:ligatures w14:val="standardContextual"/>
            </w:rPr>
          </w:pPr>
          <w:hyperlink w:history="1" w:anchor="_Toc227840710">
            <w:r w:rsidRPr="00CF704D">
              <w:rPr>
                <w:rStyle w:val="Hyperlink"/>
                <w:rFonts w:eastAsia="PMingLiU" w:cs="Arial"/>
                <w:caps/>
                <w:noProof/>
                <w:specVanish/>
              </w:rPr>
              <w:t>13.7</w:t>
            </w:r>
            <w:r>
              <w:rPr>
                <w:rFonts w:asciiTheme="minorHAnsi" w:hAnsiTheme="minorHAnsi" w:eastAsiaTheme="minorEastAsia" w:cstheme="minorBidi"/>
                <w:noProof/>
                <w:kern w:val="2"/>
                <w:sz w:val="24"/>
                <w:szCs w:val="24"/>
                <w14:ligatures w14:val="standardContextual"/>
              </w:rPr>
              <w:tab/>
            </w:r>
            <w:r w:rsidRPr="00CF704D">
              <w:rPr>
                <w:rStyle w:val="Hyperlink"/>
                <w:rFonts w:cs="Arial"/>
                <w:noProof/>
              </w:rPr>
              <w:t>No Waiver of Liability.</w:t>
            </w:r>
            <w:r>
              <w:rPr>
                <w:noProof/>
                <w:webHidden/>
              </w:rPr>
              <w:tab/>
            </w:r>
            <w:r>
              <w:rPr>
                <w:noProof/>
                <w:webHidden/>
              </w:rPr>
              <w:fldChar w:fldCharType="begin"/>
            </w:r>
            <w:r>
              <w:rPr>
                <w:noProof/>
                <w:webHidden/>
              </w:rPr>
              <w:instrText xml:space="preserve"> PAGEREF _Toc227840710 \h </w:instrText>
            </w:r>
            <w:r>
              <w:rPr>
                <w:noProof/>
                <w:webHidden/>
              </w:rPr>
            </w:r>
            <w:r>
              <w:rPr>
                <w:noProof/>
                <w:webHidden/>
              </w:rPr>
              <w:fldChar w:fldCharType="separate"/>
            </w:r>
            <w:r>
              <w:rPr>
                <w:noProof/>
                <w:webHidden/>
              </w:rPr>
              <w:t>51</w:t>
            </w:r>
            <w:r>
              <w:rPr>
                <w:noProof/>
                <w:webHidden/>
              </w:rPr>
              <w:fldChar w:fldCharType="end"/>
            </w:r>
          </w:hyperlink>
        </w:p>
        <w:p w:rsidR="00CC5F3E" w:rsidRDefault="00CC5F3E" w14:paraId="7CD5F125" w14:textId="42974E01">
          <w:pPr>
            <w:pStyle w:val="TOC1"/>
            <w:rPr>
              <w:rFonts w:asciiTheme="minorHAnsi" w:hAnsiTheme="minorHAnsi" w:eastAsiaTheme="minorEastAsia" w:cstheme="minorBidi"/>
              <w:b w:val="0"/>
              <w:caps w:val="0"/>
              <w:noProof/>
              <w:kern w:val="2"/>
              <w:sz w:val="24"/>
              <w:szCs w:val="24"/>
              <w14:ligatures w14:val="standardContextual"/>
            </w:rPr>
          </w:pPr>
          <w:hyperlink w:history="1" w:anchor="_Toc227840711">
            <w:r w:rsidRPr="00CF704D">
              <w:rPr>
                <w:rStyle w:val="Hyperlink"/>
                <w:noProof/>
                <w14:scene3d>
                  <w14:camera w14:prst="orthographicFront"/>
                  <w14:lightRig w14:rig="threePt" w14:dir="t">
                    <w14:rot w14:lat="0" w14:lon="0" w14:rev="0"/>
                  </w14:lightRig>
                </w14:scene3d>
                <w14:props3d w14:extrusionH="0" w14:contourW="0" w14:prstMaterial="warmMatte"/>
              </w:rPr>
              <w:t>Part 14.</w:t>
            </w:r>
            <w:r>
              <w:rPr>
                <w:rFonts w:asciiTheme="minorHAnsi" w:hAnsiTheme="minorHAnsi" w:eastAsiaTheme="minorEastAsia" w:cstheme="minorBidi"/>
                <w:b w:val="0"/>
                <w:caps w:val="0"/>
                <w:noProof/>
                <w:kern w:val="2"/>
                <w:sz w:val="24"/>
                <w:szCs w:val="24"/>
                <w14:ligatures w14:val="standardContextual"/>
              </w:rPr>
              <w:tab/>
            </w:r>
            <w:r w:rsidRPr="00CF704D">
              <w:rPr>
                <w:rStyle w:val="Hyperlink"/>
                <w:noProof/>
              </w:rPr>
              <w:t>Risk and Claims</w:t>
            </w:r>
            <w:r>
              <w:rPr>
                <w:noProof/>
                <w:webHidden/>
              </w:rPr>
              <w:tab/>
            </w:r>
            <w:r>
              <w:rPr>
                <w:noProof/>
                <w:webHidden/>
              </w:rPr>
              <w:fldChar w:fldCharType="begin"/>
            </w:r>
            <w:r>
              <w:rPr>
                <w:noProof/>
                <w:webHidden/>
              </w:rPr>
              <w:instrText xml:space="preserve"> PAGEREF _Toc227840711 \h </w:instrText>
            </w:r>
            <w:r>
              <w:rPr>
                <w:noProof/>
                <w:webHidden/>
              </w:rPr>
            </w:r>
            <w:r>
              <w:rPr>
                <w:noProof/>
                <w:webHidden/>
              </w:rPr>
              <w:fldChar w:fldCharType="separate"/>
            </w:r>
            <w:r>
              <w:rPr>
                <w:noProof/>
                <w:webHidden/>
              </w:rPr>
              <w:t>51</w:t>
            </w:r>
            <w:r>
              <w:rPr>
                <w:noProof/>
                <w:webHidden/>
              </w:rPr>
              <w:fldChar w:fldCharType="end"/>
            </w:r>
          </w:hyperlink>
        </w:p>
        <w:p w:rsidR="00CC5F3E" w:rsidRDefault="00CC5F3E" w14:paraId="3691083C" w14:textId="0BBCDFBD">
          <w:pPr>
            <w:pStyle w:val="TOC2"/>
            <w:rPr>
              <w:rFonts w:asciiTheme="minorHAnsi" w:hAnsiTheme="minorHAnsi" w:eastAsiaTheme="minorEastAsia" w:cstheme="minorBidi"/>
              <w:noProof/>
              <w:kern w:val="2"/>
              <w:sz w:val="24"/>
              <w:szCs w:val="24"/>
              <w14:ligatures w14:val="standardContextual"/>
            </w:rPr>
          </w:pPr>
          <w:hyperlink w:history="1" w:anchor="_Toc227840712">
            <w:r w:rsidRPr="00CF704D">
              <w:rPr>
                <w:rStyle w:val="Hyperlink"/>
                <w:rFonts w:eastAsia="PMingLiU" w:cs="Arial"/>
                <w:caps/>
                <w:noProof/>
                <w:specVanish/>
              </w:rPr>
              <w:t>14.1</w:t>
            </w:r>
            <w:r>
              <w:rPr>
                <w:rFonts w:asciiTheme="minorHAnsi" w:hAnsiTheme="minorHAnsi" w:eastAsiaTheme="minorEastAsia" w:cstheme="minorBidi"/>
                <w:noProof/>
                <w:kern w:val="2"/>
                <w:sz w:val="24"/>
                <w:szCs w:val="24"/>
                <w14:ligatures w14:val="standardContextual"/>
              </w:rPr>
              <w:tab/>
            </w:r>
            <w:r w:rsidRPr="00CF704D">
              <w:rPr>
                <w:rStyle w:val="Hyperlink"/>
                <w:rFonts w:eastAsia="PMingLiU"/>
                <w:noProof/>
              </w:rPr>
              <w:t>Liability for Facility.</w:t>
            </w:r>
            <w:r>
              <w:rPr>
                <w:noProof/>
                <w:webHidden/>
              </w:rPr>
              <w:tab/>
            </w:r>
            <w:r>
              <w:rPr>
                <w:noProof/>
                <w:webHidden/>
              </w:rPr>
              <w:fldChar w:fldCharType="begin"/>
            </w:r>
            <w:r>
              <w:rPr>
                <w:noProof/>
                <w:webHidden/>
              </w:rPr>
              <w:instrText xml:space="preserve"> PAGEREF _Toc227840712 \h </w:instrText>
            </w:r>
            <w:r>
              <w:rPr>
                <w:noProof/>
                <w:webHidden/>
              </w:rPr>
            </w:r>
            <w:r>
              <w:rPr>
                <w:noProof/>
                <w:webHidden/>
              </w:rPr>
              <w:fldChar w:fldCharType="separate"/>
            </w:r>
            <w:r>
              <w:rPr>
                <w:noProof/>
                <w:webHidden/>
              </w:rPr>
              <w:t>51</w:t>
            </w:r>
            <w:r>
              <w:rPr>
                <w:noProof/>
                <w:webHidden/>
              </w:rPr>
              <w:fldChar w:fldCharType="end"/>
            </w:r>
          </w:hyperlink>
        </w:p>
        <w:p w:rsidR="00CC5F3E" w:rsidRDefault="00CC5F3E" w14:paraId="74F5BFEF" w14:textId="1A6F0282">
          <w:pPr>
            <w:pStyle w:val="TOC2"/>
            <w:rPr>
              <w:rFonts w:asciiTheme="minorHAnsi" w:hAnsiTheme="minorHAnsi" w:eastAsiaTheme="minorEastAsia" w:cstheme="minorBidi"/>
              <w:noProof/>
              <w:kern w:val="2"/>
              <w:sz w:val="24"/>
              <w:szCs w:val="24"/>
              <w14:ligatures w14:val="standardContextual"/>
            </w:rPr>
          </w:pPr>
          <w:hyperlink w:history="1" w:anchor="_Toc227840713">
            <w:r w:rsidRPr="00CF704D">
              <w:rPr>
                <w:rStyle w:val="Hyperlink"/>
                <w:rFonts w:eastAsia="PMingLiU" w:cs="Arial"/>
                <w:caps/>
                <w:noProof/>
                <w:specVanish/>
              </w:rPr>
              <w:t>14.2</w:t>
            </w:r>
            <w:r>
              <w:rPr>
                <w:rFonts w:asciiTheme="minorHAnsi" w:hAnsiTheme="minorHAnsi" w:eastAsiaTheme="minorEastAsia" w:cstheme="minorBidi"/>
                <w:noProof/>
                <w:kern w:val="2"/>
                <w:sz w:val="24"/>
                <w:szCs w:val="24"/>
                <w14:ligatures w14:val="standardContextual"/>
              </w:rPr>
              <w:tab/>
            </w:r>
            <w:r w:rsidRPr="00CF704D">
              <w:rPr>
                <w:rStyle w:val="Hyperlink"/>
                <w:rFonts w:cs="Arial"/>
                <w:noProof/>
              </w:rPr>
              <w:t>No Liability.</w:t>
            </w:r>
            <w:r>
              <w:rPr>
                <w:noProof/>
                <w:webHidden/>
              </w:rPr>
              <w:tab/>
            </w:r>
            <w:r>
              <w:rPr>
                <w:noProof/>
                <w:webHidden/>
              </w:rPr>
              <w:fldChar w:fldCharType="begin"/>
            </w:r>
            <w:r>
              <w:rPr>
                <w:noProof/>
                <w:webHidden/>
              </w:rPr>
              <w:instrText xml:space="preserve"> PAGEREF _Toc227840713 \h </w:instrText>
            </w:r>
            <w:r>
              <w:rPr>
                <w:noProof/>
                <w:webHidden/>
              </w:rPr>
            </w:r>
            <w:r>
              <w:rPr>
                <w:noProof/>
                <w:webHidden/>
              </w:rPr>
              <w:fldChar w:fldCharType="separate"/>
            </w:r>
            <w:r>
              <w:rPr>
                <w:noProof/>
                <w:webHidden/>
              </w:rPr>
              <w:t>52</w:t>
            </w:r>
            <w:r>
              <w:rPr>
                <w:noProof/>
                <w:webHidden/>
              </w:rPr>
              <w:fldChar w:fldCharType="end"/>
            </w:r>
          </w:hyperlink>
        </w:p>
        <w:p w:rsidR="00CC5F3E" w:rsidRDefault="00CC5F3E" w14:paraId="12D1215F" w14:textId="720F7EE3">
          <w:pPr>
            <w:pStyle w:val="TOC2"/>
            <w:rPr>
              <w:rFonts w:asciiTheme="minorHAnsi" w:hAnsiTheme="minorHAnsi" w:eastAsiaTheme="minorEastAsia" w:cstheme="minorBidi"/>
              <w:noProof/>
              <w:kern w:val="2"/>
              <w:sz w:val="24"/>
              <w:szCs w:val="24"/>
              <w14:ligatures w14:val="standardContextual"/>
            </w:rPr>
          </w:pPr>
          <w:hyperlink w:history="1" w:anchor="_Toc227840714">
            <w:r w:rsidRPr="00CF704D">
              <w:rPr>
                <w:rStyle w:val="Hyperlink"/>
                <w:rFonts w:eastAsia="PMingLiU"/>
                <w:caps/>
                <w:noProof/>
                <w:specVanish/>
              </w:rPr>
              <w:t>14.3</w:t>
            </w:r>
            <w:r>
              <w:rPr>
                <w:rFonts w:asciiTheme="minorHAnsi" w:hAnsiTheme="minorHAnsi" w:eastAsiaTheme="minorEastAsia" w:cstheme="minorBidi"/>
                <w:noProof/>
                <w:kern w:val="2"/>
                <w:sz w:val="24"/>
                <w:szCs w:val="24"/>
                <w14:ligatures w14:val="standardContextual"/>
              </w:rPr>
              <w:tab/>
            </w:r>
            <w:r w:rsidRPr="00CF704D">
              <w:rPr>
                <w:rStyle w:val="Hyperlink"/>
                <w:noProof/>
              </w:rPr>
              <w:t>Scope of Indemnity.</w:t>
            </w:r>
            <w:r>
              <w:rPr>
                <w:noProof/>
                <w:webHidden/>
              </w:rPr>
              <w:tab/>
            </w:r>
            <w:r>
              <w:rPr>
                <w:noProof/>
                <w:webHidden/>
              </w:rPr>
              <w:fldChar w:fldCharType="begin"/>
            </w:r>
            <w:r>
              <w:rPr>
                <w:noProof/>
                <w:webHidden/>
              </w:rPr>
              <w:instrText xml:space="preserve"> PAGEREF _Toc227840714 \h </w:instrText>
            </w:r>
            <w:r>
              <w:rPr>
                <w:noProof/>
                <w:webHidden/>
              </w:rPr>
            </w:r>
            <w:r>
              <w:rPr>
                <w:noProof/>
                <w:webHidden/>
              </w:rPr>
              <w:fldChar w:fldCharType="separate"/>
            </w:r>
            <w:r>
              <w:rPr>
                <w:noProof/>
                <w:webHidden/>
              </w:rPr>
              <w:t>52</w:t>
            </w:r>
            <w:r>
              <w:rPr>
                <w:noProof/>
                <w:webHidden/>
              </w:rPr>
              <w:fldChar w:fldCharType="end"/>
            </w:r>
          </w:hyperlink>
        </w:p>
        <w:p w:rsidR="00CC5F3E" w:rsidRDefault="00CC5F3E" w14:paraId="7BFA0290" w14:textId="719646D2">
          <w:pPr>
            <w:pStyle w:val="TOC2"/>
            <w:rPr>
              <w:rFonts w:asciiTheme="minorHAnsi" w:hAnsiTheme="minorHAnsi" w:eastAsiaTheme="minorEastAsia" w:cstheme="minorBidi"/>
              <w:noProof/>
              <w:kern w:val="2"/>
              <w:sz w:val="24"/>
              <w:szCs w:val="24"/>
              <w14:ligatures w14:val="standardContextual"/>
            </w:rPr>
          </w:pPr>
          <w:hyperlink w:history="1" w:anchor="_Toc227840715">
            <w:r w:rsidRPr="00CF704D">
              <w:rPr>
                <w:rStyle w:val="Hyperlink"/>
                <w:rFonts w:eastAsia="PMingLiU" w:cs="Arial"/>
                <w:caps/>
                <w:noProof/>
                <w:specVanish/>
              </w:rPr>
              <w:t>14.4</w:t>
            </w:r>
            <w:r>
              <w:rPr>
                <w:rFonts w:asciiTheme="minorHAnsi" w:hAnsiTheme="minorHAnsi" w:eastAsiaTheme="minorEastAsia" w:cstheme="minorBidi"/>
                <w:noProof/>
                <w:kern w:val="2"/>
                <w:sz w:val="24"/>
                <w:szCs w:val="24"/>
                <w14:ligatures w14:val="standardContextual"/>
              </w:rPr>
              <w:tab/>
            </w:r>
            <w:r w:rsidRPr="00CF704D">
              <w:rPr>
                <w:rStyle w:val="Hyperlink"/>
                <w:bCs/>
                <w:noProof/>
              </w:rPr>
              <w:t>Survival.</w:t>
            </w:r>
            <w:r>
              <w:rPr>
                <w:noProof/>
                <w:webHidden/>
              </w:rPr>
              <w:tab/>
            </w:r>
            <w:r>
              <w:rPr>
                <w:noProof/>
                <w:webHidden/>
              </w:rPr>
              <w:fldChar w:fldCharType="begin"/>
            </w:r>
            <w:r>
              <w:rPr>
                <w:noProof/>
                <w:webHidden/>
              </w:rPr>
              <w:instrText xml:space="preserve"> PAGEREF _Toc227840715 \h </w:instrText>
            </w:r>
            <w:r>
              <w:rPr>
                <w:noProof/>
                <w:webHidden/>
              </w:rPr>
            </w:r>
            <w:r>
              <w:rPr>
                <w:noProof/>
                <w:webHidden/>
              </w:rPr>
              <w:fldChar w:fldCharType="separate"/>
            </w:r>
            <w:r>
              <w:rPr>
                <w:noProof/>
                <w:webHidden/>
              </w:rPr>
              <w:t>52</w:t>
            </w:r>
            <w:r>
              <w:rPr>
                <w:noProof/>
                <w:webHidden/>
              </w:rPr>
              <w:fldChar w:fldCharType="end"/>
            </w:r>
          </w:hyperlink>
        </w:p>
        <w:p w:rsidR="00CC5F3E" w:rsidRDefault="00CC5F3E" w14:paraId="41415256" w14:textId="6BD9C2F0">
          <w:pPr>
            <w:pStyle w:val="TOC1"/>
            <w:rPr>
              <w:rFonts w:asciiTheme="minorHAnsi" w:hAnsiTheme="minorHAnsi" w:eastAsiaTheme="minorEastAsia" w:cstheme="minorBidi"/>
              <w:b w:val="0"/>
              <w:caps w:val="0"/>
              <w:noProof/>
              <w:kern w:val="2"/>
              <w:sz w:val="24"/>
              <w:szCs w:val="24"/>
              <w14:ligatures w14:val="standardContextual"/>
            </w:rPr>
          </w:pPr>
          <w:hyperlink w:history="1" w:anchor="_Toc227840716">
            <w:r w:rsidRPr="00CF704D">
              <w:rPr>
                <w:rStyle w:val="Hyperlink"/>
                <w:noProof/>
                <w14:scene3d>
                  <w14:camera w14:prst="orthographicFront"/>
                  <w14:lightRig w14:rig="threePt" w14:dir="t">
                    <w14:rot w14:lat="0" w14:lon="0" w14:rev="0"/>
                  </w14:lightRig>
                </w14:scene3d>
                <w14:props3d w14:extrusionH="0" w14:contourW="0" w14:prstMaterial="warmMatte"/>
              </w:rPr>
              <w:t>Part 15.</w:t>
            </w:r>
            <w:r>
              <w:rPr>
                <w:rFonts w:asciiTheme="minorHAnsi" w:hAnsiTheme="minorHAnsi" w:eastAsiaTheme="minorEastAsia" w:cstheme="minorBidi"/>
                <w:b w:val="0"/>
                <w:caps w:val="0"/>
                <w:noProof/>
                <w:kern w:val="2"/>
                <w:sz w:val="24"/>
                <w:szCs w:val="24"/>
                <w14:ligatures w14:val="standardContextual"/>
              </w:rPr>
              <w:tab/>
            </w:r>
            <w:r w:rsidRPr="00CF704D">
              <w:rPr>
                <w:rStyle w:val="Hyperlink"/>
                <w:noProof/>
              </w:rPr>
              <w:t>Force Majeure</w:t>
            </w:r>
            <w:r>
              <w:rPr>
                <w:noProof/>
                <w:webHidden/>
              </w:rPr>
              <w:tab/>
            </w:r>
            <w:r>
              <w:rPr>
                <w:noProof/>
                <w:webHidden/>
              </w:rPr>
              <w:fldChar w:fldCharType="begin"/>
            </w:r>
            <w:r>
              <w:rPr>
                <w:noProof/>
                <w:webHidden/>
              </w:rPr>
              <w:instrText xml:space="preserve"> PAGEREF _Toc227840716 \h </w:instrText>
            </w:r>
            <w:r>
              <w:rPr>
                <w:noProof/>
                <w:webHidden/>
              </w:rPr>
            </w:r>
            <w:r>
              <w:rPr>
                <w:noProof/>
                <w:webHidden/>
              </w:rPr>
              <w:fldChar w:fldCharType="separate"/>
            </w:r>
            <w:r>
              <w:rPr>
                <w:noProof/>
                <w:webHidden/>
              </w:rPr>
              <w:t>52</w:t>
            </w:r>
            <w:r>
              <w:rPr>
                <w:noProof/>
                <w:webHidden/>
              </w:rPr>
              <w:fldChar w:fldCharType="end"/>
            </w:r>
          </w:hyperlink>
        </w:p>
        <w:p w:rsidR="00CC5F3E" w:rsidRDefault="00CC5F3E" w14:paraId="0200892F" w14:textId="6FAC07B1">
          <w:pPr>
            <w:pStyle w:val="TOC2"/>
            <w:rPr>
              <w:rFonts w:asciiTheme="minorHAnsi" w:hAnsiTheme="minorHAnsi" w:eastAsiaTheme="minorEastAsia" w:cstheme="minorBidi"/>
              <w:noProof/>
              <w:kern w:val="2"/>
              <w:sz w:val="24"/>
              <w:szCs w:val="24"/>
              <w14:ligatures w14:val="standardContextual"/>
            </w:rPr>
          </w:pPr>
          <w:hyperlink w:history="1" w:anchor="_Toc227840717">
            <w:r w:rsidRPr="00CF704D">
              <w:rPr>
                <w:rStyle w:val="Hyperlink"/>
                <w:rFonts w:eastAsia="PMingLiU" w:cs="Arial"/>
                <w:caps/>
                <w:noProof/>
                <w:specVanish/>
              </w:rPr>
              <w:t>15.1</w:t>
            </w:r>
            <w:r>
              <w:rPr>
                <w:rFonts w:asciiTheme="minorHAnsi" w:hAnsiTheme="minorHAnsi" w:eastAsiaTheme="minorEastAsia" w:cstheme="minorBidi"/>
                <w:noProof/>
                <w:kern w:val="2"/>
                <w:sz w:val="24"/>
                <w:szCs w:val="24"/>
                <w14:ligatures w14:val="standardContextual"/>
              </w:rPr>
              <w:tab/>
            </w:r>
            <w:r w:rsidRPr="00CF704D">
              <w:rPr>
                <w:rStyle w:val="Hyperlink"/>
                <w:rFonts w:cs="Arial"/>
                <w:noProof/>
              </w:rPr>
              <w:t>Definition of Force Majeure Event.</w:t>
            </w:r>
            <w:r>
              <w:rPr>
                <w:noProof/>
                <w:webHidden/>
              </w:rPr>
              <w:tab/>
            </w:r>
            <w:r>
              <w:rPr>
                <w:noProof/>
                <w:webHidden/>
              </w:rPr>
              <w:fldChar w:fldCharType="begin"/>
            </w:r>
            <w:r>
              <w:rPr>
                <w:noProof/>
                <w:webHidden/>
              </w:rPr>
              <w:instrText xml:space="preserve"> PAGEREF _Toc227840717 \h </w:instrText>
            </w:r>
            <w:r>
              <w:rPr>
                <w:noProof/>
                <w:webHidden/>
              </w:rPr>
            </w:r>
            <w:r>
              <w:rPr>
                <w:noProof/>
                <w:webHidden/>
              </w:rPr>
              <w:fldChar w:fldCharType="separate"/>
            </w:r>
            <w:r>
              <w:rPr>
                <w:noProof/>
                <w:webHidden/>
              </w:rPr>
              <w:t>52</w:t>
            </w:r>
            <w:r>
              <w:rPr>
                <w:noProof/>
                <w:webHidden/>
              </w:rPr>
              <w:fldChar w:fldCharType="end"/>
            </w:r>
          </w:hyperlink>
        </w:p>
        <w:p w:rsidR="00CC5F3E" w:rsidRDefault="00CC5F3E" w14:paraId="699B7EAD" w14:textId="3D4C02D1">
          <w:pPr>
            <w:pStyle w:val="TOC2"/>
            <w:rPr>
              <w:rFonts w:asciiTheme="minorHAnsi" w:hAnsiTheme="minorHAnsi" w:eastAsiaTheme="minorEastAsia" w:cstheme="minorBidi"/>
              <w:noProof/>
              <w:kern w:val="2"/>
              <w:sz w:val="24"/>
              <w:szCs w:val="24"/>
              <w14:ligatures w14:val="standardContextual"/>
            </w:rPr>
          </w:pPr>
          <w:hyperlink w:history="1" w:anchor="_Toc227840718">
            <w:r w:rsidRPr="00CF704D">
              <w:rPr>
                <w:rStyle w:val="Hyperlink"/>
                <w:rFonts w:eastAsia="PMingLiU"/>
                <w:caps/>
                <w:noProof/>
                <w:specVanish/>
              </w:rPr>
              <w:t>15.2</w:t>
            </w:r>
            <w:r>
              <w:rPr>
                <w:rFonts w:asciiTheme="minorHAnsi" w:hAnsiTheme="minorHAnsi" w:eastAsiaTheme="minorEastAsia" w:cstheme="minorBidi"/>
                <w:noProof/>
                <w:kern w:val="2"/>
                <w:sz w:val="24"/>
                <w:szCs w:val="24"/>
                <w14:ligatures w14:val="standardContextual"/>
              </w:rPr>
              <w:tab/>
            </w:r>
            <w:r w:rsidRPr="00CF704D">
              <w:rPr>
                <w:rStyle w:val="Hyperlink"/>
                <w:rFonts w:cs="Arial"/>
                <w:noProof/>
              </w:rPr>
              <w:t>Force Majeure Exclusions.</w:t>
            </w:r>
            <w:r>
              <w:rPr>
                <w:noProof/>
                <w:webHidden/>
              </w:rPr>
              <w:tab/>
            </w:r>
            <w:r>
              <w:rPr>
                <w:noProof/>
                <w:webHidden/>
              </w:rPr>
              <w:fldChar w:fldCharType="begin"/>
            </w:r>
            <w:r>
              <w:rPr>
                <w:noProof/>
                <w:webHidden/>
              </w:rPr>
              <w:instrText xml:space="preserve"> PAGEREF _Toc227840718 \h </w:instrText>
            </w:r>
            <w:r>
              <w:rPr>
                <w:noProof/>
                <w:webHidden/>
              </w:rPr>
            </w:r>
            <w:r>
              <w:rPr>
                <w:noProof/>
                <w:webHidden/>
              </w:rPr>
              <w:fldChar w:fldCharType="separate"/>
            </w:r>
            <w:r>
              <w:rPr>
                <w:noProof/>
                <w:webHidden/>
              </w:rPr>
              <w:t>52</w:t>
            </w:r>
            <w:r>
              <w:rPr>
                <w:noProof/>
                <w:webHidden/>
              </w:rPr>
              <w:fldChar w:fldCharType="end"/>
            </w:r>
          </w:hyperlink>
        </w:p>
        <w:p w:rsidR="00CC5F3E" w:rsidRDefault="00CC5F3E" w14:paraId="0D57B24E" w14:textId="4449872D">
          <w:pPr>
            <w:pStyle w:val="TOC2"/>
            <w:rPr>
              <w:rFonts w:asciiTheme="minorHAnsi" w:hAnsiTheme="minorHAnsi" w:eastAsiaTheme="minorEastAsia" w:cstheme="minorBidi"/>
              <w:noProof/>
              <w:kern w:val="2"/>
              <w:sz w:val="24"/>
              <w:szCs w:val="24"/>
              <w14:ligatures w14:val="standardContextual"/>
            </w:rPr>
          </w:pPr>
          <w:hyperlink w:history="1" w:anchor="_Toc227840719">
            <w:r w:rsidRPr="00CF704D">
              <w:rPr>
                <w:rStyle w:val="Hyperlink"/>
                <w:rFonts w:eastAsia="PMingLiU" w:cs="Arial"/>
                <w:caps/>
                <w:noProof/>
                <w:specVanish/>
              </w:rPr>
              <w:t>15.3</w:t>
            </w:r>
            <w:r>
              <w:rPr>
                <w:rFonts w:asciiTheme="minorHAnsi" w:hAnsiTheme="minorHAnsi" w:eastAsiaTheme="minorEastAsia" w:cstheme="minorBidi"/>
                <w:noProof/>
                <w:kern w:val="2"/>
                <w:sz w:val="24"/>
                <w:szCs w:val="24"/>
                <w14:ligatures w14:val="standardContextual"/>
              </w:rPr>
              <w:tab/>
            </w:r>
            <w:r w:rsidRPr="00CF704D">
              <w:rPr>
                <w:rStyle w:val="Hyperlink"/>
                <w:rFonts w:cs="Arial"/>
                <w:noProof/>
              </w:rPr>
              <w:t>No Breach or Liability.</w:t>
            </w:r>
            <w:r>
              <w:rPr>
                <w:noProof/>
                <w:webHidden/>
              </w:rPr>
              <w:tab/>
            </w:r>
            <w:r>
              <w:rPr>
                <w:noProof/>
                <w:webHidden/>
              </w:rPr>
              <w:fldChar w:fldCharType="begin"/>
            </w:r>
            <w:r>
              <w:rPr>
                <w:noProof/>
                <w:webHidden/>
              </w:rPr>
              <w:instrText xml:space="preserve"> PAGEREF _Toc227840719 \h </w:instrText>
            </w:r>
            <w:r>
              <w:rPr>
                <w:noProof/>
                <w:webHidden/>
              </w:rPr>
            </w:r>
            <w:r>
              <w:rPr>
                <w:noProof/>
                <w:webHidden/>
              </w:rPr>
              <w:fldChar w:fldCharType="separate"/>
            </w:r>
            <w:r>
              <w:rPr>
                <w:noProof/>
                <w:webHidden/>
              </w:rPr>
              <w:t>53</w:t>
            </w:r>
            <w:r>
              <w:rPr>
                <w:noProof/>
                <w:webHidden/>
              </w:rPr>
              <w:fldChar w:fldCharType="end"/>
            </w:r>
          </w:hyperlink>
        </w:p>
        <w:p w:rsidR="00CC5F3E" w:rsidRDefault="00CC5F3E" w14:paraId="786023B0" w14:textId="7B6A001D">
          <w:pPr>
            <w:pStyle w:val="TOC2"/>
            <w:rPr>
              <w:rFonts w:asciiTheme="minorHAnsi" w:hAnsiTheme="minorHAnsi" w:eastAsiaTheme="minorEastAsia" w:cstheme="minorBidi"/>
              <w:noProof/>
              <w:kern w:val="2"/>
              <w:sz w:val="24"/>
              <w:szCs w:val="24"/>
              <w14:ligatures w14:val="standardContextual"/>
            </w:rPr>
          </w:pPr>
          <w:hyperlink w:history="1" w:anchor="_Toc227840720">
            <w:r w:rsidRPr="00CF704D">
              <w:rPr>
                <w:rStyle w:val="Hyperlink"/>
                <w:rFonts w:eastAsia="PMingLiU" w:cs="Arial"/>
                <w:caps/>
                <w:noProof/>
                <w:specVanish/>
              </w:rPr>
              <w:t>15.4</w:t>
            </w:r>
            <w:r>
              <w:rPr>
                <w:rFonts w:asciiTheme="minorHAnsi" w:hAnsiTheme="minorHAnsi" w:eastAsiaTheme="minorEastAsia" w:cstheme="minorBidi"/>
                <w:noProof/>
                <w:kern w:val="2"/>
                <w:sz w:val="24"/>
                <w:szCs w:val="24"/>
                <w14:ligatures w14:val="standardContextual"/>
              </w:rPr>
              <w:tab/>
            </w:r>
            <w:r w:rsidRPr="00CF704D">
              <w:rPr>
                <w:rStyle w:val="Hyperlink"/>
                <w:rFonts w:cs="Arial"/>
                <w:noProof/>
              </w:rPr>
              <w:t>Monthly Capacity Payments.</w:t>
            </w:r>
            <w:r>
              <w:rPr>
                <w:noProof/>
                <w:webHidden/>
              </w:rPr>
              <w:tab/>
            </w:r>
            <w:r>
              <w:rPr>
                <w:noProof/>
                <w:webHidden/>
              </w:rPr>
              <w:fldChar w:fldCharType="begin"/>
            </w:r>
            <w:r>
              <w:rPr>
                <w:noProof/>
                <w:webHidden/>
              </w:rPr>
              <w:instrText xml:space="preserve"> PAGEREF _Toc227840720 \h </w:instrText>
            </w:r>
            <w:r>
              <w:rPr>
                <w:noProof/>
                <w:webHidden/>
              </w:rPr>
            </w:r>
            <w:r>
              <w:rPr>
                <w:noProof/>
                <w:webHidden/>
              </w:rPr>
              <w:fldChar w:fldCharType="separate"/>
            </w:r>
            <w:r>
              <w:rPr>
                <w:noProof/>
                <w:webHidden/>
              </w:rPr>
              <w:t>53</w:t>
            </w:r>
            <w:r>
              <w:rPr>
                <w:noProof/>
                <w:webHidden/>
              </w:rPr>
              <w:fldChar w:fldCharType="end"/>
            </w:r>
          </w:hyperlink>
        </w:p>
        <w:p w:rsidR="00CC5F3E" w:rsidRDefault="00CC5F3E" w14:paraId="1B461079" w14:textId="2847E472">
          <w:pPr>
            <w:pStyle w:val="TOC2"/>
            <w:rPr>
              <w:rFonts w:asciiTheme="minorHAnsi" w:hAnsiTheme="minorHAnsi" w:eastAsiaTheme="minorEastAsia" w:cstheme="minorBidi"/>
              <w:noProof/>
              <w:kern w:val="2"/>
              <w:sz w:val="24"/>
              <w:szCs w:val="24"/>
              <w14:ligatures w14:val="standardContextual"/>
            </w:rPr>
          </w:pPr>
          <w:hyperlink w:history="1" w:anchor="_Toc227840721">
            <w:r w:rsidRPr="00CF704D">
              <w:rPr>
                <w:rStyle w:val="Hyperlink"/>
                <w:rFonts w:eastAsia="PMingLiU" w:cs="Arial"/>
                <w:caps/>
                <w:noProof/>
                <w:specVanish/>
              </w:rPr>
              <w:t>15.5</w:t>
            </w:r>
            <w:r>
              <w:rPr>
                <w:rFonts w:asciiTheme="minorHAnsi" w:hAnsiTheme="minorHAnsi" w:eastAsiaTheme="minorEastAsia" w:cstheme="minorBidi"/>
                <w:noProof/>
                <w:kern w:val="2"/>
                <w:sz w:val="24"/>
                <w:szCs w:val="24"/>
                <w14:ligatures w14:val="standardContextual"/>
              </w:rPr>
              <w:tab/>
            </w:r>
            <w:r w:rsidRPr="00CF704D">
              <w:rPr>
                <w:rStyle w:val="Hyperlink"/>
                <w:rFonts w:cs="Arial"/>
                <w:noProof/>
              </w:rPr>
              <w:t>Notice of FME; Updates.</w:t>
            </w:r>
            <w:r>
              <w:rPr>
                <w:noProof/>
                <w:webHidden/>
              </w:rPr>
              <w:tab/>
            </w:r>
            <w:r>
              <w:rPr>
                <w:noProof/>
                <w:webHidden/>
              </w:rPr>
              <w:fldChar w:fldCharType="begin"/>
            </w:r>
            <w:r>
              <w:rPr>
                <w:noProof/>
                <w:webHidden/>
              </w:rPr>
              <w:instrText xml:space="preserve"> PAGEREF _Toc227840721 \h </w:instrText>
            </w:r>
            <w:r>
              <w:rPr>
                <w:noProof/>
                <w:webHidden/>
              </w:rPr>
            </w:r>
            <w:r>
              <w:rPr>
                <w:noProof/>
                <w:webHidden/>
              </w:rPr>
              <w:fldChar w:fldCharType="separate"/>
            </w:r>
            <w:r>
              <w:rPr>
                <w:noProof/>
                <w:webHidden/>
              </w:rPr>
              <w:t>53</w:t>
            </w:r>
            <w:r>
              <w:rPr>
                <w:noProof/>
                <w:webHidden/>
              </w:rPr>
              <w:fldChar w:fldCharType="end"/>
            </w:r>
          </w:hyperlink>
        </w:p>
        <w:p w:rsidR="00CC5F3E" w:rsidRDefault="00CC5F3E" w14:paraId="69F2BD68" w14:textId="3398A46B">
          <w:pPr>
            <w:pStyle w:val="TOC2"/>
            <w:rPr>
              <w:rFonts w:asciiTheme="minorHAnsi" w:hAnsiTheme="minorHAnsi" w:eastAsiaTheme="minorEastAsia" w:cstheme="minorBidi"/>
              <w:noProof/>
              <w:kern w:val="2"/>
              <w:sz w:val="24"/>
              <w:szCs w:val="24"/>
              <w14:ligatures w14:val="standardContextual"/>
            </w:rPr>
          </w:pPr>
          <w:hyperlink w:history="1" w:anchor="_Toc227840722">
            <w:r w:rsidRPr="00CF704D">
              <w:rPr>
                <w:rStyle w:val="Hyperlink"/>
                <w:rFonts w:eastAsia="PMingLiU" w:cs="Arial"/>
                <w:caps/>
                <w:noProof/>
                <w:specVanish/>
              </w:rPr>
              <w:t>15.6</w:t>
            </w:r>
            <w:r>
              <w:rPr>
                <w:rFonts w:asciiTheme="minorHAnsi" w:hAnsiTheme="minorHAnsi" w:eastAsiaTheme="minorEastAsia" w:cstheme="minorBidi"/>
                <w:noProof/>
                <w:kern w:val="2"/>
                <w:sz w:val="24"/>
                <w:szCs w:val="24"/>
                <w14:ligatures w14:val="standardContextual"/>
              </w:rPr>
              <w:tab/>
            </w:r>
            <w:r w:rsidRPr="00CF704D">
              <w:rPr>
                <w:rStyle w:val="Hyperlink"/>
                <w:rFonts w:cs="Arial"/>
                <w:noProof/>
              </w:rPr>
              <w:t>Requirements for Relief.</w:t>
            </w:r>
            <w:r>
              <w:rPr>
                <w:noProof/>
                <w:webHidden/>
              </w:rPr>
              <w:tab/>
            </w:r>
            <w:r>
              <w:rPr>
                <w:noProof/>
                <w:webHidden/>
              </w:rPr>
              <w:fldChar w:fldCharType="begin"/>
            </w:r>
            <w:r>
              <w:rPr>
                <w:noProof/>
                <w:webHidden/>
              </w:rPr>
              <w:instrText xml:space="preserve"> PAGEREF _Toc227840722 \h </w:instrText>
            </w:r>
            <w:r>
              <w:rPr>
                <w:noProof/>
                <w:webHidden/>
              </w:rPr>
            </w:r>
            <w:r>
              <w:rPr>
                <w:noProof/>
                <w:webHidden/>
              </w:rPr>
              <w:fldChar w:fldCharType="separate"/>
            </w:r>
            <w:r>
              <w:rPr>
                <w:noProof/>
                <w:webHidden/>
              </w:rPr>
              <w:t>53</w:t>
            </w:r>
            <w:r>
              <w:rPr>
                <w:noProof/>
                <w:webHidden/>
              </w:rPr>
              <w:fldChar w:fldCharType="end"/>
            </w:r>
          </w:hyperlink>
        </w:p>
        <w:p w:rsidR="00CC5F3E" w:rsidRDefault="00CC5F3E" w14:paraId="20593B9D" w14:textId="4E38D4A0">
          <w:pPr>
            <w:pStyle w:val="TOC2"/>
            <w:rPr>
              <w:rFonts w:asciiTheme="minorHAnsi" w:hAnsiTheme="minorHAnsi" w:eastAsiaTheme="minorEastAsia" w:cstheme="minorBidi"/>
              <w:noProof/>
              <w:kern w:val="2"/>
              <w:sz w:val="24"/>
              <w:szCs w:val="24"/>
              <w14:ligatures w14:val="standardContextual"/>
            </w:rPr>
          </w:pPr>
          <w:hyperlink w:history="1" w:anchor="_Toc227840723">
            <w:r w:rsidRPr="00CF704D">
              <w:rPr>
                <w:rStyle w:val="Hyperlink"/>
                <w:rFonts w:eastAsia="PMingLiU" w:cs="Arial"/>
                <w:caps/>
                <w:noProof/>
                <w:specVanish/>
              </w:rPr>
              <w:t>15.7</w:t>
            </w:r>
            <w:r>
              <w:rPr>
                <w:rFonts w:asciiTheme="minorHAnsi" w:hAnsiTheme="minorHAnsi" w:eastAsiaTheme="minorEastAsia" w:cstheme="minorBidi"/>
                <w:noProof/>
                <w:kern w:val="2"/>
                <w:sz w:val="24"/>
                <w:szCs w:val="24"/>
                <w14:ligatures w14:val="standardContextual"/>
              </w:rPr>
              <w:tab/>
            </w:r>
            <w:r w:rsidRPr="00CF704D">
              <w:rPr>
                <w:rStyle w:val="Hyperlink"/>
                <w:rFonts w:cs="Arial"/>
                <w:noProof/>
              </w:rPr>
              <w:t>Extended FME.</w:t>
            </w:r>
            <w:r>
              <w:rPr>
                <w:noProof/>
                <w:webHidden/>
              </w:rPr>
              <w:tab/>
            </w:r>
            <w:r>
              <w:rPr>
                <w:noProof/>
                <w:webHidden/>
              </w:rPr>
              <w:fldChar w:fldCharType="begin"/>
            </w:r>
            <w:r>
              <w:rPr>
                <w:noProof/>
                <w:webHidden/>
              </w:rPr>
              <w:instrText xml:space="preserve"> PAGEREF _Toc227840723 \h </w:instrText>
            </w:r>
            <w:r>
              <w:rPr>
                <w:noProof/>
                <w:webHidden/>
              </w:rPr>
            </w:r>
            <w:r>
              <w:rPr>
                <w:noProof/>
                <w:webHidden/>
              </w:rPr>
              <w:fldChar w:fldCharType="separate"/>
            </w:r>
            <w:r>
              <w:rPr>
                <w:noProof/>
                <w:webHidden/>
              </w:rPr>
              <w:t>54</w:t>
            </w:r>
            <w:r>
              <w:rPr>
                <w:noProof/>
                <w:webHidden/>
              </w:rPr>
              <w:fldChar w:fldCharType="end"/>
            </w:r>
          </w:hyperlink>
        </w:p>
        <w:p w:rsidR="00CC5F3E" w:rsidRDefault="00CC5F3E" w14:paraId="1A50C10A" w14:textId="7A26A5FB">
          <w:pPr>
            <w:pStyle w:val="TOC1"/>
            <w:rPr>
              <w:rFonts w:asciiTheme="minorHAnsi" w:hAnsiTheme="minorHAnsi" w:eastAsiaTheme="minorEastAsia" w:cstheme="minorBidi"/>
              <w:b w:val="0"/>
              <w:caps w:val="0"/>
              <w:noProof/>
              <w:kern w:val="2"/>
              <w:sz w:val="24"/>
              <w:szCs w:val="24"/>
              <w14:ligatures w14:val="standardContextual"/>
            </w:rPr>
          </w:pPr>
          <w:hyperlink w:history="1" w:anchor="_Toc227840724">
            <w:r w:rsidRPr="00CF704D">
              <w:rPr>
                <w:rStyle w:val="Hyperlink"/>
                <w:noProof/>
                <w14:scene3d>
                  <w14:camera w14:prst="orthographicFront"/>
                  <w14:lightRig w14:rig="threePt" w14:dir="t">
                    <w14:rot w14:lat="0" w14:lon="0" w14:rev="0"/>
                  </w14:lightRig>
                </w14:scene3d>
                <w14:props3d w14:extrusionH="0" w14:contourW="0" w14:prstMaterial="warmMatte"/>
              </w:rPr>
              <w:t>Part 16.</w:t>
            </w:r>
            <w:r>
              <w:rPr>
                <w:rFonts w:asciiTheme="minorHAnsi" w:hAnsiTheme="minorHAnsi" w:eastAsiaTheme="minorEastAsia" w:cstheme="minorBidi"/>
                <w:b w:val="0"/>
                <w:caps w:val="0"/>
                <w:noProof/>
                <w:kern w:val="2"/>
                <w:sz w:val="24"/>
                <w:szCs w:val="24"/>
                <w14:ligatures w14:val="standardContextual"/>
              </w:rPr>
              <w:tab/>
            </w:r>
            <w:r w:rsidRPr="00CF704D">
              <w:rPr>
                <w:rStyle w:val="Hyperlink"/>
                <w:noProof/>
              </w:rPr>
              <w:t>Default and Remedies</w:t>
            </w:r>
            <w:r>
              <w:rPr>
                <w:noProof/>
                <w:webHidden/>
              </w:rPr>
              <w:tab/>
            </w:r>
            <w:r>
              <w:rPr>
                <w:noProof/>
                <w:webHidden/>
              </w:rPr>
              <w:fldChar w:fldCharType="begin"/>
            </w:r>
            <w:r>
              <w:rPr>
                <w:noProof/>
                <w:webHidden/>
              </w:rPr>
              <w:instrText xml:space="preserve"> PAGEREF _Toc227840724 \h </w:instrText>
            </w:r>
            <w:r>
              <w:rPr>
                <w:noProof/>
                <w:webHidden/>
              </w:rPr>
            </w:r>
            <w:r>
              <w:rPr>
                <w:noProof/>
                <w:webHidden/>
              </w:rPr>
              <w:fldChar w:fldCharType="separate"/>
            </w:r>
            <w:r>
              <w:rPr>
                <w:noProof/>
                <w:webHidden/>
              </w:rPr>
              <w:t>54</w:t>
            </w:r>
            <w:r>
              <w:rPr>
                <w:noProof/>
                <w:webHidden/>
              </w:rPr>
              <w:fldChar w:fldCharType="end"/>
            </w:r>
          </w:hyperlink>
        </w:p>
        <w:p w:rsidR="00CC5F3E" w:rsidRDefault="00CC5F3E" w14:paraId="270A6FA8" w14:textId="087CDA2B">
          <w:pPr>
            <w:pStyle w:val="TOC2"/>
            <w:rPr>
              <w:rFonts w:asciiTheme="minorHAnsi" w:hAnsiTheme="minorHAnsi" w:eastAsiaTheme="minorEastAsia" w:cstheme="minorBidi"/>
              <w:noProof/>
              <w:kern w:val="2"/>
              <w:sz w:val="24"/>
              <w:szCs w:val="24"/>
              <w14:ligatures w14:val="standardContextual"/>
            </w:rPr>
          </w:pPr>
          <w:hyperlink w:history="1" w:anchor="_Toc227840725">
            <w:r w:rsidRPr="00CF704D">
              <w:rPr>
                <w:rStyle w:val="Hyperlink"/>
                <w:rFonts w:eastAsia="PMingLiU" w:cs="Arial"/>
                <w:caps/>
                <w:noProof/>
                <w:specVanish/>
              </w:rPr>
              <w:t>16.1</w:t>
            </w:r>
            <w:r>
              <w:rPr>
                <w:rFonts w:asciiTheme="minorHAnsi" w:hAnsiTheme="minorHAnsi" w:eastAsiaTheme="minorEastAsia" w:cstheme="minorBidi"/>
                <w:noProof/>
                <w:kern w:val="2"/>
                <w:sz w:val="24"/>
                <w:szCs w:val="24"/>
                <w14:ligatures w14:val="standardContextual"/>
              </w:rPr>
              <w:tab/>
            </w:r>
            <w:r w:rsidRPr="00CF704D">
              <w:rPr>
                <w:rStyle w:val="Hyperlink"/>
                <w:rFonts w:cs="Arial"/>
                <w:noProof/>
              </w:rPr>
              <w:t>Default by Seller.</w:t>
            </w:r>
            <w:r>
              <w:rPr>
                <w:noProof/>
                <w:webHidden/>
              </w:rPr>
              <w:tab/>
            </w:r>
            <w:r>
              <w:rPr>
                <w:noProof/>
                <w:webHidden/>
              </w:rPr>
              <w:fldChar w:fldCharType="begin"/>
            </w:r>
            <w:r>
              <w:rPr>
                <w:noProof/>
                <w:webHidden/>
              </w:rPr>
              <w:instrText xml:space="preserve"> PAGEREF _Toc227840725 \h </w:instrText>
            </w:r>
            <w:r>
              <w:rPr>
                <w:noProof/>
                <w:webHidden/>
              </w:rPr>
            </w:r>
            <w:r>
              <w:rPr>
                <w:noProof/>
                <w:webHidden/>
              </w:rPr>
              <w:fldChar w:fldCharType="separate"/>
            </w:r>
            <w:r>
              <w:rPr>
                <w:noProof/>
                <w:webHidden/>
              </w:rPr>
              <w:t>54</w:t>
            </w:r>
            <w:r>
              <w:rPr>
                <w:noProof/>
                <w:webHidden/>
              </w:rPr>
              <w:fldChar w:fldCharType="end"/>
            </w:r>
          </w:hyperlink>
        </w:p>
        <w:p w:rsidR="00CC5F3E" w:rsidRDefault="00CC5F3E" w14:paraId="566A3D65" w14:textId="4459D8D1">
          <w:pPr>
            <w:pStyle w:val="TOC2"/>
            <w:rPr>
              <w:rFonts w:asciiTheme="minorHAnsi" w:hAnsiTheme="minorHAnsi" w:eastAsiaTheme="minorEastAsia" w:cstheme="minorBidi"/>
              <w:noProof/>
              <w:kern w:val="2"/>
              <w:sz w:val="24"/>
              <w:szCs w:val="24"/>
              <w14:ligatures w14:val="standardContextual"/>
            </w:rPr>
          </w:pPr>
          <w:hyperlink w:history="1" w:anchor="_Toc227840727">
            <w:r w:rsidRPr="00CF704D">
              <w:rPr>
                <w:rStyle w:val="Hyperlink"/>
                <w:rFonts w:eastAsia="PMingLiU" w:cs="Arial"/>
                <w:caps/>
                <w:noProof/>
                <w:specVanish/>
              </w:rPr>
              <w:t>16.2</w:t>
            </w:r>
            <w:r>
              <w:rPr>
                <w:rFonts w:asciiTheme="minorHAnsi" w:hAnsiTheme="minorHAnsi" w:eastAsiaTheme="minorEastAsia" w:cstheme="minorBidi"/>
                <w:noProof/>
                <w:kern w:val="2"/>
                <w:sz w:val="24"/>
                <w:szCs w:val="24"/>
                <w14:ligatures w14:val="standardContextual"/>
              </w:rPr>
              <w:tab/>
            </w:r>
            <w:r w:rsidRPr="00CF704D">
              <w:rPr>
                <w:rStyle w:val="Hyperlink"/>
                <w:rFonts w:cs="Arial"/>
                <w:noProof/>
              </w:rPr>
              <w:t>Default by GPC.</w:t>
            </w:r>
            <w:r>
              <w:rPr>
                <w:noProof/>
                <w:webHidden/>
              </w:rPr>
              <w:tab/>
            </w:r>
            <w:r>
              <w:rPr>
                <w:noProof/>
                <w:webHidden/>
              </w:rPr>
              <w:fldChar w:fldCharType="begin"/>
            </w:r>
            <w:r>
              <w:rPr>
                <w:noProof/>
                <w:webHidden/>
              </w:rPr>
              <w:instrText xml:space="preserve"> PAGEREF _Toc227840727 \h </w:instrText>
            </w:r>
            <w:r>
              <w:rPr>
                <w:noProof/>
                <w:webHidden/>
              </w:rPr>
            </w:r>
            <w:r>
              <w:rPr>
                <w:noProof/>
                <w:webHidden/>
              </w:rPr>
              <w:fldChar w:fldCharType="separate"/>
            </w:r>
            <w:r>
              <w:rPr>
                <w:noProof/>
                <w:webHidden/>
              </w:rPr>
              <w:t>58</w:t>
            </w:r>
            <w:r>
              <w:rPr>
                <w:noProof/>
                <w:webHidden/>
              </w:rPr>
              <w:fldChar w:fldCharType="end"/>
            </w:r>
          </w:hyperlink>
        </w:p>
        <w:p w:rsidR="00CC5F3E" w:rsidRDefault="00CC5F3E" w14:paraId="44C242D4" w14:textId="2EABD29C">
          <w:pPr>
            <w:pStyle w:val="TOC2"/>
            <w:rPr>
              <w:rFonts w:asciiTheme="minorHAnsi" w:hAnsiTheme="minorHAnsi" w:eastAsiaTheme="minorEastAsia" w:cstheme="minorBidi"/>
              <w:noProof/>
              <w:kern w:val="2"/>
              <w:sz w:val="24"/>
              <w:szCs w:val="24"/>
              <w14:ligatures w14:val="standardContextual"/>
            </w:rPr>
          </w:pPr>
          <w:hyperlink w:history="1" w:anchor="_Toc227840728">
            <w:r w:rsidRPr="00CF704D">
              <w:rPr>
                <w:rStyle w:val="Hyperlink"/>
                <w:rFonts w:eastAsia="PMingLiU" w:cs="Arial"/>
                <w:caps/>
                <w:noProof/>
                <w:specVanish/>
              </w:rPr>
              <w:t>16.3</w:t>
            </w:r>
            <w:r>
              <w:rPr>
                <w:rFonts w:asciiTheme="minorHAnsi" w:hAnsiTheme="minorHAnsi" w:eastAsiaTheme="minorEastAsia" w:cstheme="minorBidi"/>
                <w:noProof/>
                <w:kern w:val="2"/>
                <w:sz w:val="24"/>
                <w:szCs w:val="24"/>
                <w14:ligatures w14:val="standardContextual"/>
              </w:rPr>
              <w:tab/>
            </w:r>
            <w:r w:rsidRPr="00CF704D">
              <w:rPr>
                <w:rStyle w:val="Hyperlink"/>
                <w:rFonts w:cs="Arial"/>
                <w:noProof/>
              </w:rPr>
              <w:t>Remedies.</w:t>
            </w:r>
            <w:r>
              <w:rPr>
                <w:noProof/>
                <w:webHidden/>
              </w:rPr>
              <w:tab/>
            </w:r>
            <w:r>
              <w:rPr>
                <w:noProof/>
                <w:webHidden/>
              </w:rPr>
              <w:fldChar w:fldCharType="begin"/>
            </w:r>
            <w:r>
              <w:rPr>
                <w:noProof/>
                <w:webHidden/>
              </w:rPr>
              <w:instrText xml:space="preserve"> PAGEREF _Toc227840728 \h </w:instrText>
            </w:r>
            <w:r>
              <w:rPr>
                <w:noProof/>
                <w:webHidden/>
              </w:rPr>
            </w:r>
            <w:r>
              <w:rPr>
                <w:noProof/>
                <w:webHidden/>
              </w:rPr>
              <w:fldChar w:fldCharType="separate"/>
            </w:r>
            <w:r>
              <w:rPr>
                <w:noProof/>
                <w:webHidden/>
              </w:rPr>
              <w:t>59</w:t>
            </w:r>
            <w:r>
              <w:rPr>
                <w:noProof/>
                <w:webHidden/>
              </w:rPr>
              <w:fldChar w:fldCharType="end"/>
            </w:r>
          </w:hyperlink>
        </w:p>
        <w:p w:rsidR="00CC5F3E" w:rsidRDefault="00CC5F3E" w14:paraId="6B8A9182" w14:textId="044A8D9A">
          <w:pPr>
            <w:pStyle w:val="TOC2"/>
            <w:rPr>
              <w:rFonts w:asciiTheme="minorHAnsi" w:hAnsiTheme="minorHAnsi" w:eastAsiaTheme="minorEastAsia" w:cstheme="minorBidi"/>
              <w:noProof/>
              <w:kern w:val="2"/>
              <w:sz w:val="24"/>
              <w:szCs w:val="24"/>
              <w14:ligatures w14:val="standardContextual"/>
            </w:rPr>
          </w:pPr>
          <w:hyperlink w:history="1" w:anchor="_Toc227840729">
            <w:r w:rsidRPr="00CF704D">
              <w:rPr>
                <w:rStyle w:val="Hyperlink"/>
                <w:rFonts w:eastAsia="PMingLiU" w:cs="Arial"/>
                <w:caps/>
                <w:noProof/>
                <w:specVanish/>
              </w:rPr>
              <w:t>16.4</w:t>
            </w:r>
            <w:r>
              <w:rPr>
                <w:rFonts w:asciiTheme="minorHAnsi" w:hAnsiTheme="minorHAnsi" w:eastAsiaTheme="minorEastAsia" w:cstheme="minorBidi"/>
                <w:noProof/>
                <w:kern w:val="2"/>
                <w:sz w:val="24"/>
                <w:szCs w:val="24"/>
                <w14:ligatures w14:val="standardContextual"/>
              </w:rPr>
              <w:tab/>
            </w:r>
            <w:r w:rsidRPr="00CF704D">
              <w:rPr>
                <w:rStyle w:val="Hyperlink"/>
                <w:rFonts w:cs="Arial"/>
                <w:noProof/>
              </w:rPr>
              <w:t>Rights of Specific Performance.</w:t>
            </w:r>
            <w:r>
              <w:rPr>
                <w:noProof/>
                <w:webHidden/>
              </w:rPr>
              <w:tab/>
            </w:r>
            <w:r>
              <w:rPr>
                <w:noProof/>
                <w:webHidden/>
              </w:rPr>
              <w:fldChar w:fldCharType="begin"/>
            </w:r>
            <w:r>
              <w:rPr>
                <w:noProof/>
                <w:webHidden/>
              </w:rPr>
              <w:instrText xml:space="preserve"> PAGEREF _Toc227840729 \h </w:instrText>
            </w:r>
            <w:r>
              <w:rPr>
                <w:noProof/>
                <w:webHidden/>
              </w:rPr>
            </w:r>
            <w:r>
              <w:rPr>
                <w:noProof/>
                <w:webHidden/>
              </w:rPr>
              <w:fldChar w:fldCharType="separate"/>
            </w:r>
            <w:r>
              <w:rPr>
                <w:noProof/>
                <w:webHidden/>
              </w:rPr>
              <w:t>60</w:t>
            </w:r>
            <w:r>
              <w:rPr>
                <w:noProof/>
                <w:webHidden/>
              </w:rPr>
              <w:fldChar w:fldCharType="end"/>
            </w:r>
          </w:hyperlink>
        </w:p>
        <w:p w:rsidR="00CC5F3E" w:rsidRDefault="00CC5F3E" w14:paraId="3DFD27E8" w14:textId="63BAD039">
          <w:pPr>
            <w:pStyle w:val="TOC2"/>
            <w:rPr>
              <w:rFonts w:asciiTheme="minorHAnsi" w:hAnsiTheme="minorHAnsi" w:eastAsiaTheme="minorEastAsia" w:cstheme="minorBidi"/>
              <w:noProof/>
              <w:kern w:val="2"/>
              <w:sz w:val="24"/>
              <w:szCs w:val="24"/>
              <w14:ligatures w14:val="standardContextual"/>
            </w:rPr>
          </w:pPr>
          <w:hyperlink w:history="1" w:anchor="_Toc227840730">
            <w:r w:rsidRPr="00CF704D">
              <w:rPr>
                <w:rStyle w:val="Hyperlink"/>
                <w:rFonts w:eastAsia="PMingLiU" w:cs="Arial"/>
                <w:caps/>
                <w:noProof/>
                <w:specVanish/>
              </w:rPr>
              <w:t>16.5</w:t>
            </w:r>
            <w:r>
              <w:rPr>
                <w:rFonts w:asciiTheme="minorHAnsi" w:hAnsiTheme="minorHAnsi" w:eastAsiaTheme="minorEastAsia" w:cstheme="minorBidi"/>
                <w:noProof/>
                <w:kern w:val="2"/>
                <w:sz w:val="24"/>
                <w:szCs w:val="24"/>
                <w14:ligatures w14:val="standardContextual"/>
              </w:rPr>
              <w:tab/>
            </w:r>
            <w:r w:rsidRPr="00CF704D">
              <w:rPr>
                <w:rStyle w:val="Hyperlink"/>
                <w:rFonts w:cs="Arial"/>
                <w:noProof/>
              </w:rPr>
              <w:t>Limitation of Remedies, Liability, and Damages.</w:t>
            </w:r>
            <w:r>
              <w:rPr>
                <w:noProof/>
                <w:webHidden/>
              </w:rPr>
              <w:tab/>
            </w:r>
            <w:r>
              <w:rPr>
                <w:noProof/>
                <w:webHidden/>
              </w:rPr>
              <w:fldChar w:fldCharType="begin"/>
            </w:r>
            <w:r>
              <w:rPr>
                <w:noProof/>
                <w:webHidden/>
              </w:rPr>
              <w:instrText xml:space="preserve"> PAGEREF _Toc227840730 \h </w:instrText>
            </w:r>
            <w:r>
              <w:rPr>
                <w:noProof/>
                <w:webHidden/>
              </w:rPr>
            </w:r>
            <w:r>
              <w:rPr>
                <w:noProof/>
                <w:webHidden/>
              </w:rPr>
              <w:fldChar w:fldCharType="separate"/>
            </w:r>
            <w:r>
              <w:rPr>
                <w:noProof/>
                <w:webHidden/>
              </w:rPr>
              <w:t>60</w:t>
            </w:r>
            <w:r>
              <w:rPr>
                <w:noProof/>
                <w:webHidden/>
              </w:rPr>
              <w:fldChar w:fldCharType="end"/>
            </w:r>
          </w:hyperlink>
        </w:p>
        <w:p w:rsidR="00CC5F3E" w:rsidRDefault="00CC5F3E" w14:paraId="33F0B68A" w14:textId="08BD07DF">
          <w:pPr>
            <w:pStyle w:val="TOC2"/>
            <w:rPr>
              <w:rFonts w:asciiTheme="minorHAnsi" w:hAnsiTheme="minorHAnsi" w:eastAsiaTheme="minorEastAsia" w:cstheme="minorBidi"/>
              <w:noProof/>
              <w:kern w:val="2"/>
              <w:sz w:val="24"/>
              <w:szCs w:val="24"/>
              <w14:ligatures w14:val="standardContextual"/>
            </w:rPr>
          </w:pPr>
          <w:hyperlink w:history="1" w:anchor="_Toc227840731">
            <w:r w:rsidRPr="00CF704D">
              <w:rPr>
                <w:rStyle w:val="Hyperlink"/>
                <w:rFonts w:cs="Arial"/>
                <w:caps/>
                <w:noProof/>
                <w:specVanish/>
              </w:rPr>
              <w:t>16.6</w:t>
            </w:r>
            <w:r>
              <w:rPr>
                <w:rFonts w:asciiTheme="minorHAnsi" w:hAnsiTheme="minorHAnsi" w:eastAsiaTheme="minorEastAsia" w:cstheme="minorBidi"/>
                <w:noProof/>
                <w:kern w:val="2"/>
                <w:sz w:val="24"/>
                <w:szCs w:val="24"/>
                <w14:ligatures w14:val="standardContextual"/>
              </w:rPr>
              <w:tab/>
            </w:r>
            <w:r w:rsidRPr="00CF704D">
              <w:rPr>
                <w:rStyle w:val="Hyperlink"/>
                <w:rFonts w:cs="Arial"/>
                <w:noProof/>
              </w:rPr>
              <w:t>Waiver of Consequential Damages.</w:t>
            </w:r>
            <w:r>
              <w:rPr>
                <w:noProof/>
                <w:webHidden/>
              </w:rPr>
              <w:tab/>
            </w:r>
            <w:r>
              <w:rPr>
                <w:noProof/>
                <w:webHidden/>
              </w:rPr>
              <w:fldChar w:fldCharType="begin"/>
            </w:r>
            <w:r>
              <w:rPr>
                <w:noProof/>
                <w:webHidden/>
              </w:rPr>
              <w:instrText xml:space="preserve"> PAGEREF _Toc227840731 \h </w:instrText>
            </w:r>
            <w:r>
              <w:rPr>
                <w:noProof/>
                <w:webHidden/>
              </w:rPr>
            </w:r>
            <w:r>
              <w:rPr>
                <w:noProof/>
                <w:webHidden/>
              </w:rPr>
              <w:fldChar w:fldCharType="separate"/>
            </w:r>
            <w:r>
              <w:rPr>
                <w:noProof/>
                <w:webHidden/>
              </w:rPr>
              <w:t>60</w:t>
            </w:r>
            <w:r>
              <w:rPr>
                <w:noProof/>
                <w:webHidden/>
              </w:rPr>
              <w:fldChar w:fldCharType="end"/>
            </w:r>
          </w:hyperlink>
        </w:p>
        <w:p w:rsidR="00CC5F3E" w:rsidRDefault="00CC5F3E" w14:paraId="34979C02" w14:textId="75B65FEB">
          <w:pPr>
            <w:pStyle w:val="TOC2"/>
            <w:rPr>
              <w:rFonts w:asciiTheme="minorHAnsi" w:hAnsiTheme="minorHAnsi" w:eastAsiaTheme="minorEastAsia" w:cstheme="minorBidi"/>
              <w:noProof/>
              <w:kern w:val="2"/>
              <w:sz w:val="24"/>
              <w:szCs w:val="24"/>
              <w14:ligatures w14:val="standardContextual"/>
            </w:rPr>
          </w:pPr>
          <w:hyperlink w:history="1" w:anchor="_Toc227840732">
            <w:r w:rsidRPr="00CF704D">
              <w:rPr>
                <w:rStyle w:val="Hyperlink"/>
                <w:rFonts w:cs="Arial"/>
                <w:caps/>
                <w:noProof/>
                <w:specVanish/>
              </w:rPr>
              <w:t>16.7</w:t>
            </w:r>
            <w:r>
              <w:rPr>
                <w:rFonts w:asciiTheme="minorHAnsi" w:hAnsiTheme="minorHAnsi" w:eastAsiaTheme="minorEastAsia" w:cstheme="minorBidi"/>
                <w:noProof/>
                <w:kern w:val="2"/>
                <w:sz w:val="24"/>
                <w:szCs w:val="24"/>
                <w14:ligatures w14:val="standardContextual"/>
              </w:rPr>
              <w:tab/>
            </w:r>
            <w:r w:rsidRPr="00CF704D">
              <w:rPr>
                <w:rStyle w:val="Hyperlink"/>
                <w:rFonts w:cs="Arial"/>
                <w:noProof/>
              </w:rPr>
              <w:t>Disclaimer of Warranties.</w:t>
            </w:r>
            <w:r>
              <w:rPr>
                <w:noProof/>
                <w:webHidden/>
              </w:rPr>
              <w:tab/>
            </w:r>
            <w:r>
              <w:rPr>
                <w:noProof/>
                <w:webHidden/>
              </w:rPr>
              <w:fldChar w:fldCharType="begin"/>
            </w:r>
            <w:r>
              <w:rPr>
                <w:noProof/>
                <w:webHidden/>
              </w:rPr>
              <w:instrText xml:space="preserve"> PAGEREF _Toc227840732 \h </w:instrText>
            </w:r>
            <w:r>
              <w:rPr>
                <w:noProof/>
                <w:webHidden/>
              </w:rPr>
            </w:r>
            <w:r>
              <w:rPr>
                <w:noProof/>
                <w:webHidden/>
              </w:rPr>
              <w:fldChar w:fldCharType="separate"/>
            </w:r>
            <w:r>
              <w:rPr>
                <w:noProof/>
                <w:webHidden/>
              </w:rPr>
              <w:t>61</w:t>
            </w:r>
            <w:r>
              <w:rPr>
                <w:noProof/>
                <w:webHidden/>
              </w:rPr>
              <w:fldChar w:fldCharType="end"/>
            </w:r>
          </w:hyperlink>
        </w:p>
        <w:p w:rsidR="00CC5F3E" w:rsidRDefault="00CC5F3E" w14:paraId="3748C454" w14:textId="122AAD80">
          <w:pPr>
            <w:pStyle w:val="TOC2"/>
            <w:rPr>
              <w:rFonts w:asciiTheme="minorHAnsi" w:hAnsiTheme="minorHAnsi" w:eastAsiaTheme="minorEastAsia" w:cstheme="minorBidi"/>
              <w:noProof/>
              <w:kern w:val="2"/>
              <w:sz w:val="24"/>
              <w:szCs w:val="24"/>
              <w14:ligatures w14:val="standardContextual"/>
            </w:rPr>
          </w:pPr>
          <w:hyperlink w:history="1" w:anchor="_Toc227840733">
            <w:r w:rsidRPr="00CF704D">
              <w:rPr>
                <w:rStyle w:val="Hyperlink"/>
                <w:rFonts w:eastAsia="PMingLiU" w:cs="Arial"/>
                <w:caps/>
                <w:noProof/>
                <w:specVanish/>
              </w:rPr>
              <w:t>16.8</w:t>
            </w:r>
            <w:r>
              <w:rPr>
                <w:rFonts w:asciiTheme="minorHAnsi" w:hAnsiTheme="minorHAnsi" w:eastAsiaTheme="minorEastAsia" w:cstheme="minorBidi"/>
                <w:noProof/>
                <w:kern w:val="2"/>
                <w:sz w:val="24"/>
                <w:szCs w:val="24"/>
                <w14:ligatures w14:val="standardContextual"/>
              </w:rPr>
              <w:tab/>
            </w:r>
            <w:r w:rsidRPr="00CF704D">
              <w:rPr>
                <w:rStyle w:val="Hyperlink"/>
                <w:rFonts w:cs="Arial"/>
                <w:noProof/>
              </w:rPr>
              <w:t>No Interruption.</w:t>
            </w:r>
            <w:r>
              <w:rPr>
                <w:noProof/>
                <w:webHidden/>
              </w:rPr>
              <w:tab/>
            </w:r>
            <w:r>
              <w:rPr>
                <w:noProof/>
                <w:webHidden/>
              </w:rPr>
              <w:fldChar w:fldCharType="begin"/>
            </w:r>
            <w:r>
              <w:rPr>
                <w:noProof/>
                <w:webHidden/>
              </w:rPr>
              <w:instrText xml:space="preserve"> PAGEREF _Toc227840733 \h </w:instrText>
            </w:r>
            <w:r>
              <w:rPr>
                <w:noProof/>
                <w:webHidden/>
              </w:rPr>
            </w:r>
            <w:r>
              <w:rPr>
                <w:noProof/>
                <w:webHidden/>
              </w:rPr>
              <w:fldChar w:fldCharType="separate"/>
            </w:r>
            <w:r>
              <w:rPr>
                <w:noProof/>
                <w:webHidden/>
              </w:rPr>
              <w:t>61</w:t>
            </w:r>
            <w:r>
              <w:rPr>
                <w:noProof/>
                <w:webHidden/>
              </w:rPr>
              <w:fldChar w:fldCharType="end"/>
            </w:r>
          </w:hyperlink>
        </w:p>
        <w:p w:rsidR="00CC5F3E" w:rsidRDefault="00CC5F3E" w14:paraId="7DA0AEEB" w14:textId="085F6665">
          <w:pPr>
            <w:pStyle w:val="TOC2"/>
            <w:rPr>
              <w:rFonts w:asciiTheme="minorHAnsi" w:hAnsiTheme="minorHAnsi" w:eastAsiaTheme="minorEastAsia" w:cstheme="minorBidi"/>
              <w:noProof/>
              <w:kern w:val="2"/>
              <w:sz w:val="24"/>
              <w:szCs w:val="24"/>
              <w14:ligatures w14:val="standardContextual"/>
            </w:rPr>
          </w:pPr>
          <w:hyperlink w:history="1" w:anchor="_Toc227840734">
            <w:r w:rsidRPr="00CF704D">
              <w:rPr>
                <w:rStyle w:val="Hyperlink"/>
                <w:rFonts w:eastAsia="PMingLiU" w:cs="Arial"/>
                <w:caps/>
                <w:noProof/>
                <w:specVanish/>
              </w:rPr>
              <w:t>16.9</w:t>
            </w:r>
            <w:r>
              <w:rPr>
                <w:rFonts w:asciiTheme="minorHAnsi" w:hAnsiTheme="minorHAnsi" w:eastAsiaTheme="minorEastAsia" w:cstheme="minorBidi"/>
                <w:noProof/>
                <w:kern w:val="2"/>
                <w:sz w:val="24"/>
                <w:szCs w:val="24"/>
                <w14:ligatures w14:val="standardContextual"/>
              </w:rPr>
              <w:tab/>
            </w:r>
            <w:r w:rsidRPr="00CF704D">
              <w:rPr>
                <w:rStyle w:val="Hyperlink"/>
                <w:rFonts w:cs="Arial"/>
                <w:noProof/>
              </w:rPr>
              <w:t>Duty to Mitigate.</w:t>
            </w:r>
            <w:r>
              <w:rPr>
                <w:noProof/>
                <w:webHidden/>
              </w:rPr>
              <w:tab/>
            </w:r>
            <w:r>
              <w:rPr>
                <w:noProof/>
                <w:webHidden/>
              </w:rPr>
              <w:fldChar w:fldCharType="begin"/>
            </w:r>
            <w:r>
              <w:rPr>
                <w:noProof/>
                <w:webHidden/>
              </w:rPr>
              <w:instrText xml:space="preserve"> PAGEREF _Toc227840734 \h </w:instrText>
            </w:r>
            <w:r>
              <w:rPr>
                <w:noProof/>
                <w:webHidden/>
              </w:rPr>
            </w:r>
            <w:r>
              <w:rPr>
                <w:noProof/>
                <w:webHidden/>
              </w:rPr>
              <w:fldChar w:fldCharType="separate"/>
            </w:r>
            <w:r>
              <w:rPr>
                <w:noProof/>
                <w:webHidden/>
              </w:rPr>
              <w:t>61</w:t>
            </w:r>
            <w:r>
              <w:rPr>
                <w:noProof/>
                <w:webHidden/>
              </w:rPr>
              <w:fldChar w:fldCharType="end"/>
            </w:r>
          </w:hyperlink>
        </w:p>
        <w:p w:rsidR="00CC5F3E" w:rsidRDefault="00CC5F3E" w14:paraId="18635680" w14:textId="306B5FD4">
          <w:pPr>
            <w:pStyle w:val="TOC1"/>
            <w:rPr>
              <w:rFonts w:asciiTheme="minorHAnsi" w:hAnsiTheme="minorHAnsi" w:eastAsiaTheme="minorEastAsia" w:cstheme="minorBidi"/>
              <w:b w:val="0"/>
              <w:caps w:val="0"/>
              <w:noProof/>
              <w:kern w:val="2"/>
              <w:sz w:val="24"/>
              <w:szCs w:val="24"/>
              <w14:ligatures w14:val="standardContextual"/>
            </w:rPr>
          </w:pPr>
          <w:hyperlink w:history="1" w:anchor="_Toc227840735">
            <w:r w:rsidRPr="00CF704D">
              <w:rPr>
                <w:rStyle w:val="Hyperlink"/>
                <w:noProof/>
                <w14:scene3d>
                  <w14:camera w14:prst="orthographicFront"/>
                  <w14:lightRig w14:rig="threePt" w14:dir="t">
                    <w14:rot w14:lat="0" w14:lon="0" w14:rev="0"/>
                  </w14:lightRig>
                </w14:scene3d>
                <w14:props3d w14:extrusionH="0" w14:contourW="0" w14:prstMaterial="warmMatte"/>
              </w:rPr>
              <w:t>Part 17.</w:t>
            </w:r>
            <w:r>
              <w:rPr>
                <w:rFonts w:asciiTheme="minorHAnsi" w:hAnsiTheme="minorHAnsi" w:eastAsiaTheme="minorEastAsia" w:cstheme="minorBidi"/>
                <w:b w:val="0"/>
                <w:caps w:val="0"/>
                <w:noProof/>
                <w:kern w:val="2"/>
                <w:sz w:val="24"/>
                <w:szCs w:val="24"/>
                <w14:ligatures w14:val="standardContextual"/>
              </w:rPr>
              <w:tab/>
            </w:r>
            <w:r w:rsidRPr="00CF704D">
              <w:rPr>
                <w:rStyle w:val="Hyperlink"/>
                <w:noProof/>
              </w:rPr>
              <w:t>Compliance with Laws</w:t>
            </w:r>
            <w:r>
              <w:rPr>
                <w:noProof/>
                <w:webHidden/>
              </w:rPr>
              <w:tab/>
            </w:r>
            <w:r>
              <w:rPr>
                <w:noProof/>
                <w:webHidden/>
              </w:rPr>
              <w:fldChar w:fldCharType="begin"/>
            </w:r>
            <w:r>
              <w:rPr>
                <w:noProof/>
                <w:webHidden/>
              </w:rPr>
              <w:instrText xml:space="preserve"> PAGEREF _Toc227840735 \h </w:instrText>
            </w:r>
            <w:r>
              <w:rPr>
                <w:noProof/>
                <w:webHidden/>
              </w:rPr>
            </w:r>
            <w:r>
              <w:rPr>
                <w:noProof/>
                <w:webHidden/>
              </w:rPr>
              <w:fldChar w:fldCharType="separate"/>
            </w:r>
            <w:r>
              <w:rPr>
                <w:noProof/>
                <w:webHidden/>
              </w:rPr>
              <w:t>61</w:t>
            </w:r>
            <w:r>
              <w:rPr>
                <w:noProof/>
                <w:webHidden/>
              </w:rPr>
              <w:fldChar w:fldCharType="end"/>
            </w:r>
          </w:hyperlink>
        </w:p>
        <w:p w:rsidR="00CC5F3E" w:rsidRDefault="00CC5F3E" w14:paraId="35FA19FB" w14:textId="44BA9B0F">
          <w:pPr>
            <w:pStyle w:val="TOC2"/>
            <w:rPr>
              <w:rFonts w:asciiTheme="minorHAnsi" w:hAnsiTheme="minorHAnsi" w:eastAsiaTheme="minorEastAsia" w:cstheme="minorBidi"/>
              <w:noProof/>
              <w:kern w:val="2"/>
              <w:sz w:val="24"/>
              <w:szCs w:val="24"/>
              <w14:ligatures w14:val="standardContextual"/>
            </w:rPr>
          </w:pPr>
          <w:hyperlink w:history="1" w:anchor="_Toc227840736">
            <w:r w:rsidRPr="00CF704D">
              <w:rPr>
                <w:rStyle w:val="Hyperlink"/>
                <w:rFonts w:eastAsia="PMingLiU" w:cs="Arial"/>
                <w:caps/>
                <w:noProof/>
                <w:specVanish/>
              </w:rPr>
              <w:t>17.1</w:t>
            </w:r>
            <w:r>
              <w:rPr>
                <w:rFonts w:asciiTheme="minorHAnsi" w:hAnsiTheme="minorHAnsi" w:eastAsiaTheme="minorEastAsia" w:cstheme="minorBidi"/>
                <w:noProof/>
                <w:kern w:val="2"/>
                <w:sz w:val="24"/>
                <w:szCs w:val="24"/>
                <w14:ligatures w14:val="standardContextual"/>
              </w:rPr>
              <w:tab/>
            </w:r>
            <w:r w:rsidRPr="00CF704D">
              <w:rPr>
                <w:rStyle w:val="Hyperlink"/>
                <w:rFonts w:cs="Arial"/>
                <w:noProof/>
              </w:rPr>
              <w:t>New GHG Law.</w:t>
            </w:r>
            <w:r>
              <w:rPr>
                <w:noProof/>
                <w:webHidden/>
              </w:rPr>
              <w:tab/>
            </w:r>
            <w:r>
              <w:rPr>
                <w:noProof/>
                <w:webHidden/>
              </w:rPr>
              <w:fldChar w:fldCharType="begin"/>
            </w:r>
            <w:r>
              <w:rPr>
                <w:noProof/>
                <w:webHidden/>
              </w:rPr>
              <w:instrText xml:space="preserve"> PAGEREF _Toc227840736 \h </w:instrText>
            </w:r>
            <w:r>
              <w:rPr>
                <w:noProof/>
                <w:webHidden/>
              </w:rPr>
            </w:r>
            <w:r>
              <w:rPr>
                <w:noProof/>
                <w:webHidden/>
              </w:rPr>
              <w:fldChar w:fldCharType="separate"/>
            </w:r>
            <w:r>
              <w:rPr>
                <w:noProof/>
                <w:webHidden/>
              </w:rPr>
              <w:t>61</w:t>
            </w:r>
            <w:r>
              <w:rPr>
                <w:noProof/>
                <w:webHidden/>
              </w:rPr>
              <w:fldChar w:fldCharType="end"/>
            </w:r>
          </w:hyperlink>
        </w:p>
        <w:p w:rsidR="00CC5F3E" w:rsidRDefault="00CC5F3E" w14:paraId="56C395D6" w14:textId="0B7684FE">
          <w:pPr>
            <w:pStyle w:val="TOC2"/>
            <w:rPr>
              <w:rFonts w:asciiTheme="minorHAnsi" w:hAnsiTheme="minorHAnsi" w:eastAsiaTheme="minorEastAsia" w:cstheme="minorBidi"/>
              <w:noProof/>
              <w:kern w:val="2"/>
              <w:sz w:val="24"/>
              <w:szCs w:val="24"/>
              <w14:ligatures w14:val="standardContextual"/>
            </w:rPr>
          </w:pPr>
          <w:hyperlink w:history="1" w:anchor="_Toc227840737">
            <w:r w:rsidRPr="00CF704D">
              <w:rPr>
                <w:rStyle w:val="Hyperlink"/>
                <w:rFonts w:eastAsia="PMingLiU" w:cs="Arial"/>
                <w:caps/>
                <w:noProof/>
                <w:specVanish/>
              </w:rPr>
              <w:t>17.2</w:t>
            </w:r>
            <w:r>
              <w:rPr>
                <w:rFonts w:asciiTheme="minorHAnsi" w:hAnsiTheme="minorHAnsi" w:eastAsiaTheme="minorEastAsia" w:cstheme="minorBidi"/>
                <w:noProof/>
                <w:kern w:val="2"/>
                <w:sz w:val="24"/>
                <w:szCs w:val="24"/>
                <w14:ligatures w14:val="standardContextual"/>
              </w:rPr>
              <w:tab/>
            </w:r>
            <w:r w:rsidRPr="00CF704D">
              <w:rPr>
                <w:rStyle w:val="Hyperlink"/>
                <w:rFonts w:cs="Arial"/>
                <w:noProof/>
              </w:rPr>
              <w:t>Change of Law.</w:t>
            </w:r>
            <w:r>
              <w:rPr>
                <w:noProof/>
                <w:webHidden/>
              </w:rPr>
              <w:tab/>
            </w:r>
            <w:r>
              <w:rPr>
                <w:noProof/>
                <w:webHidden/>
              </w:rPr>
              <w:fldChar w:fldCharType="begin"/>
            </w:r>
            <w:r>
              <w:rPr>
                <w:noProof/>
                <w:webHidden/>
              </w:rPr>
              <w:instrText xml:space="preserve"> PAGEREF _Toc227840737 \h </w:instrText>
            </w:r>
            <w:r>
              <w:rPr>
                <w:noProof/>
                <w:webHidden/>
              </w:rPr>
            </w:r>
            <w:r>
              <w:rPr>
                <w:noProof/>
                <w:webHidden/>
              </w:rPr>
              <w:fldChar w:fldCharType="separate"/>
            </w:r>
            <w:r>
              <w:rPr>
                <w:noProof/>
                <w:webHidden/>
              </w:rPr>
              <w:t>62</w:t>
            </w:r>
            <w:r>
              <w:rPr>
                <w:noProof/>
                <w:webHidden/>
              </w:rPr>
              <w:fldChar w:fldCharType="end"/>
            </w:r>
          </w:hyperlink>
        </w:p>
        <w:p w:rsidR="00CC5F3E" w:rsidRDefault="00CC5F3E" w14:paraId="285822E9" w14:textId="00D49503">
          <w:pPr>
            <w:pStyle w:val="TOC2"/>
            <w:rPr>
              <w:rFonts w:asciiTheme="minorHAnsi" w:hAnsiTheme="minorHAnsi" w:eastAsiaTheme="minorEastAsia" w:cstheme="minorBidi"/>
              <w:noProof/>
              <w:kern w:val="2"/>
              <w:sz w:val="24"/>
              <w:szCs w:val="24"/>
              <w14:ligatures w14:val="standardContextual"/>
            </w:rPr>
          </w:pPr>
          <w:hyperlink w:history="1" w:anchor="_Toc227840742">
            <w:r w:rsidRPr="00CF704D">
              <w:rPr>
                <w:rStyle w:val="Hyperlink"/>
                <w:rFonts w:eastAsia="PMingLiU" w:cs="Arial"/>
                <w:caps/>
                <w:noProof/>
                <w:specVanish/>
              </w:rPr>
              <w:t>17.3</w:t>
            </w:r>
            <w:r>
              <w:rPr>
                <w:rFonts w:asciiTheme="minorHAnsi" w:hAnsiTheme="minorHAnsi" w:eastAsiaTheme="minorEastAsia" w:cstheme="minorBidi"/>
                <w:noProof/>
                <w:kern w:val="2"/>
                <w:sz w:val="24"/>
                <w:szCs w:val="24"/>
                <w14:ligatures w14:val="standardContextual"/>
              </w:rPr>
              <w:tab/>
            </w:r>
            <w:r w:rsidRPr="00CF704D">
              <w:rPr>
                <w:rStyle w:val="Hyperlink"/>
                <w:rFonts w:cs="Arial"/>
                <w:noProof/>
              </w:rPr>
              <w:t>No Dedication.</w:t>
            </w:r>
            <w:r>
              <w:rPr>
                <w:noProof/>
                <w:webHidden/>
              </w:rPr>
              <w:tab/>
            </w:r>
            <w:r>
              <w:rPr>
                <w:noProof/>
                <w:webHidden/>
              </w:rPr>
              <w:fldChar w:fldCharType="begin"/>
            </w:r>
            <w:r>
              <w:rPr>
                <w:noProof/>
                <w:webHidden/>
              </w:rPr>
              <w:instrText xml:space="preserve"> PAGEREF _Toc227840742 \h </w:instrText>
            </w:r>
            <w:r>
              <w:rPr>
                <w:noProof/>
                <w:webHidden/>
              </w:rPr>
            </w:r>
            <w:r>
              <w:rPr>
                <w:noProof/>
                <w:webHidden/>
              </w:rPr>
              <w:fldChar w:fldCharType="separate"/>
            </w:r>
            <w:r>
              <w:rPr>
                <w:noProof/>
                <w:webHidden/>
              </w:rPr>
              <w:t>66</w:t>
            </w:r>
            <w:r>
              <w:rPr>
                <w:noProof/>
                <w:webHidden/>
              </w:rPr>
              <w:fldChar w:fldCharType="end"/>
            </w:r>
          </w:hyperlink>
        </w:p>
        <w:p w:rsidR="00CC5F3E" w:rsidRDefault="00CC5F3E" w14:paraId="58401B43" w14:textId="27408E4C">
          <w:pPr>
            <w:pStyle w:val="TOC2"/>
            <w:rPr>
              <w:rFonts w:asciiTheme="minorHAnsi" w:hAnsiTheme="minorHAnsi" w:eastAsiaTheme="minorEastAsia" w:cstheme="minorBidi"/>
              <w:noProof/>
              <w:kern w:val="2"/>
              <w:sz w:val="24"/>
              <w:szCs w:val="24"/>
              <w14:ligatures w14:val="standardContextual"/>
            </w:rPr>
          </w:pPr>
          <w:hyperlink w:history="1" w:anchor="_Toc227840743">
            <w:r w:rsidRPr="00CF704D">
              <w:rPr>
                <w:rStyle w:val="Hyperlink"/>
                <w:rFonts w:eastAsia="PMingLiU" w:cs="Arial"/>
                <w:caps/>
                <w:noProof/>
                <w:specVanish/>
              </w:rPr>
              <w:t>17.4</w:t>
            </w:r>
            <w:r>
              <w:rPr>
                <w:rFonts w:asciiTheme="minorHAnsi" w:hAnsiTheme="minorHAnsi" w:eastAsiaTheme="minorEastAsia" w:cstheme="minorBidi"/>
                <w:noProof/>
                <w:kern w:val="2"/>
                <w:sz w:val="24"/>
                <w:szCs w:val="24"/>
                <w14:ligatures w14:val="standardContextual"/>
              </w:rPr>
              <w:tab/>
            </w:r>
            <w:r w:rsidRPr="00CF704D">
              <w:rPr>
                <w:rStyle w:val="Hyperlink"/>
                <w:noProof/>
              </w:rPr>
              <w:t>Compliance.</w:t>
            </w:r>
            <w:r>
              <w:rPr>
                <w:noProof/>
                <w:webHidden/>
              </w:rPr>
              <w:tab/>
            </w:r>
            <w:r>
              <w:rPr>
                <w:noProof/>
                <w:webHidden/>
              </w:rPr>
              <w:fldChar w:fldCharType="begin"/>
            </w:r>
            <w:r>
              <w:rPr>
                <w:noProof/>
                <w:webHidden/>
              </w:rPr>
              <w:instrText xml:space="preserve"> PAGEREF _Toc227840743 \h </w:instrText>
            </w:r>
            <w:r>
              <w:rPr>
                <w:noProof/>
                <w:webHidden/>
              </w:rPr>
            </w:r>
            <w:r>
              <w:rPr>
                <w:noProof/>
                <w:webHidden/>
              </w:rPr>
              <w:fldChar w:fldCharType="separate"/>
            </w:r>
            <w:r>
              <w:rPr>
                <w:noProof/>
                <w:webHidden/>
              </w:rPr>
              <w:t>66</w:t>
            </w:r>
            <w:r>
              <w:rPr>
                <w:noProof/>
                <w:webHidden/>
              </w:rPr>
              <w:fldChar w:fldCharType="end"/>
            </w:r>
          </w:hyperlink>
        </w:p>
        <w:p w:rsidR="00CC5F3E" w:rsidRDefault="00CC5F3E" w14:paraId="2E62B248" w14:textId="772C83B5">
          <w:pPr>
            <w:pStyle w:val="TOC2"/>
            <w:rPr>
              <w:rFonts w:asciiTheme="minorHAnsi" w:hAnsiTheme="minorHAnsi" w:eastAsiaTheme="minorEastAsia" w:cstheme="minorBidi"/>
              <w:noProof/>
              <w:kern w:val="2"/>
              <w:sz w:val="24"/>
              <w:szCs w:val="24"/>
              <w14:ligatures w14:val="standardContextual"/>
            </w:rPr>
          </w:pPr>
          <w:hyperlink w:history="1" w:anchor="_Toc227840744">
            <w:r w:rsidRPr="00CF704D">
              <w:rPr>
                <w:rStyle w:val="Hyperlink"/>
                <w:rFonts w:eastAsia="PMingLiU" w:cs="Arial"/>
                <w:caps/>
                <w:noProof/>
                <w:specVanish/>
              </w:rPr>
              <w:t>17.5</w:t>
            </w:r>
            <w:r>
              <w:rPr>
                <w:rFonts w:asciiTheme="minorHAnsi" w:hAnsiTheme="minorHAnsi" w:eastAsiaTheme="minorEastAsia" w:cstheme="minorBidi"/>
                <w:noProof/>
                <w:kern w:val="2"/>
                <w:sz w:val="24"/>
                <w:szCs w:val="24"/>
                <w14:ligatures w14:val="standardContextual"/>
              </w:rPr>
              <w:tab/>
            </w:r>
            <w:r w:rsidRPr="00CF704D">
              <w:rPr>
                <w:rStyle w:val="Hyperlink"/>
                <w:noProof/>
              </w:rPr>
              <w:t>Environmental Compliance.</w:t>
            </w:r>
            <w:r>
              <w:rPr>
                <w:noProof/>
                <w:webHidden/>
              </w:rPr>
              <w:tab/>
            </w:r>
            <w:r>
              <w:rPr>
                <w:noProof/>
                <w:webHidden/>
              </w:rPr>
              <w:fldChar w:fldCharType="begin"/>
            </w:r>
            <w:r>
              <w:rPr>
                <w:noProof/>
                <w:webHidden/>
              </w:rPr>
              <w:instrText xml:space="preserve"> PAGEREF _Toc227840744 \h </w:instrText>
            </w:r>
            <w:r>
              <w:rPr>
                <w:noProof/>
                <w:webHidden/>
              </w:rPr>
            </w:r>
            <w:r>
              <w:rPr>
                <w:noProof/>
                <w:webHidden/>
              </w:rPr>
              <w:fldChar w:fldCharType="separate"/>
            </w:r>
            <w:r>
              <w:rPr>
                <w:noProof/>
                <w:webHidden/>
              </w:rPr>
              <w:t>66</w:t>
            </w:r>
            <w:r>
              <w:rPr>
                <w:noProof/>
                <w:webHidden/>
              </w:rPr>
              <w:fldChar w:fldCharType="end"/>
            </w:r>
          </w:hyperlink>
        </w:p>
        <w:p w:rsidR="00CC5F3E" w:rsidRDefault="00CC5F3E" w14:paraId="1B5E3EF0" w14:textId="171A3CFF">
          <w:pPr>
            <w:pStyle w:val="TOC2"/>
            <w:rPr>
              <w:rFonts w:asciiTheme="minorHAnsi" w:hAnsiTheme="minorHAnsi" w:eastAsiaTheme="minorEastAsia" w:cstheme="minorBidi"/>
              <w:noProof/>
              <w:kern w:val="2"/>
              <w:sz w:val="24"/>
              <w:szCs w:val="24"/>
              <w14:ligatures w14:val="standardContextual"/>
            </w:rPr>
          </w:pPr>
          <w:hyperlink w:history="1" w:anchor="_Toc227840745">
            <w:r w:rsidRPr="00CF704D">
              <w:rPr>
                <w:rStyle w:val="Hyperlink"/>
                <w:rFonts w:eastAsia="PMingLiU" w:cs="Arial"/>
                <w:caps/>
                <w:noProof/>
                <w:specVanish/>
              </w:rPr>
              <w:t>17.6</w:t>
            </w:r>
            <w:r>
              <w:rPr>
                <w:rFonts w:asciiTheme="minorHAnsi" w:hAnsiTheme="minorHAnsi" w:eastAsiaTheme="minorEastAsia" w:cstheme="minorBidi"/>
                <w:noProof/>
                <w:kern w:val="2"/>
                <w:sz w:val="24"/>
                <w:szCs w:val="24"/>
                <w14:ligatures w14:val="standardContextual"/>
              </w:rPr>
              <w:tab/>
            </w:r>
            <w:r w:rsidRPr="00CF704D">
              <w:rPr>
                <w:rStyle w:val="Hyperlink"/>
                <w:noProof/>
              </w:rPr>
              <w:t>Wildlife.</w:t>
            </w:r>
            <w:r>
              <w:rPr>
                <w:noProof/>
                <w:webHidden/>
              </w:rPr>
              <w:tab/>
            </w:r>
            <w:r>
              <w:rPr>
                <w:noProof/>
                <w:webHidden/>
              </w:rPr>
              <w:fldChar w:fldCharType="begin"/>
            </w:r>
            <w:r>
              <w:rPr>
                <w:noProof/>
                <w:webHidden/>
              </w:rPr>
              <w:instrText xml:space="preserve"> PAGEREF _Toc227840745 \h </w:instrText>
            </w:r>
            <w:r>
              <w:rPr>
                <w:noProof/>
                <w:webHidden/>
              </w:rPr>
            </w:r>
            <w:r>
              <w:rPr>
                <w:noProof/>
                <w:webHidden/>
              </w:rPr>
              <w:fldChar w:fldCharType="separate"/>
            </w:r>
            <w:r>
              <w:rPr>
                <w:noProof/>
                <w:webHidden/>
              </w:rPr>
              <w:t>67</w:t>
            </w:r>
            <w:r>
              <w:rPr>
                <w:noProof/>
                <w:webHidden/>
              </w:rPr>
              <w:fldChar w:fldCharType="end"/>
            </w:r>
          </w:hyperlink>
        </w:p>
        <w:p w:rsidR="00CC5F3E" w:rsidRDefault="00CC5F3E" w14:paraId="09A13B4F" w14:textId="54E8D467">
          <w:pPr>
            <w:pStyle w:val="TOC2"/>
            <w:rPr>
              <w:rFonts w:asciiTheme="minorHAnsi" w:hAnsiTheme="minorHAnsi" w:eastAsiaTheme="minorEastAsia" w:cstheme="minorBidi"/>
              <w:noProof/>
              <w:kern w:val="2"/>
              <w:sz w:val="24"/>
              <w:szCs w:val="24"/>
              <w14:ligatures w14:val="standardContextual"/>
            </w:rPr>
          </w:pPr>
          <w:hyperlink w:history="1" w:anchor="_Toc227840746">
            <w:r w:rsidRPr="00CF704D">
              <w:rPr>
                <w:rStyle w:val="Hyperlink"/>
                <w:caps/>
                <w:noProof/>
              </w:rPr>
              <w:t>17.7</w:t>
            </w:r>
            <w:r>
              <w:rPr>
                <w:rFonts w:asciiTheme="minorHAnsi" w:hAnsiTheme="minorHAnsi" w:eastAsiaTheme="minorEastAsia" w:cstheme="minorBidi"/>
                <w:noProof/>
                <w:kern w:val="2"/>
                <w:sz w:val="24"/>
                <w:szCs w:val="24"/>
                <w14:ligatures w14:val="standardContextual"/>
              </w:rPr>
              <w:tab/>
            </w:r>
            <w:r w:rsidRPr="00CF704D">
              <w:rPr>
                <w:rStyle w:val="Hyperlink"/>
                <w:noProof/>
              </w:rPr>
              <w:t>Notices of Violations and Potential Violations; NOV Remediation Plan.</w:t>
            </w:r>
            <w:r>
              <w:rPr>
                <w:noProof/>
                <w:webHidden/>
              </w:rPr>
              <w:tab/>
            </w:r>
            <w:r>
              <w:rPr>
                <w:noProof/>
                <w:webHidden/>
              </w:rPr>
              <w:fldChar w:fldCharType="begin"/>
            </w:r>
            <w:r>
              <w:rPr>
                <w:noProof/>
                <w:webHidden/>
              </w:rPr>
              <w:instrText xml:space="preserve"> PAGEREF _Toc227840746 \h </w:instrText>
            </w:r>
            <w:r>
              <w:rPr>
                <w:noProof/>
                <w:webHidden/>
              </w:rPr>
            </w:r>
            <w:r>
              <w:rPr>
                <w:noProof/>
                <w:webHidden/>
              </w:rPr>
              <w:fldChar w:fldCharType="separate"/>
            </w:r>
            <w:r>
              <w:rPr>
                <w:noProof/>
                <w:webHidden/>
              </w:rPr>
              <w:t>67</w:t>
            </w:r>
            <w:r>
              <w:rPr>
                <w:noProof/>
                <w:webHidden/>
              </w:rPr>
              <w:fldChar w:fldCharType="end"/>
            </w:r>
          </w:hyperlink>
        </w:p>
        <w:p w:rsidR="00CC5F3E" w:rsidRDefault="00CC5F3E" w14:paraId="096CE912" w14:textId="63A521B7">
          <w:pPr>
            <w:pStyle w:val="TOC1"/>
            <w:rPr>
              <w:rFonts w:asciiTheme="minorHAnsi" w:hAnsiTheme="minorHAnsi" w:eastAsiaTheme="minorEastAsia" w:cstheme="minorBidi"/>
              <w:b w:val="0"/>
              <w:caps w:val="0"/>
              <w:noProof/>
              <w:kern w:val="2"/>
              <w:sz w:val="24"/>
              <w:szCs w:val="24"/>
              <w14:ligatures w14:val="standardContextual"/>
            </w:rPr>
          </w:pPr>
          <w:hyperlink w:history="1" w:anchor="_Toc227840747">
            <w:r w:rsidRPr="00CF704D">
              <w:rPr>
                <w:rStyle w:val="Hyperlink"/>
                <w:noProof/>
                <w14:scene3d>
                  <w14:camera w14:prst="orthographicFront"/>
                  <w14:lightRig w14:rig="threePt" w14:dir="t">
                    <w14:rot w14:lat="0" w14:lon="0" w14:rev="0"/>
                  </w14:lightRig>
                </w14:scene3d>
                <w14:props3d w14:extrusionH="0" w14:contourW="0" w14:prstMaterial="warmMatte"/>
              </w:rPr>
              <w:t>Part 18.</w:t>
            </w:r>
            <w:r>
              <w:rPr>
                <w:rFonts w:asciiTheme="minorHAnsi" w:hAnsiTheme="minorHAnsi" w:eastAsiaTheme="minorEastAsia" w:cstheme="minorBidi"/>
                <w:b w:val="0"/>
                <w:caps w:val="0"/>
                <w:noProof/>
                <w:kern w:val="2"/>
                <w:sz w:val="24"/>
                <w:szCs w:val="24"/>
                <w14:ligatures w14:val="standardContextual"/>
              </w:rPr>
              <w:tab/>
            </w:r>
            <w:r w:rsidRPr="00CF704D">
              <w:rPr>
                <w:rStyle w:val="Hyperlink"/>
                <w:noProof/>
              </w:rPr>
              <w:t>Assignment, Transfers, and Changes of Control</w:t>
            </w:r>
            <w:r>
              <w:rPr>
                <w:noProof/>
                <w:webHidden/>
              </w:rPr>
              <w:tab/>
            </w:r>
            <w:r>
              <w:rPr>
                <w:noProof/>
                <w:webHidden/>
              </w:rPr>
              <w:fldChar w:fldCharType="begin"/>
            </w:r>
            <w:r>
              <w:rPr>
                <w:noProof/>
                <w:webHidden/>
              </w:rPr>
              <w:instrText xml:space="preserve"> PAGEREF _Toc227840747 \h </w:instrText>
            </w:r>
            <w:r>
              <w:rPr>
                <w:noProof/>
                <w:webHidden/>
              </w:rPr>
            </w:r>
            <w:r>
              <w:rPr>
                <w:noProof/>
                <w:webHidden/>
              </w:rPr>
              <w:fldChar w:fldCharType="separate"/>
            </w:r>
            <w:r>
              <w:rPr>
                <w:noProof/>
                <w:webHidden/>
              </w:rPr>
              <w:t>67</w:t>
            </w:r>
            <w:r>
              <w:rPr>
                <w:noProof/>
                <w:webHidden/>
              </w:rPr>
              <w:fldChar w:fldCharType="end"/>
            </w:r>
          </w:hyperlink>
        </w:p>
        <w:p w:rsidR="00CC5F3E" w:rsidRDefault="00CC5F3E" w14:paraId="323600D3" w14:textId="398CB92B">
          <w:pPr>
            <w:pStyle w:val="TOC2"/>
            <w:rPr>
              <w:rFonts w:asciiTheme="minorHAnsi" w:hAnsiTheme="minorHAnsi" w:eastAsiaTheme="minorEastAsia" w:cstheme="minorBidi"/>
              <w:noProof/>
              <w:kern w:val="2"/>
              <w:sz w:val="24"/>
              <w:szCs w:val="24"/>
              <w14:ligatures w14:val="standardContextual"/>
            </w:rPr>
          </w:pPr>
          <w:hyperlink w:history="1" w:anchor="_Toc227840748">
            <w:r w:rsidRPr="00CF704D">
              <w:rPr>
                <w:rStyle w:val="Hyperlink"/>
                <w:rFonts w:eastAsia="PMingLiU"/>
                <w:caps/>
                <w:noProof/>
                <w:specVanish/>
              </w:rPr>
              <w:t>18.1</w:t>
            </w:r>
            <w:r>
              <w:rPr>
                <w:rFonts w:asciiTheme="minorHAnsi" w:hAnsiTheme="minorHAnsi" w:eastAsiaTheme="minorEastAsia" w:cstheme="minorBidi"/>
                <w:noProof/>
                <w:kern w:val="2"/>
                <w:sz w:val="24"/>
                <w:szCs w:val="24"/>
                <w14:ligatures w14:val="standardContextual"/>
              </w:rPr>
              <w:tab/>
            </w:r>
            <w:r w:rsidRPr="00CF704D">
              <w:rPr>
                <w:rStyle w:val="Hyperlink"/>
                <w:noProof/>
              </w:rPr>
              <w:t>Assignment, Transfers, and Changes of Control.</w:t>
            </w:r>
            <w:r>
              <w:rPr>
                <w:noProof/>
                <w:webHidden/>
              </w:rPr>
              <w:tab/>
            </w:r>
            <w:r>
              <w:rPr>
                <w:noProof/>
                <w:webHidden/>
              </w:rPr>
              <w:fldChar w:fldCharType="begin"/>
            </w:r>
            <w:r>
              <w:rPr>
                <w:noProof/>
                <w:webHidden/>
              </w:rPr>
              <w:instrText xml:space="preserve"> PAGEREF _Toc227840748 \h </w:instrText>
            </w:r>
            <w:r>
              <w:rPr>
                <w:noProof/>
                <w:webHidden/>
              </w:rPr>
            </w:r>
            <w:r>
              <w:rPr>
                <w:noProof/>
                <w:webHidden/>
              </w:rPr>
              <w:fldChar w:fldCharType="separate"/>
            </w:r>
            <w:r>
              <w:rPr>
                <w:noProof/>
                <w:webHidden/>
              </w:rPr>
              <w:t>67</w:t>
            </w:r>
            <w:r>
              <w:rPr>
                <w:noProof/>
                <w:webHidden/>
              </w:rPr>
              <w:fldChar w:fldCharType="end"/>
            </w:r>
          </w:hyperlink>
        </w:p>
        <w:p w:rsidR="00CC5F3E" w:rsidRDefault="00CC5F3E" w14:paraId="5CCA7BB6" w14:textId="6A94122E">
          <w:pPr>
            <w:pStyle w:val="TOC2"/>
            <w:rPr>
              <w:rFonts w:asciiTheme="minorHAnsi" w:hAnsiTheme="minorHAnsi" w:eastAsiaTheme="minorEastAsia" w:cstheme="minorBidi"/>
              <w:noProof/>
              <w:kern w:val="2"/>
              <w:sz w:val="24"/>
              <w:szCs w:val="24"/>
              <w14:ligatures w14:val="standardContextual"/>
            </w:rPr>
          </w:pPr>
          <w:hyperlink w:history="1" w:anchor="_Toc227840749">
            <w:r w:rsidRPr="00CF704D">
              <w:rPr>
                <w:rStyle w:val="Hyperlink"/>
                <w:rFonts w:eastAsia="PMingLiU"/>
                <w:caps/>
                <w:noProof/>
                <w:specVanish/>
              </w:rPr>
              <w:t>18.2</w:t>
            </w:r>
            <w:r>
              <w:rPr>
                <w:rFonts w:asciiTheme="minorHAnsi" w:hAnsiTheme="minorHAnsi" w:eastAsiaTheme="minorEastAsia" w:cstheme="minorBidi"/>
                <w:noProof/>
                <w:kern w:val="2"/>
                <w:sz w:val="24"/>
                <w:szCs w:val="24"/>
                <w14:ligatures w14:val="standardContextual"/>
              </w:rPr>
              <w:tab/>
            </w:r>
            <w:r w:rsidRPr="00CF704D">
              <w:rPr>
                <w:rStyle w:val="Hyperlink"/>
                <w:noProof/>
              </w:rPr>
              <w:t>Financing Assignment; Estoppels.</w:t>
            </w:r>
            <w:r>
              <w:rPr>
                <w:noProof/>
                <w:webHidden/>
              </w:rPr>
              <w:tab/>
            </w:r>
            <w:r>
              <w:rPr>
                <w:noProof/>
                <w:webHidden/>
              </w:rPr>
              <w:fldChar w:fldCharType="begin"/>
            </w:r>
            <w:r>
              <w:rPr>
                <w:noProof/>
                <w:webHidden/>
              </w:rPr>
              <w:instrText xml:space="preserve"> PAGEREF _Toc227840749 \h </w:instrText>
            </w:r>
            <w:r>
              <w:rPr>
                <w:noProof/>
                <w:webHidden/>
              </w:rPr>
            </w:r>
            <w:r>
              <w:rPr>
                <w:noProof/>
                <w:webHidden/>
              </w:rPr>
              <w:fldChar w:fldCharType="separate"/>
            </w:r>
            <w:r>
              <w:rPr>
                <w:noProof/>
                <w:webHidden/>
              </w:rPr>
              <w:t>68</w:t>
            </w:r>
            <w:r>
              <w:rPr>
                <w:noProof/>
                <w:webHidden/>
              </w:rPr>
              <w:fldChar w:fldCharType="end"/>
            </w:r>
          </w:hyperlink>
        </w:p>
        <w:p w:rsidR="00CC5F3E" w:rsidRDefault="00CC5F3E" w14:paraId="5EF8E5E2" w14:textId="532CB469">
          <w:pPr>
            <w:pStyle w:val="TOC2"/>
            <w:rPr>
              <w:rFonts w:asciiTheme="minorHAnsi" w:hAnsiTheme="minorHAnsi" w:eastAsiaTheme="minorEastAsia" w:cstheme="minorBidi"/>
              <w:noProof/>
              <w:kern w:val="2"/>
              <w:sz w:val="24"/>
              <w:szCs w:val="24"/>
              <w14:ligatures w14:val="standardContextual"/>
            </w:rPr>
          </w:pPr>
          <w:hyperlink w:history="1" w:anchor="_Toc227840750">
            <w:r w:rsidRPr="00CF704D">
              <w:rPr>
                <w:rStyle w:val="Hyperlink"/>
                <w:rFonts w:eastAsia="PMingLiU"/>
                <w:caps/>
                <w:noProof/>
                <w:specVanish/>
              </w:rPr>
              <w:t>18.3</w:t>
            </w:r>
            <w:r>
              <w:rPr>
                <w:rFonts w:asciiTheme="minorHAnsi" w:hAnsiTheme="minorHAnsi" w:eastAsiaTheme="minorEastAsia" w:cstheme="minorBidi"/>
                <w:noProof/>
                <w:kern w:val="2"/>
                <w:sz w:val="24"/>
                <w:szCs w:val="24"/>
                <w14:ligatures w14:val="standardContextual"/>
              </w:rPr>
              <w:tab/>
            </w:r>
            <w:r w:rsidRPr="00CF704D">
              <w:rPr>
                <w:rStyle w:val="Hyperlink"/>
                <w:noProof/>
              </w:rPr>
              <w:t>Reimbursement of GPC’s Costs.</w:t>
            </w:r>
            <w:r>
              <w:rPr>
                <w:noProof/>
                <w:webHidden/>
              </w:rPr>
              <w:tab/>
            </w:r>
            <w:r>
              <w:rPr>
                <w:noProof/>
                <w:webHidden/>
              </w:rPr>
              <w:fldChar w:fldCharType="begin"/>
            </w:r>
            <w:r>
              <w:rPr>
                <w:noProof/>
                <w:webHidden/>
              </w:rPr>
              <w:instrText xml:space="preserve"> PAGEREF _Toc227840750 \h </w:instrText>
            </w:r>
            <w:r>
              <w:rPr>
                <w:noProof/>
                <w:webHidden/>
              </w:rPr>
            </w:r>
            <w:r>
              <w:rPr>
                <w:noProof/>
                <w:webHidden/>
              </w:rPr>
              <w:fldChar w:fldCharType="separate"/>
            </w:r>
            <w:r>
              <w:rPr>
                <w:noProof/>
                <w:webHidden/>
              </w:rPr>
              <w:t>68</w:t>
            </w:r>
            <w:r>
              <w:rPr>
                <w:noProof/>
                <w:webHidden/>
              </w:rPr>
              <w:fldChar w:fldCharType="end"/>
            </w:r>
          </w:hyperlink>
        </w:p>
        <w:p w:rsidR="00CC5F3E" w:rsidRDefault="00CC5F3E" w14:paraId="0D97F71B" w14:textId="503C8CDC">
          <w:pPr>
            <w:pStyle w:val="TOC2"/>
            <w:rPr>
              <w:rFonts w:asciiTheme="minorHAnsi" w:hAnsiTheme="minorHAnsi" w:eastAsiaTheme="minorEastAsia" w:cstheme="minorBidi"/>
              <w:noProof/>
              <w:kern w:val="2"/>
              <w:sz w:val="24"/>
              <w:szCs w:val="24"/>
              <w14:ligatures w14:val="standardContextual"/>
            </w:rPr>
          </w:pPr>
          <w:hyperlink w:history="1" w:anchor="_Toc227840751">
            <w:r w:rsidRPr="00CF704D">
              <w:rPr>
                <w:rStyle w:val="Hyperlink"/>
                <w:rFonts w:eastAsia="PMingLiU"/>
                <w:caps/>
                <w:noProof/>
                <w:specVanish/>
              </w:rPr>
              <w:t>18.4</w:t>
            </w:r>
            <w:r>
              <w:rPr>
                <w:rFonts w:asciiTheme="minorHAnsi" w:hAnsiTheme="minorHAnsi" w:eastAsiaTheme="minorEastAsia" w:cstheme="minorBidi"/>
                <w:noProof/>
                <w:kern w:val="2"/>
                <w:sz w:val="24"/>
                <w:szCs w:val="24"/>
                <w14:ligatures w14:val="standardContextual"/>
              </w:rPr>
              <w:tab/>
            </w:r>
            <w:r w:rsidRPr="00CF704D">
              <w:rPr>
                <w:rStyle w:val="Hyperlink"/>
                <w:noProof/>
              </w:rPr>
              <w:t>General Requirements.</w:t>
            </w:r>
            <w:r>
              <w:rPr>
                <w:noProof/>
                <w:webHidden/>
              </w:rPr>
              <w:tab/>
            </w:r>
            <w:r>
              <w:rPr>
                <w:noProof/>
                <w:webHidden/>
              </w:rPr>
              <w:fldChar w:fldCharType="begin"/>
            </w:r>
            <w:r>
              <w:rPr>
                <w:noProof/>
                <w:webHidden/>
              </w:rPr>
              <w:instrText xml:space="preserve"> PAGEREF _Toc227840751 \h </w:instrText>
            </w:r>
            <w:r>
              <w:rPr>
                <w:noProof/>
                <w:webHidden/>
              </w:rPr>
            </w:r>
            <w:r>
              <w:rPr>
                <w:noProof/>
                <w:webHidden/>
              </w:rPr>
              <w:fldChar w:fldCharType="separate"/>
            </w:r>
            <w:r>
              <w:rPr>
                <w:noProof/>
                <w:webHidden/>
              </w:rPr>
              <w:t>69</w:t>
            </w:r>
            <w:r>
              <w:rPr>
                <w:noProof/>
                <w:webHidden/>
              </w:rPr>
              <w:fldChar w:fldCharType="end"/>
            </w:r>
          </w:hyperlink>
        </w:p>
        <w:p w:rsidR="00CC5F3E" w:rsidRDefault="00CC5F3E" w14:paraId="19EF7EC8" w14:textId="7235FB6B">
          <w:pPr>
            <w:pStyle w:val="TOC1"/>
            <w:rPr>
              <w:rFonts w:asciiTheme="minorHAnsi" w:hAnsiTheme="minorHAnsi" w:eastAsiaTheme="minorEastAsia" w:cstheme="minorBidi"/>
              <w:b w:val="0"/>
              <w:caps w:val="0"/>
              <w:noProof/>
              <w:kern w:val="2"/>
              <w:sz w:val="24"/>
              <w:szCs w:val="24"/>
              <w14:ligatures w14:val="standardContextual"/>
            </w:rPr>
          </w:pPr>
          <w:hyperlink w:history="1" w:anchor="_Toc227840752">
            <w:r w:rsidRPr="00CF704D">
              <w:rPr>
                <w:rStyle w:val="Hyperlink"/>
                <w:noProof/>
                <w14:scene3d>
                  <w14:camera w14:prst="orthographicFront"/>
                  <w14:lightRig w14:rig="threePt" w14:dir="t">
                    <w14:rot w14:lat="0" w14:lon="0" w14:rev="0"/>
                  </w14:lightRig>
                </w14:scene3d>
                <w14:props3d w14:extrusionH="0" w14:contourW="0" w14:prstMaterial="warmMatte"/>
              </w:rPr>
              <w:t>Part 19.</w:t>
            </w:r>
            <w:r>
              <w:rPr>
                <w:rFonts w:asciiTheme="minorHAnsi" w:hAnsiTheme="minorHAnsi" w:eastAsiaTheme="minorEastAsia" w:cstheme="minorBidi"/>
                <w:b w:val="0"/>
                <w:caps w:val="0"/>
                <w:noProof/>
                <w:kern w:val="2"/>
                <w:sz w:val="24"/>
                <w:szCs w:val="24"/>
                <w14:ligatures w14:val="standardContextual"/>
              </w:rPr>
              <w:tab/>
            </w:r>
            <w:r w:rsidRPr="00CF704D">
              <w:rPr>
                <w:rStyle w:val="Hyperlink"/>
                <w:noProof/>
              </w:rPr>
              <w:t>Dispute Resolution</w:t>
            </w:r>
            <w:r>
              <w:rPr>
                <w:noProof/>
                <w:webHidden/>
              </w:rPr>
              <w:tab/>
            </w:r>
            <w:r>
              <w:rPr>
                <w:noProof/>
                <w:webHidden/>
              </w:rPr>
              <w:fldChar w:fldCharType="begin"/>
            </w:r>
            <w:r>
              <w:rPr>
                <w:noProof/>
                <w:webHidden/>
              </w:rPr>
              <w:instrText xml:space="preserve"> PAGEREF _Toc227840752 \h </w:instrText>
            </w:r>
            <w:r>
              <w:rPr>
                <w:noProof/>
                <w:webHidden/>
              </w:rPr>
            </w:r>
            <w:r>
              <w:rPr>
                <w:noProof/>
                <w:webHidden/>
              </w:rPr>
              <w:fldChar w:fldCharType="separate"/>
            </w:r>
            <w:r>
              <w:rPr>
                <w:noProof/>
                <w:webHidden/>
              </w:rPr>
              <w:t>69</w:t>
            </w:r>
            <w:r>
              <w:rPr>
                <w:noProof/>
                <w:webHidden/>
              </w:rPr>
              <w:fldChar w:fldCharType="end"/>
            </w:r>
          </w:hyperlink>
        </w:p>
        <w:p w:rsidR="00CC5F3E" w:rsidRDefault="00CC5F3E" w14:paraId="13DF8C6F" w14:textId="0DD71758">
          <w:pPr>
            <w:pStyle w:val="TOC2"/>
            <w:rPr>
              <w:rFonts w:asciiTheme="minorHAnsi" w:hAnsiTheme="minorHAnsi" w:eastAsiaTheme="minorEastAsia" w:cstheme="minorBidi"/>
              <w:noProof/>
              <w:kern w:val="2"/>
              <w:sz w:val="24"/>
              <w:szCs w:val="24"/>
              <w14:ligatures w14:val="standardContextual"/>
            </w:rPr>
          </w:pPr>
          <w:hyperlink w:history="1" w:anchor="_Toc227840753">
            <w:r w:rsidRPr="00CF704D">
              <w:rPr>
                <w:rStyle w:val="Hyperlink"/>
                <w:rFonts w:eastAsia="PMingLiU" w:cs="Arial"/>
                <w:caps/>
                <w:noProof/>
                <w:specVanish/>
              </w:rPr>
              <w:t>19.1</w:t>
            </w:r>
            <w:r>
              <w:rPr>
                <w:rFonts w:asciiTheme="minorHAnsi" w:hAnsiTheme="minorHAnsi" w:eastAsiaTheme="minorEastAsia" w:cstheme="minorBidi"/>
                <w:noProof/>
                <w:kern w:val="2"/>
                <w:sz w:val="24"/>
                <w:szCs w:val="24"/>
                <w14:ligatures w14:val="standardContextual"/>
              </w:rPr>
              <w:tab/>
            </w:r>
            <w:r w:rsidRPr="00CF704D">
              <w:rPr>
                <w:rStyle w:val="Hyperlink"/>
                <w:noProof/>
              </w:rPr>
              <w:t>Notice of Dispute; Dispute Resolution Process.</w:t>
            </w:r>
            <w:r>
              <w:rPr>
                <w:noProof/>
                <w:webHidden/>
              </w:rPr>
              <w:tab/>
            </w:r>
            <w:r>
              <w:rPr>
                <w:noProof/>
                <w:webHidden/>
              </w:rPr>
              <w:fldChar w:fldCharType="begin"/>
            </w:r>
            <w:r>
              <w:rPr>
                <w:noProof/>
                <w:webHidden/>
              </w:rPr>
              <w:instrText xml:space="preserve"> PAGEREF _Toc227840753 \h </w:instrText>
            </w:r>
            <w:r>
              <w:rPr>
                <w:noProof/>
                <w:webHidden/>
              </w:rPr>
            </w:r>
            <w:r>
              <w:rPr>
                <w:noProof/>
                <w:webHidden/>
              </w:rPr>
              <w:fldChar w:fldCharType="separate"/>
            </w:r>
            <w:r>
              <w:rPr>
                <w:noProof/>
                <w:webHidden/>
              </w:rPr>
              <w:t>69</w:t>
            </w:r>
            <w:r>
              <w:rPr>
                <w:noProof/>
                <w:webHidden/>
              </w:rPr>
              <w:fldChar w:fldCharType="end"/>
            </w:r>
          </w:hyperlink>
        </w:p>
        <w:p w:rsidR="00CC5F3E" w:rsidRDefault="00CC5F3E" w14:paraId="021B46A2" w14:textId="2021756C">
          <w:pPr>
            <w:pStyle w:val="TOC2"/>
            <w:rPr>
              <w:rFonts w:asciiTheme="minorHAnsi" w:hAnsiTheme="minorHAnsi" w:eastAsiaTheme="minorEastAsia" w:cstheme="minorBidi"/>
              <w:noProof/>
              <w:kern w:val="2"/>
              <w:sz w:val="24"/>
              <w:szCs w:val="24"/>
              <w14:ligatures w14:val="standardContextual"/>
            </w:rPr>
          </w:pPr>
          <w:hyperlink w:history="1" w:anchor="_Toc227840754">
            <w:r w:rsidRPr="00CF704D">
              <w:rPr>
                <w:rStyle w:val="Hyperlink"/>
                <w:rFonts w:eastAsia="PMingLiU" w:cs="Arial"/>
                <w:caps/>
                <w:noProof/>
                <w:specVanish/>
              </w:rPr>
              <w:t>19.2</w:t>
            </w:r>
            <w:r>
              <w:rPr>
                <w:rFonts w:asciiTheme="minorHAnsi" w:hAnsiTheme="minorHAnsi" w:eastAsiaTheme="minorEastAsia" w:cstheme="minorBidi"/>
                <w:noProof/>
                <w:kern w:val="2"/>
                <w:sz w:val="24"/>
                <w:szCs w:val="24"/>
                <w14:ligatures w14:val="standardContextual"/>
              </w:rPr>
              <w:tab/>
            </w:r>
            <w:r w:rsidRPr="00CF704D">
              <w:rPr>
                <w:rStyle w:val="Hyperlink"/>
                <w:rFonts w:cs="Arial"/>
                <w:noProof/>
              </w:rPr>
              <w:t>Expert Arbitration.</w:t>
            </w:r>
            <w:r>
              <w:rPr>
                <w:noProof/>
                <w:webHidden/>
              </w:rPr>
              <w:tab/>
            </w:r>
            <w:r>
              <w:rPr>
                <w:noProof/>
                <w:webHidden/>
              </w:rPr>
              <w:fldChar w:fldCharType="begin"/>
            </w:r>
            <w:r>
              <w:rPr>
                <w:noProof/>
                <w:webHidden/>
              </w:rPr>
              <w:instrText xml:space="preserve"> PAGEREF _Toc227840754 \h </w:instrText>
            </w:r>
            <w:r>
              <w:rPr>
                <w:noProof/>
                <w:webHidden/>
              </w:rPr>
            </w:r>
            <w:r>
              <w:rPr>
                <w:noProof/>
                <w:webHidden/>
              </w:rPr>
              <w:fldChar w:fldCharType="separate"/>
            </w:r>
            <w:r>
              <w:rPr>
                <w:noProof/>
                <w:webHidden/>
              </w:rPr>
              <w:t>69</w:t>
            </w:r>
            <w:r>
              <w:rPr>
                <w:noProof/>
                <w:webHidden/>
              </w:rPr>
              <w:fldChar w:fldCharType="end"/>
            </w:r>
          </w:hyperlink>
        </w:p>
        <w:p w:rsidR="00CC5F3E" w:rsidRDefault="00CC5F3E" w14:paraId="6B717331" w14:textId="78BDD8EE">
          <w:pPr>
            <w:pStyle w:val="TOC2"/>
            <w:rPr>
              <w:rFonts w:asciiTheme="minorHAnsi" w:hAnsiTheme="minorHAnsi" w:eastAsiaTheme="minorEastAsia" w:cstheme="minorBidi"/>
              <w:noProof/>
              <w:kern w:val="2"/>
              <w:sz w:val="24"/>
              <w:szCs w:val="24"/>
              <w14:ligatures w14:val="standardContextual"/>
            </w:rPr>
          </w:pPr>
          <w:hyperlink w:history="1" w:anchor="_Toc227840755">
            <w:r w:rsidRPr="00CF704D">
              <w:rPr>
                <w:rStyle w:val="Hyperlink"/>
                <w:rFonts w:eastAsia="PMingLiU" w:cs="Arial"/>
                <w:caps/>
                <w:noProof/>
                <w:specVanish/>
              </w:rPr>
              <w:t>19.3</w:t>
            </w:r>
            <w:r>
              <w:rPr>
                <w:rFonts w:asciiTheme="minorHAnsi" w:hAnsiTheme="minorHAnsi" w:eastAsiaTheme="minorEastAsia" w:cstheme="minorBidi"/>
                <w:noProof/>
                <w:kern w:val="2"/>
                <w:sz w:val="24"/>
                <w:szCs w:val="24"/>
                <w14:ligatures w14:val="standardContextual"/>
              </w:rPr>
              <w:tab/>
            </w:r>
            <w:r w:rsidRPr="00CF704D">
              <w:rPr>
                <w:rStyle w:val="Hyperlink"/>
                <w:rFonts w:cs="Arial"/>
                <w:noProof/>
              </w:rPr>
              <w:t>JAMS Arbitration.</w:t>
            </w:r>
            <w:r>
              <w:rPr>
                <w:noProof/>
                <w:webHidden/>
              </w:rPr>
              <w:tab/>
            </w:r>
            <w:r>
              <w:rPr>
                <w:noProof/>
                <w:webHidden/>
              </w:rPr>
              <w:fldChar w:fldCharType="begin"/>
            </w:r>
            <w:r>
              <w:rPr>
                <w:noProof/>
                <w:webHidden/>
              </w:rPr>
              <w:instrText xml:space="preserve"> PAGEREF _Toc227840755 \h </w:instrText>
            </w:r>
            <w:r>
              <w:rPr>
                <w:noProof/>
                <w:webHidden/>
              </w:rPr>
            </w:r>
            <w:r>
              <w:rPr>
                <w:noProof/>
                <w:webHidden/>
              </w:rPr>
              <w:fldChar w:fldCharType="separate"/>
            </w:r>
            <w:r>
              <w:rPr>
                <w:noProof/>
                <w:webHidden/>
              </w:rPr>
              <w:t>70</w:t>
            </w:r>
            <w:r>
              <w:rPr>
                <w:noProof/>
                <w:webHidden/>
              </w:rPr>
              <w:fldChar w:fldCharType="end"/>
            </w:r>
          </w:hyperlink>
        </w:p>
        <w:p w:rsidR="00CC5F3E" w:rsidRDefault="00CC5F3E" w14:paraId="7A5CFD6F" w14:textId="51A25092">
          <w:pPr>
            <w:pStyle w:val="TOC2"/>
            <w:rPr>
              <w:rFonts w:asciiTheme="minorHAnsi" w:hAnsiTheme="minorHAnsi" w:eastAsiaTheme="minorEastAsia" w:cstheme="minorBidi"/>
              <w:noProof/>
              <w:kern w:val="2"/>
              <w:sz w:val="24"/>
              <w:szCs w:val="24"/>
              <w14:ligatures w14:val="standardContextual"/>
            </w:rPr>
          </w:pPr>
          <w:hyperlink w:history="1" w:anchor="_Toc227840756">
            <w:r w:rsidRPr="00CF704D">
              <w:rPr>
                <w:rStyle w:val="Hyperlink"/>
                <w:rFonts w:eastAsia="PMingLiU" w:cs="Arial"/>
                <w:caps/>
                <w:noProof/>
                <w:specVanish/>
              </w:rPr>
              <w:t>19.4</w:t>
            </w:r>
            <w:r>
              <w:rPr>
                <w:rFonts w:asciiTheme="minorHAnsi" w:hAnsiTheme="minorHAnsi" w:eastAsiaTheme="minorEastAsia" w:cstheme="minorBidi"/>
                <w:noProof/>
                <w:kern w:val="2"/>
                <w:sz w:val="24"/>
                <w:szCs w:val="24"/>
                <w14:ligatures w14:val="standardContextual"/>
              </w:rPr>
              <w:tab/>
            </w:r>
            <w:r w:rsidRPr="00CF704D">
              <w:rPr>
                <w:rStyle w:val="Hyperlink"/>
                <w:rFonts w:cs="Arial"/>
                <w:noProof/>
              </w:rPr>
              <w:t>Location of Arbitration.</w:t>
            </w:r>
            <w:r>
              <w:rPr>
                <w:noProof/>
                <w:webHidden/>
              </w:rPr>
              <w:tab/>
            </w:r>
            <w:r>
              <w:rPr>
                <w:noProof/>
                <w:webHidden/>
              </w:rPr>
              <w:fldChar w:fldCharType="begin"/>
            </w:r>
            <w:r>
              <w:rPr>
                <w:noProof/>
                <w:webHidden/>
              </w:rPr>
              <w:instrText xml:space="preserve"> PAGEREF _Toc227840756 \h </w:instrText>
            </w:r>
            <w:r>
              <w:rPr>
                <w:noProof/>
                <w:webHidden/>
              </w:rPr>
            </w:r>
            <w:r>
              <w:rPr>
                <w:noProof/>
                <w:webHidden/>
              </w:rPr>
              <w:fldChar w:fldCharType="separate"/>
            </w:r>
            <w:r>
              <w:rPr>
                <w:noProof/>
                <w:webHidden/>
              </w:rPr>
              <w:t>71</w:t>
            </w:r>
            <w:r>
              <w:rPr>
                <w:noProof/>
                <w:webHidden/>
              </w:rPr>
              <w:fldChar w:fldCharType="end"/>
            </w:r>
          </w:hyperlink>
        </w:p>
        <w:p w:rsidR="00CC5F3E" w:rsidRDefault="00CC5F3E" w14:paraId="5C738BFA" w14:textId="3EAEEB78">
          <w:pPr>
            <w:pStyle w:val="TOC2"/>
            <w:rPr>
              <w:rFonts w:asciiTheme="minorHAnsi" w:hAnsiTheme="minorHAnsi" w:eastAsiaTheme="minorEastAsia" w:cstheme="minorBidi"/>
              <w:noProof/>
              <w:kern w:val="2"/>
              <w:sz w:val="24"/>
              <w:szCs w:val="24"/>
              <w14:ligatures w14:val="standardContextual"/>
            </w:rPr>
          </w:pPr>
          <w:hyperlink w:history="1" w:anchor="_Toc227840757">
            <w:r w:rsidRPr="00CF704D">
              <w:rPr>
                <w:rStyle w:val="Hyperlink"/>
                <w:rFonts w:eastAsia="PMingLiU" w:cs="Arial"/>
                <w:caps/>
                <w:noProof/>
                <w:specVanish/>
              </w:rPr>
              <w:t>19.5</w:t>
            </w:r>
            <w:r>
              <w:rPr>
                <w:rFonts w:asciiTheme="minorHAnsi" w:hAnsiTheme="minorHAnsi" w:eastAsiaTheme="minorEastAsia" w:cstheme="minorBidi"/>
                <w:noProof/>
                <w:kern w:val="2"/>
                <w:sz w:val="24"/>
                <w:szCs w:val="24"/>
                <w14:ligatures w14:val="standardContextual"/>
              </w:rPr>
              <w:tab/>
            </w:r>
            <w:r w:rsidRPr="00CF704D">
              <w:rPr>
                <w:rStyle w:val="Hyperlink"/>
                <w:rFonts w:cs="Arial"/>
                <w:noProof/>
              </w:rPr>
              <w:t>Mandatory Arbitration.</w:t>
            </w:r>
            <w:r>
              <w:rPr>
                <w:noProof/>
                <w:webHidden/>
              </w:rPr>
              <w:tab/>
            </w:r>
            <w:r>
              <w:rPr>
                <w:noProof/>
                <w:webHidden/>
              </w:rPr>
              <w:fldChar w:fldCharType="begin"/>
            </w:r>
            <w:r>
              <w:rPr>
                <w:noProof/>
                <w:webHidden/>
              </w:rPr>
              <w:instrText xml:space="preserve"> PAGEREF _Toc227840757 \h </w:instrText>
            </w:r>
            <w:r>
              <w:rPr>
                <w:noProof/>
                <w:webHidden/>
              </w:rPr>
            </w:r>
            <w:r>
              <w:rPr>
                <w:noProof/>
                <w:webHidden/>
              </w:rPr>
              <w:fldChar w:fldCharType="separate"/>
            </w:r>
            <w:r>
              <w:rPr>
                <w:noProof/>
                <w:webHidden/>
              </w:rPr>
              <w:t>71</w:t>
            </w:r>
            <w:r>
              <w:rPr>
                <w:noProof/>
                <w:webHidden/>
              </w:rPr>
              <w:fldChar w:fldCharType="end"/>
            </w:r>
          </w:hyperlink>
        </w:p>
        <w:p w:rsidR="00CC5F3E" w:rsidRDefault="00CC5F3E" w14:paraId="57CDCB03" w14:textId="35A25C14">
          <w:pPr>
            <w:pStyle w:val="TOC2"/>
            <w:rPr>
              <w:rFonts w:asciiTheme="minorHAnsi" w:hAnsiTheme="minorHAnsi" w:eastAsiaTheme="minorEastAsia" w:cstheme="minorBidi"/>
              <w:noProof/>
              <w:kern w:val="2"/>
              <w:sz w:val="24"/>
              <w:szCs w:val="24"/>
              <w14:ligatures w14:val="standardContextual"/>
            </w:rPr>
          </w:pPr>
          <w:hyperlink w:history="1" w:anchor="_Toc227840758">
            <w:r w:rsidRPr="00CF704D">
              <w:rPr>
                <w:rStyle w:val="Hyperlink"/>
                <w:rFonts w:eastAsia="PMingLiU" w:cs="Arial"/>
                <w:caps/>
                <w:noProof/>
                <w:specVanish/>
              </w:rPr>
              <w:t>19.6</w:t>
            </w:r>
            <w:r>
              <w:rPr>
                <w:rFonts w:asciiTheme="minorHAnsi" w:hAnsiTheme="minorHAnsi" w:eastAsiaTheme="minorEastAsia" w:cstheme="minorBidi"/>
                <w:noProof/>
                <w:kern w:val="2"/>
                <w:sz w:val="24"/>
                <w:szCs w:val="24"/>
                <w14:ligatures w14:val="standardContextual"/>
              </w:rPr>
              <w:tab/>
            </w:r>
            <w:r w:rsidRPr="00CF704D">
              <w:rPr>
                <w:rStyle w:val="Hyperlink"/>
                <w:rFonts w:cs="Arial"/>
                <w:noProof/>
              </w:rPr>
              <w:t>Injunctive Relief.</w:t>
            </w:r>
            <w:r>
              <w:rPr>
                <w:noProof/>
                <w:webHidden/>
              </w:rPr>
              <w:tab/>
            </w:r>
            <w:r>
              <w:rPr>
                <w:noProof/>
                <w:webHidden/>
              </w:rPr>
              <w:fldChar w:fldCharType="begin"/>
            </w:r>
            <w:r>
              <w:rPr>
                <w:noProof/>
                <w:webHidden/>
              </w:rPr>
              <w:instrText xml:space="preserve"> PAGEREF _Toc227840758 \h </w:instrText>
            </w:r>
            <w:r>
              <w:rPr>
                <w:noProof/>
                <w:webHidden/>
              </w:rPr>
            </w:r>
            <w:r>
              <w:rPr>
                <w:noProof/>
                <w:webHidden/>
              </w:rPr>
              <w:fldChar w:fldCharType="separate"/>
            </w:r>
            <w:r>
              <w:rPr>
                <w:noProof/>
                <w:webHidden/>
              </w:rPr>
              <w:t>71</w:t>
            </w:r>
            <w:r>
              <w:rPr>
                <w:noProof/>
                <w:webHidden/>
              </w:rPr>
              <w:fldChar w:fldCharType="end"/>
            </w:r>
          </w:hyperlink>
        </w:p>
        <w:p w:rsidR="00CC5F3E" w:rsidRDefault="00CC5F3E" w14:paraId="0CF22017" w14:textId="68329132">
          <w:pPr>
            <w:pStyle w:val="TOC2"/>
            <w:rPr>
              <w:rFonts w:asciiTheme="minorHAnsi" w:hAnsiTheme="minorHAnsi" w:eastAsiaTheme="minorEastAsia" w:cstheme="minorBidi"/>
              <w:noProof/>
              <w:kern w:val="2"/>
              <w:sz w:val="24"/>
              <w:szCs w:val="24"/>
              <w14:ligatures w14:val="standardContextual"/>
            </w:rPr>
          </w:pPr>
          <w:hyperlink w:history="1" w:anchor="_Toc227840759">
            <w:r w:rsidRPr="00CF704D">
              <w:rPr>
                <w:rStyle w:val="Hyperlink"/>
                <w:rFonts w:eastAsia="PMingLiU" w:cs="Arial"/>
                <w:caps/>
                <w:noProof/>
                <w:specVanish/>
              </w:rPr>
              <w:t>19.7</w:t>
            </w:r>
            <w:r>
              <w:rPr>
                <w:rFonts w:asciiTheme="minorHAnsi" w:hAnsiTheme="minorHAnsi" w:eastAsiaTheme="minorEastAsia" w:cstheme="minorBidi"/>
                <w:noProof/>
                <w:kern w:val="2"/>
                <w:sz w:val="24"/>
                <w:szCs w:val="24"/>
                <w14:ligatures w14:val="standardContextual"/>
              </w:rPr>
              <w:tab/>
            </w:r>
            <w:r w:rsidRPr="00CF704D">
              <w:rPr>
                <w:rStyle w:val="Hyperlink"/>
                <w:rFonts w:cs="Arial"/>
                <w:noProof/>
              </w:rPr>
              <w:t>Continued Performance.</w:t>
            </w:r>
            <w:r>
              <w:rPr>
                <w:noProof/>
                <w:webHidden/>
              </w:rPr>
              <w:tab/>
            </w:r>
            <w:r>
              <w:rPr>
                <w:noProof/>
                <w:webHidden/>
              </w:rPr>
              <w:fldChar w:fldCharType="begin"/>
            </w:r>
            <w:r>
              <w:rPr>
                <w:noProof/>
                <w:webHidden/>
              </w:rPr>
              <w:instrText xml:space="preserve"> PAGEREF _Toc227840759 \h </w:instrText>
            </w:r>
            <w:r>
              <w:rPr>
                <w:noProof/>
                <w:webHidden/>
              </w:rPr>
            </w:r>
            <w:r>
              <w:rPr>
                <w:noProof/>
                <w:webHidden/>
              </w:rPr>
              <w:fldChar w:fldCharType="separate"/>
            </w:r>
            <w:r>
              <w:rPr>
                <w:noProof/>
                <w:webHidden/>
              </w:rPr>
              <w:t>72</w:t>
            </w:r>
            <w:r>
              <w:rPr>
                <w:noProof/>
                <w:webHidden/>
              </w:rPr>
              <w:fldChar w:fldCharType="end"/>
            </w:r>
          </w:hyperlink>
        </w:p>
        <w:p w:rsidR="00CC5F3E" w:rsidRDefault="00CC5F3E" w14:paraId="3FC5B858" w14:textId="4BA918DE">
          <w:pPr>
            <w:pStyle w:val="TOC1"/>
            <w:rPr>
              <w:rFonts w:asciiTheme="minorHAnsi" w:hAnsiTheme="minorHAnsi" w:eastAsiaTheme="minorEastAsia" w:cstheme="minorBidi"/>
              <w:b w:val="0"/>
              <w:caps w:val="0"/>
              <w:noProof/>
              <w:kern w:val="2"/>
              <w:sz w:val="24"/>
              <w:szCs w:val="24"/>
              <w14:ligatures w14:val="standardContextual"/>
            </w:rPr>
          </w:pPr>
          <w:hyperlink w:history="1" w:anchor="_Toc227840760">
            <w:r w:rsidRPr="00CF704D">
              <w:rPr>
                <w:rStyle w:val="Hyperlink"/>
                <w:noProof/>
                <w14:scene3d>
                  <w14:camera w14:prst="orthographicFront"/>
                  <w14:lightRig w14:rig="threePt" w14:dir="t">
                    <w14:rot w14:lat="0" w14:lon="0" w14:rev="0"/>
                  </w14:lightRig>
                </w14:scene3d>
                <w14:props3d w14:extrusionH="0" w14:contourW="0" w14:prstMaterial="warmMatte"/>
              </w:rPr>
              <w:t>Part 20.</w:t>
            </w:r>
            <w:r>
              <w:rPr>
                <w:rFonts w:asciiTheme="minorHAnsi" w:hAnsiTheme="minorHAnsi" w:eastAsiaTheme="minorEastAsia" w:cstheme="minorBidi"/>
                <w:b w:val="0"/>
                <w:caps w:val="0"/>
                <w:noProof/>
                <w:kern w:val="2"/>
                <w:sz w:val="24"/>
                <w:szCs w:val="24"/>
                <w14:ligatures w14:val="standardContextual"/>
              </w:rPr>
              <w:tab/>
            </w:r>
            <w:r w:rsidRPr="00CF704D">
              <w:rPr>
                <w:rStyle w:val="Hyperlink"/>
                <w:noProof/>
              </w:rPr>
              <w:t>Miscellaneous Provisions</w:t>
            </w:r>
            <w:r>
              <w:rPr>
                <w:noProof/>
                <w:webHidden/>
              </w:rPr>
              <w:tab/>
            </w:r>
            <w:r>
              <w:rPr>
                <w:noProof/>
                <w:webHidden/>
              </w:rPr>
              <w:fldChar w:fldCharType="begin"/>
            </w:r>
            <w:r>
              <w:rPr>
                <w:noProof/>
                <w:webHidden/>
              </w:rPr>
              <w:instrText xml:space="preserve"> PAGEREF _Toc227840760 \h </w:instrText>
            </w:r>
            <w:r>
              <w:rPr>
                <w:noProof/>
                <w:webHidden/>
              </w:rPr>
            </w:r>
            <w:r>
              <w:rPr>
                <w:noProof/>
                <w:webHidden/>
              </w:rPr>
              <w:fldChar w:fldCharType="separate"/>
            </w:r>
            <w:r>
              <w:rPr>
                <w:noProof/>
                <w:webHidden/>
              </w:rPr>
              <w:t>72</w:t>
            </w:r>
            <w:r>
              <w:rPr>
                <w:noProof/>
                <w:webHidden/>
              </w:rPr>
              <w:fldChar w:fldCharType="end"/>
            </w:r>
          </w:hyperlink>
        </w:p>
        <w:p w:rsidR="00CC5F3E" w:rsidRDefault="00CC5F3E" w14:paraId="1F3DE555" w14:textId="7D0C25D5">
          <w:pPr>
            <w:pStyle w:val="TOC2"/>
            <w:rPr>
              <w:rFonts w:asciiTheme="minorHAnsi" w:hAnsiTheme="minorHAnsi" w:eastAsiaTheme="minorEastAsia" w:cstheme="minorBidi"/>
              <w:noProof/>
              <w:kern w:val="2"/>
              <w:sz w:val="24"/>
              <w:szCs w:val="24"/>
              <w14:ligatures w14:val="standardContextual"/>
            </w:rPr>
          </w:pPr>
          <w:hyperlink w:history="1" w:anchor="_Toc227840761">
            <w:r w:rsidRPr="00CF704D">
              <w:rPr>
                <w:rStyle w:val="Hyperlink"/>
                <w:rFonts w:eastAsia="PMingLiU" w:cs="Arial"/>
                <w:caps/>
                <w:noProof/>
                <w:specVanish/>
              </w:rPr>
              <w:t>20.1</w:t>
            </w:r>
            <w:r>
              <w:rPr>
                <w:rFonts w:asciiTheme="minorHAnsi" w:hAnsiTheme="minorHAnsi" w:eastAsiaTheme="minorEastAsia" w:cstheme="minorBidi"/>
                <w:noProof/>
                <w:kern w:val="2"/>
                <w:sz w:val="24"/>
                <w:szCs w:val="24"/>
                <w14:ligatures w14:val="standardContextual"/>
              </w:rPr>
              <w:tab/>
            </w:r>
            <w:r w:rsidRPr="00CF704D">
              <w:rPr>
                <w:rStyle w:val="Hyperlink"/>
                <w:rFonts w:cs="Arial"/>
                <w:noProof/>
              </w:rPr>
              <w:t>Amendments.</w:t>
            </w:r>
            <w:r>
              <w:rPr>
                <w:noProof/>
                <w:webHidden/>
              </w:rPr>
              <w:tab/>
            </w:r>
            <w:r>
              <w:rPr>
                <w:noProof/>
                <w:webHidden/>
              </w:rPr>
              <w:fldChar w:fldCharType="begin"/>
            </w:r>
            <w:r>
              <w:rPr>
                <w:noProof/>
                <w:webHidden/>
              </w:rPr>
              <w:instrText xml:space="preserve"> PAGEREF _Toc227840761 \h </w:instrText>
            </w:r>
            <w:r>
              <w:rPr>
                <w:noProof/>
                <w:webHidden/>
              </w:rPr>
            </w:r>
            <w:r>
              <w:rPr>
                <w:noProof/>
                <w:webHidden/>
              </w:rPr>
              <w:fldChar w:fldCharType="separate"/>
            </w:r>
            <w:r>
              <w:rPr>
                <w:noProof/>
                <w:webHidden/>
              </w:rPr>
              <w:t>72</w:t>
            </w:r>
            <w:r>
              <w:rPr>
                <w:noProof/>
                <w:webHidden/>
              </w:rPr>
              <w:fldChar w:fldCharType="end"/>
            </w:r>
          </w:hyperlink>
        </w:p>
        <w:p w:rsidR="00CC5F3E" w:rsidRDefault="00CC5F3E" w14:paraId="2493ADCB" w14:textId="667B4E83">
          <w:pPr>
            <w:pStyle w:val="TOC2"/>
            <w:rPr>
              <w:rFonts w:asciiTheme="minorHAnsi" w:hAnsiTheme="minorHAnsi" w:eastAsiaTheme="minorEastAsia" w:cstheme="minorBidi"/>
              <w:noProof/>
              <w:kern w:val="2"/>
              <w:sz w:val="24"/>
              <w:szCs w:val="24"/>
              <w14:ligatures w14:val="standardContextual"/>
            </w:rPr>
          </w:pPr>
          <w:hyperlink w:history="1" w:anchor="_Toc227840762">
            <w:r w:rsidRPr="00CF704D">
              <w:rPr>
                <w:rStyle w:val="Hyperlink"/>
                <w:rFonts w:eastAsia="PMingLiU" w:cs="Arial"/>
                <w:iCs/>
                <w:caps/>
                <w:noProof/>
                <w:specVanish/>
              </w:rPr>
              <w:t>20.2</w:t>
            </w:r>
            <w:r>
              <w:rPr>
                <w:rFonts w:asciiTheme="minorHAnsi" w:hAnsiTheme="minorHAnsi" w:eastAsiaTheme="minorEastAsia" w:cstheme="minorBidi"/>
                <w:noProof/>
                <w:kern w:val="2"/>
                <w:sz w:val="24"/>
                <w:szCs w:val="24"/>
                <w14:ligatures w14:val="standardContextual"/>
              </w:rPr>
              <w:tab/>
            </w:r>
            <w:r w:rsidRPr="00CF704D">
              <w:rPr>
                <w:rStyle w:val="Hyperlink"/>
                <w:rFonts w:cs="Arial"/>
                <w:noProof/>
              </w:rPr>
              <w:t>Binding Effect</w:t>
            </w:r>
            <w:r w:rsidRPr="00CF704D">
              <w:rPr>
                <w:rStyle w:val="Hyperlink"/>
                <w:rFonts w:cs="Arial"/>
                <w:i/>
                <w:iCs/>
                <w:noProof/>
              </w:rPr>
              <w:t>.</w:t>
            </w:r>
            <w:r>
              <w:rPr>
                <w:noProof/>
                <w:webHidden/>
              </w:rPr>
              <w:tab/>
            </w:r>
            <w:r>
              <w:rPr>
                <w:noProof/>
                <w:webHidden/>
              </w:rPr>
              <w:fldChar w:fldCharType="begin"/>
            </w:r>
            <w:r>
              <w:rPr>
                <w:noProof/>
                <w:webHidden/>
              </w:rPr>
              <w:instrText xml:space="preserve"> PAGEREF _Toc227840762 \h </w:instrText>
            </w:r>
            <w:r>
              <w:rPr>
                <w:noProof/>
                <w:webHidden/>
              </w:rPr>
            </w:r>
            <w:r>
              <w:rPr>
                <w:noProof/>
                <w:webHidden/>
              </w:rPr>
              <w:fldChar w:fldCharType="separate"/>
            </w:r>
            <w:r>
              <w:rPr>
                <w:noProof/>
                <w:webHidden/>
              </w:rPr>
              <w:t>72</w:t>
            </w:r>
            <w:r>
              <w:rPr>
                <w:noProof/>
                <w:webHidden/>
              </w:rPr>
              <w:fldChar w:fldCharType="end"/>
            </w:r>
          </w:hyperlink>
        </w:p>
        <w:p w:rsidR="00CC5F3E" w:rsidRDefault="00CC5F3E" w14:paraId="507F1C43" w14:textId="7BBD01AB">
          <w:pPr>
            <w:pStyle w:val="TOC2"/>
            <w:rPr>
              <w:rFonts w:asciiTheme="minorHAnsi" w:hAnsiTheme="minorHAnsi" w:eastAsiaTheme="minorEastAsia" w:cstheme="minorBidi"/>
              <w:noProof/>
              <w:kern w:val="2"/>
              <w:sz w:val="24"/>
              <w:szCs w:val="24"/>
              <w14:ligatures w14:val="standardContextual"/>
            </w:rPr>
          </w:pPr>
          <w:hyperlink w:history="1" w:anchor="_Toc227840763">
            <w:r w:rsidRPr="00CF704D">
              <w:rPr>
                <w:rStyle w:val="Hyperlink"/>
                <w:rFonts w:eastAsia="PMingLiU" w:cs="Arial"/>
                <w:caps/>
                <w:noProof/>
                <w:specVanish/>
              </w:rPr>
              <w:t>20.3</w:t>
            </w:r>
            <w:r>
              <w:rPr>
                <w:rFonts w:asciiTheme="minorHAnsi" w:hAnsiTheme="minorHAnsi" w:eastAsiaTheme="minorEastAsia" w:cstheme="minorBidi"/>
                <w:noProof/>
                <w:kern w:val="2"/>
                <w:sz w:val="24"/>
                <w:szCs w:val="24"/>
                <w14:ligatures w14:val="standardContextual"/>
              </w:rPr>
              <w:tab/>
            </w:r>
            <w:r w:rsidRPr="00CF704D">
              <w:rPr>
                <w:rStyle w:val="Hyperlink"/>
                <w:rFonts w:cs="Arial"/>
                <w:noProof/>
              </w:rPr>
              <w:t>Counterparts.</w:t>
            </w:r>
            <w:r>
              <w:rPr>
                <w:noProof/>
                <w:webHidden/>
              </w:rPr>
              <w:tab/>
            </w:r>
            <w:r>
              <w:rPr>
                <w:noProof/>
                <w:webHidden/>
              </w:rPr>
              <w:fldChar w:fldCharType="begin"/>
            </w:r>
            <w:r>
              <w:rPr>
                <w:noProof/>
                <w:webHidden/>
              </w:rPr>
              <w:instrText xml:space="preserve"> PAGEREF _Toc227840763 \h </w:instrText>
            </w:r>
            <w:r>
              <w:rPr>
                <w:noProof/>
                <w:webHidden/>
              </w:rPr>
            </w:r>
            <w:r>
              <w:rPr>
                <w:noProof/>
                <w:webHidden/>
              </w:rPr>
              <w:fldChar w:fldCharType="separate"/>
            </w:r>
            <w:r>
              <w:rPr>
                <w:noProof/>
                <w:webHidden/>
              </w:rPr>
              <w:t>72</w:t>
            </w:r>
            <w:r>
              <w:rPr>
                <w:noProof/>
                <w:webHidden/>
              </w:rPr>
              <w:fldChar w:fldCharType="end"/>
            </w:r>
          </w:hyperlink>
        </w:p>
        <w:p w:rsidR="00CC5F3E" w:rsidRDefault="00CC5F3E" w14:paraId="376C162D" w14:textId="257CBA09">
          <w:pPr>
            <w:pStyle w:val="TOC2"/>
            <w:rPr>
              <w:rFonts w:asciiTheme="minorHAnsi" w:hAnsiTheme="minorHAnsi" w:eastAsiaTheme="minorEastAsia" w:cstheme="minorBidi"/>
              <w:noProof/>
              <w:kern w:val="2"/>
              <w:sz w:val="24"/>
              <w:szCs w:val="24"/>
              <w14:ligatures w14:val="standardContextual"/>
            </w:rPr>
          </w:pPr>
          <w:hyperlink w:history="1" w:anchor="_Toc227840764">
            <w:r w:rsidRPr="00CF704D">
              <w:rPr>
                <w:rStyle w:val="Hyperlink"/>
                <w:rFonts w:eastAsia="PMingLiU" w:cs="Arial"/>
                <w:caps/>
                <w:noProof/>
                <w:specVanish/>
              </w:rPr>
              <w:t>20.4</w:t>
            </w:r>
            <w:r>
              <w:rPr>
                <w:rFonts w:asciiTheme="minorHAnsi" w:hAnsiTheme="minorHAnsi" w:eastAsiaTheme="minorEastAsia" w:cstheme="minorBidi"/>
                <w:noProof/>
                <w:kern w:val="2"/>
                <w:sz w:val="24"/>
                <w:szCs w:val="24"/>
                <w14:ligatures w14:val="standardContextual"/>
              </w:rPr>
              <w:tab/>
            </w:r>
            <w:r w:rsidRPr="00CF704D">
              <w:rPr>
                <w:rStyle w:val="Hyperlink"/>
                <w:rFonts w:cs="Arial"/>
                <w:noProof/>
              </w:rPr>
              <w:t>Notice.</w:t>
            </w:r>
            <w:r>
              <w:rPr>
                <w:noProof/>
                <w:webHidden/>
              </w:rPr>
              <w:tab/>
            </w:r>
            <w:r>
              <w:rPr>
                <w:noProof/>
                <w:webHidden/>
              </w:rPr>
              <w:fldChar w:fldCharType="begin"/>
            </w:r>
            <w:r>
              <w:rPr>
                <w:noProof/>
                <w:webHidden/>
              </w:rPr>
              <w:instrText xml:space="preserve"> PAGEREF _Toc227840764 \h </w:instrText>
            </w:r>
            <w:r>
              <w:rPr>
                <w:noProof/>
                <w:webHidden/>
              </w:rPr>
            </w:r>
            <w:r>
              <w:rPr>
                <w:noProof/>
                <w:webHidden/>
              </w:rPr>
              <w:fldChar w:fldCharType="separate"/>
            </w:r>
            <w:r>
              <w:rPr>
                <w:noProof/>
                <w:webHidden/>
              </w:rPr>
              <w:t>72</w:t>
            </w:r>
            <w:r>
              <w:rPr>
                <w:noProof/>
                <w:webHidden/>
              </w:rPr>
              <w:fldChar w:fldCharType="end"/>
            </w:r>
          </w:hyperlink>
        </w:p>
        <w:p w:rsidR="00CC5F3E" w:rsidRDefault="00CC5F3E" w14:paraId="489B7C09" w14:textId="50E6E490">
          <w:pPr>
            <w:pStyle w:val="TOC2"/>
            <w:rPr>
              <w:rFonts w:asciiTheme="minorHAnsi" w:hAnsiTheme="minorHAnsi" w:eastAsiaTheme="minorEastAsia" w:cstheme="minorBidi"/>
              <w:noProof/>
              <w:kern w:val="2"/>
              <w:sz w:val="24"/>
              <w:szCs w:val="24"/>
              <w14:ligatures w14:val="standardContextual"/>
            </w:rPr>
          </w:pPr>
          <w:hyperlink w:history="1" w:anchor="_Toc227840765">
            <w:r w:rsidRPr="00CF704D">
              <w:rPr>
                <w:rStyle w:val="Hyperlink"/>
                <w:rFonts w:eastAsia="PMingLiU" w:cs="Arial"/>
                <w:caps/>
                <w:noProof/>
                <w:specVanish/>
              </w:rPr>
              <w:t>20.5</w:t>
            </w:r>
            <w:r>
              <w:rPr>
                <w:rFonts w:asciiTheme="minorHAnsi" w:hAnsiTheme="minorHAnsi" w:eastAsiaTheme="minorEastAsia" w:cstheme="minorBidi"/>
                <w:noProof/>
                <w:kern w:val="2"/>
                <w:sz w:val="24"/>
                <w:szCs w:val="24"/>
                <w14:ligatures w14:val="standardContextual"/>
              </w:rPr>
              <w:tab/>
            </w:r>
            <w:r w:rsidRPr="00CF704D">
              <w:rPr>
                <w:rStyle w:val="Hyperlink"/>
                <w:rFonts w:cs="Arial"/>
                <w:noProof/>
              </w:rPr>
              <w:t>Entire Agreement</w:t>
            </w:r>
            <w:r>
              <w:rPr>
                <w:noProof/>
                <w:webHidden/>
              </w:rPr>
              <w:tab/>
            </w:r>
            <w:r>
              <w:rPr>
                <w:noProof/>
                <w:webHidden/>
              </w:rPr>
              <w:fldChar w:fldCharType="begin"/>
            </w:r>
            <w:r>
              <w:rPr>
                <w:noProof/>
                <w:webHidden/>
              </w:rPr>
              <w:instrText xml:space="preserve"> PAGEREF _Toc227840765 \h </w:instrText>
            </w:r>
            <w:r>
              <w:rPr>
                <w:noProof/>
                <w:webHidden/>
              </w:rPr>
            </w:r>
            <w:r>
              <w:rPr>
                <w:noProof/>
                <w:webHidden/>
              </w:rPr>
              <w:fldChar w:fldCharType="separate"/>
            </w:r>
            <w:r>
              <w:rPr>
                <w:noProof/>
                <w:webHidden/>
              </w:rPr>
              <w:t>72</w:t>
            </w:r>
            <w:r>
              <w:rPr>
                <w:noProof/>
                <w:webHidden/>
              </w:rPr>
              <w:fldChar w:fldCharType="end"/>
            </w:r>
          </w:hyperlink>
        </w:p>
        <w:p w:rsidR="00CC5F3E" w:rsidRDefault="00CC5F3E" w14:paraId="0FF24E3F" w14:textId="2E205A54">
          <w:pPr>
            <w:pStyle w:val="TOC2"/>
            <w:rPr>
              <w:rFonts w:asciiTheme="minorHAnsi" w:hAnsiTheme="minorHAnsi" w:eastAsiaTheme="minorEastAsia" w:cstheme="minorBidi"/>
              <w:noProof/>
              <w:kern w:val="2"/>
              <w:sz w:val="24"/>
              <w:szCs w:val="24"/>
              <w14:ligatures w14:val="standardContextual"/>
            </w:rPr>
          </w:pPr>
          <w:hyperlink w:history="1" w:anchor="_Toc227840766">
            <w:r w:rsidRPr="00CF704D">
              <w:rPr>
                <w:rStyle w:val="Hyperlink"/>
                <w:rFonts w:eastAsia="PMingLiU" w:cs="Arial"/>
                <w:caps/>
                <w:noProof/>
                <w:specVanish/>
              </w:rPr>
              <w:t>20.6</w:t>
            </w:r>
            <w:r>
              <w:rPr>
                <w:rFonts w:asciiTheme="minorHAnsi" w:hAnsiTheme="minorHAnsi" w:eastAsiaTheme="minorEastAsia" w:cstheme="minorBidi"/>
                <w:noProof/>
                <w:kern w:val="2"/>
                <w:sz w:val="24"/>
                <w:szCs w:val="24"/>
                <w14:ligatures w14:val="standardContextual"/>
              </w:rPr>
              <w:tab/>
            </w:r>
            <w:r w:rsidRPr="00CF704D">
              <w:rPr>
                <w:rStyle w:val="Hyperlink"/>
                <w:rFonts w:cs="Arial"/>
                <w:noProof/>
              </w:rPr>
              <w:t>Governing Law.</w:t>
            </w:r>
            <w:r>
              <w:rPr>
                <w:noProof/>
                <w:webHidden/>
              </w:rPr>
              <w:tab/>
            </w:r>
            <w:r>
              <w:rPr>
                <w:noProof/>
                <w:webHidden/>
              </w:rPr>
              <w:fldChar w:fldCharType="begin"/>
            </w:r>
            <w:r>
              <w:rPr>
                <w:noProof/>
                <w:webHidden/>
              </w:rPr>
              <w:instrText xml:space="preserve"> PAGEREF _Toc227840766 \h </w:instrText>
            </w:r>
            <w:r>
              <w:rPr>
                <w:noProof/>
                <w:webHidden/>
              </w:rPr>
            </w:r>
            <w:r>
              <w:rPr>
                <w:noProof/>
                <w:webHidden/>
              </w:rPr>
              <w:fldChar w:fldCharType="separate"/>
            </w:r>
            <w:r>
              <w:rPr>
                <w:noProof/>
                <w:webHidden/>
              </w:rPr>
              <w:t>72</w:t>
            </w:r>
            <w:r>
              <w:rPr>
                <w:noProof/>
                <w:webHidden/>
              </w:rPr>
              <w:fldChar w:fldCharType="end"/>
            </w:r>
          </w:hyperlink>
        </w:p>
        <w:p w:rsidR="00CC5F3E" w:rsidRDefault="00CC5F3E" w14:paraId="5DB08CB8" w14:textId="76F98F72">
          <w:pPr>
            <w:pStyle w:val="TOC2"/>
            <w:rPr>
              <w:rFonts w:asciiTheme="minorHAnsi" w:hAnsiTheme="minorHAnsi" w:eastAsiaTheme="minorEastAsia" w:cstheme="minorBidi"/>
              <w:noProof/>
              <w:kern w:val="2"/>
              <w:sz w:val="24"/>
              <w:szCs w:val="24"/>
              <w14:ligatures w14:val="standardContextual"/>
            </w:rPr>
          </w:pPr>
          <w:hyperlink w:history="1" w:anchor="_Toc227840769">
            <w:r w:rsidRPr="00CF704D">
              <w:rPr>
                <w:rStyle w:val="Hyperlink"/>
                <w:caps/>
                <w:noProof/>
                <w:specVanish/>
              </w:rPr>
              <w:t>20.7</w:t>
            </w:r>
            <w:r>
              <w:rPr>
                <w:rFonts w:asciiTheme="minorHAnsi" w:hAnsiTheme="minorHAnsi" w:eastAsiaTheme="minorEastAsia" w:cstheme="minorBidi"/>
                <w:noProof/>
                <w:kern w:val="2"/>
                <w:sz w:val="24"/>
                <w:szCs w:val="24"/>
                <w14:ligatures w14:val="standardContextual"/>
              </w:rPr>
              <w:tab/>
            </w:r>
            <w:r w:rsidRPr="00CF704D">
              <w:rPr>
                <w:rStyle w:val="Hyperlink"/>
                <w:noProof/>
              </w:rPr>
              <w:t>Liability.</w:t>
            </w:r>
            <w:r>
              <w:rPr>
                <w:noProof/>
                <w:webHidden/>
              </w:rPr>
              <w:tab/>
            </w:r>
            <w:r>
              <w:rPr>
                <w:noProof/>
                <w:webHidden/>
              </w:rPr>
              <w:fldChar w:fldCharType="begin"/>
            </w:r>
            <w:r>
              <w:rPr>
                <w:noProof/>
                <w:webHidden/>
              </w:rPr>
              <w:instrText xml:space="preserve"> PAGEREF _Toc227840769 \h </w:instrText>
            </w:r>
            <w:r>
              <w:rPr>
                <w:noProof/>
                <w:webHidden/>
              </w:rPr>
            </w:r>
            <w:r>
              <w:rPr>
                <w:noProof/>
                <w:webHidden/>
              </w:rPr>
              <w:fldChar w:fldCharType="separate"/>
            </w:r>
            <w:r>
              <w:rPr>
                <w:noProof/>
                <w:webHidden/>
              </w:rPr>
              <w:t>72</w:t>
            </w:r>
            <w:r>
              <w:rPr>
                <w:noProof/>
                <w:webHidden/>
              </w:rPr>
              <w:fldChar w:fldCharType="end"/>
            </w:r>
          </w:hyperlink>
        </w:p>
        <w:p w:rsidR="00CC5F3E" w:rsidRDefault="00CC5F3E" w14:paraId="591353C5" w14:textId="46A8BC14">
          <w:pPr>
            <w:pStyle w:val="TOC2"/>
            <w:rPr>
              <w:rFonts w:asciiTheme="minorHAnsi" w:hAnsiTheme="minorHAnsi" w:eastAsiaTheme="minorEastAsia" w:cstheme="minorBidi"/>
              <w:noProof/>
              <w:kern w:val="2"/>
              <w:sz w:val="24"/>
              <w:szCs w:val="24"/>
              <w14:ligatures w14:val="standardContextual"/>
            </w:rPr>
          </w:pPr>
          <w:hyperlink w:history="1" w:anchor="_Toc227840770">
            <w:r w:rsidRPr="00CF704D">
              <w:rPr>
                <w:rStyle w:val="Hyperlink"/>
                <w:caps/>
                <w:noProof/>
                <w:specVanish/>
              </w:rPr>
              <w:t>20.8</w:t>
            </w:r>
            <w:r>
              <w:rPr>
                <w:rFonts w:asciiTheme="minorHAnsi" w:hAnsiTheme="minorHAnsi" w:eastAsiaTheme="minorEastAsia" w:cstheme="minorBidi"/>
                <w:noProof/>
                <w:kern w:val="2"/>
                <w:sz w:val="24"/>
                <w:szCs w:val="24"/>
                <w14:ligatures w14:val="standardContextual"/>
              </w:rPr>
              <w:tab/>
            </w:r>
            <w:r w:rsidRPr="00CF704D">
              <w:rPr>
                <w:rStyle w:val="Hyperlink"/>
                <w:noProof/>
              </w:rPr>
              <w:t>GPC’s Agent.</w:t>
            </w:r>
            <w:r>
              <w:rPr>
                <w:noProof/>
                <w:webHidden/>
              </w:rPr>
              <w:tab/>
            </w:r>
            <w:r>
              <w:rPr>
                <w:noProof/>
                <w:webHidden/>
              </w:rPr>
              <w:fldChar w:fldCharType="begin"/>
            </w:r>
            <w:r>
              <w:rPr>
                <w:noProof/>
                <w:webHidden/>
              </w:rPr>
              <w:instrText xml:space="preserve"> PAGEREF _Toc227840770 \h </w:instrText>
            </w:r>
            <w:r>
              <w:rPr>
                <w:noProof/>
                <w:webHidden/>
              </w:rPr>
            </w:r>
            <w:r>
              <w:rPr>
                <w:noProof/>
                <w:webHidden/>
              </w:rPr>
              <w:fldChar w:fldCharType="separate"/>
            </w:r>
            <w:r>
              <w:rPr>
                <w:noProof/>
                <w:webHidden/>
              </w:rPr>
              <w:t>72</w:t>
            </w:r>
            <w:r>
              <w:rPr>
                <w:noProof/>
                <w:webHidden/>
              </w:rPr>
              <w:fldChar w:fldCharType="end"/>
            </w:r>
          </w:hyperlink>
        </w:p>
        <w:p w:rsidR="00CC5F3E" w:rsidRDefault="00CC5F3E" w14:paraId="5581A01B" w14:textId="1A7E77ED">
          <w:pPr>
            <w:pStyle w:val="TOC2"/>
            <w:rPr>
              <w:rFonts w:asciiTheme="minorHAnsi" w:hAnsiTheme="minorHAnsi" w:eastAsiaTheme="minorEastAsia" w:cstheme="minorBidi"/>
              <w:noProof/>
              <w:kern w:val="2"/>
              <w:sz w:val="24"/>
              <w:szCs w:val="24"/>
              <w14:ligatures w14:val="standardContextual"/>
            </w:rPr>
          </w:pPr>
          <w:hyperlink w:history="1" w:anchor="_Toc227840771">
            <w:r w:rsidRPr="00CF704D">
              <w:rPr>
                <w:rStyle w:val="Hyperlink"/>
                <w:caps/>
                <w:noProof/>
                <w:specVanish/>
              </w:rPr>
              <w:t>20.9</w:t>
            </w:r>
            <w:r>
              <w:rPr>
                <w:rFonts w:asciiTheme="minorHAnsi" w:hAnsiTheme="minorHAnsi" w:eastAsiaTheme="minorEastAsia" w:cstheme="minorBidi"/>
                <w:noProof/>
                <w:kern w:val="2"/>
                <w:sz w:val="24"/>
                <w:szCs w:val="24"/>
                <w14:ligatures w14:val="standardContextual"/>
              </w:rPr>
              <w:tab/>
            </w:r>
            <w:r w:rsidRPr="00CF704D">
              <w:rPr>
                <w:rStyle w:val="Hyperlink"/>
                <w:noProof/>
              </w:rPr>
              <w:t>No GPC Affiliate Liability.</w:t>
            </w:r>
            <w:r>
              <w:rPr>
                <w:noProof/>
                <w:webHidden/>
              </w:rPr>
              <w:tab/>
            </w:r>
            <w:r>
              <w:rPr>
                <w:noProof/>
                <w:webHidden/>
              </w:rPr>
              <w:fldChar w:fldCharType="begin"/>
            </w:r>
            <w:r>
              <w:rPr>
                <w:noProof/>
                <w:webHidden/>
              </w:rPr>
              <w:instrText xml:space="preserve"> PAGEREF _Toc227840771 \h </w:instrText>
            </w:r>
            <w:r>
              <w:rPr>
                <w:noProof/>
                <w:webHidden/>
              </w:rPr>
            </w:r>
            <w:r>
              <w:rPr>
                <w:noProof/>
                <w:webHidden/>
              </w:rPr>
              <w:fldChar w:fldCharType="separate"/>
            </w:r>
            <w:r>
              <w:rPr>
                <w:noProof/>
                <w:webHidden/>
              </w:rPr>
              <w:t>72</w:t>
            </w:r>
            <w:r>
              <w:rPr>
                <w:noProof/>
                <w:webHidden/>
              </w:rPr>
              <w:fldChar w:fldCharType="end"/>
            </w:r>
          </w:hyperlink>
        </w:p>
        <w:p w:rsidR="00CC5F3E" w:rsidRDefault="00CC5F3E" w14:paraId="68E80918" w14:textId="16FD2E54">
          <w:pPr>
            <w:pStyle w:val="TOC2"/>
            <w:rPr>
              <w:rFonts w:asciiTheme="minorHAnsi" w:hAnsiTheme="minorHAnsi" w:eastAsiaTheme="minorEastAsia" w:cstheme="minorBidi"/>
              <w:noProof/>
              <w:kern w:val="2"/>
              <w:sz w:val="24"/>
              <w:szCs w:val="24"/>
              <w14:ligatures w14:val="standardContextual"/>
            </w:rPr>
          </w:pPr>
          <w:hyperlink w:history="1" w:anchor="_Toc227840772">
            <w:r w:rsidRPr="00CF704D">
              <w:rPr>
                <w:rStyle w:val="Hyperlink"/>
                <w:rFonts w:eastAsia="PMingLiU" w:cs="Arial"/>
                <w:caps/>
                <w:noProof/>
                <w:specVanish/>
              </w:rPr>
              <w:t>20.10</w:t>
            </w:r>
            <w:r>
              <w:rPr>
                <w:rFonts w:asciiTheme="minorHAnsi" w:hAnsiTheme="minorHAnsi" w:eastAsiaTheme="minorEastAsia" w:cstheme="minorBidi"/>
                <w:noProof/>
                <w:kern w:val="2"/>
                <w:sz w:val="24"/>
                <w:szCs w:val="24"/>
                <w14:ligatures w14:val="standardContextual"/>
              </w:rPr>
              <w:tab/>
            </w:r>
            <w:r w:rsidRPr="00CF704D">
              <w:rPr>
                <w:rStyle w:val="Hyperlink"/>
                <w:rFonts w:cs="Arial"/>
                <w:noProof/>
              </w:rPr>
              <w:t>Time of Essence; No Waiver.</w:t>
            </w:r>
            <w:r>
              <w:rPr>
                <w:noProof/>
                <w:webHidden/>
              </w:rPr>
              <w:tab/>
            </w:r>
            <w:r>
              <w:rPr>
                <w:noProof/>
                <w:webHidden/>
              </w:rPr>
              <w:fldChar w:fldCharType="begin"/>
            </w:r>
            <w:r>
              <w:rPr>
                <w:noProof/>
                <w:webHidden/>
              </w:rPr>
              <w:instrText xml:space="preserve"> PAGEREF _Toc227840772 \h </w:instrText>
            </w:r>
            <w:r>
              <w:rPr>
                <w:noProof/>
                <w:webHidden/>
              </w:rPr>
            </w:r>
            <w:r>
              <w:rPr>
                <w:noProof/>
                <w:webHidden/>
              </w:rPr>
              <w:fldChar w:fldCharType="separate"/>
            </w:r>
            <w:r>
              <w:rPr>
                <w:noProof/>
                <w:webHidden/>
              </w:rPr>
              <w:t>73</w:t>
            </w:r>
            <w:r>
              <w:rPr>
                <w:noProof/>
                <w:webHidden/>
              </w:rPr>
              <w:fldChar w:fldCharType="end"/>
            </w:r>
          </w:hyperlink>
        </w:p>
        <w:p w:rsidR="00CC5F3E" w:rsidRDefault="00CC5F3E" w14:paraId="28B1BD07" w14:textId="7FE31A54">
          <w:pPr>
            <w:pStyle w:val="TOC2"/>
            <w:rPr>
              <w:rFonts w:asciiTheme="minorHAnsi" w:hAnsiTheme="minorHAnsi" w:eastAsiaTheme="minorEastAsia" w:cstheme="minorBidi"/>
              <w:noProof/>
              <w:kern w:val="2"/>
              <w:sz w:val="24"/>
              <w:szCs w:val="24"/>
              <w14:ligatures w14:val="standardContextual"/>
            </w:rPr>
          </w:pPr>
          <w:hyperlink w:history="1" w:anchor="_Toc227840773">
            <w:r w:rsidRPr="00CF704D">
              <w:rPr>
                <w:rStyle w:val="Hyperlink"/>
                <w:rFonts w:cs="Arial"/>
                <w:bCs/>
                <w:noProof/>
              </w:rPr>
              <w:t>Time is of the essence with respect to performance under this PPA. A Party’s failure to enforce a PPA provision, or to require at any time performance by the other Party of any of the provisions under this PPA, does not constitute a waiver of that, or any other PPA provision or any right or remedy in the future. Acquiescence to or acceptance of late performance, with or without reservation does not waive a future right to require timely performance. No modification or waiver of all or any part of this PPA will be valid unless it is reduced to a writing, signed by both Parties, that expressly states that the Parties agree to a waiver or modification, as applicable.</w:t>
            </w:r>
            <w:r>
              <w:rPr>
                <w:noProof/>
                <w:webHidden/>
              </w:rPr>
              <w:tab/>
            </w:r>
            <w:r>
              <w:rPr>
                <w:noProof/>
                <w:webHidden/>
              </w:rPr>
              <w:fldChar w:fldCharType="begin"/>
            </w:r>
            <w:r>
              <w:rPr>
                <w:noProof/>
                <w:webHidden/>
              </w:rPr>
              <w:instrText xml:space="preserve"> PAGEREF _Toc227840773 \h </w:instrText>
            </w:r>
            <w:r>
              <w:rPr>
                <w:noProof/>
                <w:webHidden/>
              </w:rPr>
            </w:r>
            <w:r>
              <w:rPr>
                <w:noProof/>
                <w:webHidden/>
              </w:rPr>
              <w:fldChar w:fldCharType="separate"/>
            </w:r>
            <w:r>
              <w:rPr>
                <w:noProof/>
                <w:webHidden/>
              </w:rPr>
              <w:t>73</w:t>
            </w:r>
            <w:r>
              <w:rPr>
                <w:noProof/>
                <w:webHidden/>
              </w:rPr>
              <w:fldChar w:fldCharType="end"/>
            </w:r>
          </w:hyperlink>
        </w:p>
        <w:p w:rsidR="00CC5F3E" w:rsidRDefault="00CC5F3E" w14:paraId="45AD912E" w14:textId="393ABC7D">
          <w:pPr>
            <w:pStyle w:val="TOC2"/>
            <w:rPr>
              <w:rFonts w:asciiTheme="minorHAnsi" w:hAnsiTheme="minorHAnsi" w:eastAsiaTheme="minorEastAsia" w:cstheme="minorBidi"/>
              <w:noProof/>
              <w:kern w:val="2"/>
              <w:sz w:val="24"/>
              <w:szCs w:val="24"/>
              <w14:ligatures w14:val="standardContextual"/>
            </w:rPr>
          </w:pPr>
          <w:hyperlink w:history="1" w:anchor="_Toc227840774">
            <w:r w:rsidRPr="00CF704D">
              <w:rPr>
                <w:rStyle w:val="Hyperlink"/>
                <w:rFonts w:eastAsia="PMingLiU" w:cs="Arial"/>
                <w:caps/>
                <w:noProof/>
                <w:specVanish/>
              </w:rPr>
              <w:t>20.11</w:t>
            </w:r>
            <w:r>
              <w:rPr>
                <w:rFonts w:asciiTheme="minorHAnsi" w:hAnsiTheme="minorHAnsi" w:eastAsiaTheme="minorEastAsia" w:cstheme="minorBidi"/>
                <w:noProof/>
                <w:kern w:val="2"/>
                <w:sz w:val="24"/>
                <w:szCs w:val="24"/>
                <w14:ligatures w14:val="standardContextual"/>
              </w:rPr>
              <w:tab/>
            </w:r>
            <w:r w:rsidRPr="00CF704D">
              <w:rPr>
                <w:rStyle w:val="Hyperlink"/>
                <w:rFonts w:cs="Arial"/>
                <w:noProof/>
              </w:rPr>
              <w:t>Headings.</w:t>
            </w:r>
            <w:r>
              <w:rPr>
                <w:noProof/>
                <w:webHidden/>
              </w:rPr>
              <w:tab/>
            </w:r>
            <w:r>
              <w:rPr>
                <w:noProof/>
                <w:webHidden/>
              </w:rPr>
              <w:fldChar w:fldCharType="begin"/>
            </w:r>
            <w:r>
              <w:rPr>
                <w:noProof/>
                <w:webHidden/>
              </w:rPr>
              <w:instrText xml:space="preserve"> PAGEREF _Toc227840774 \h </w:instrText>
            </w:r>
            <w:r>
              <w:rPr>
                <w:noProof/>
                <w:webHidden/>
              </w:rPr>
            </w:r>
            <w:r>
              <w:rPr>
                <w:noProof/>
                <w:webHidden/>
              </w:rPr>
              <w:fldChar w:fldCharType="separate"/>
            </w:r>
            <w:r>
              <w:rPr>
                <w:noProof/>
                <w:webHidden/>
              </w:rPr>
              <w:t>73</w:t>
            </w:r>
            <w:r>
              <w:rPr>
                <w:noProof/>
                <w:webHidden/>
              </w:rPr>
              <w:fldChar w:fldCharType="end"/>
            </w:r>
          </w:hyperlink>
        </w:p>
        <w:p w:rsidR="00CC5F3E" w:rsidRDefault="00CC5F3E" w14:paraId="2EA7712C" w14:textId="35BC843E">
          <w:pPr>
            <w:pStyle w:val="TOC2"/>
            <w:rPr>
              <w:rFonts w:asciiTheme="minorHAnsi" w:hAnsiTheme="minorHAnsi" w:eastAsiaTheme="minorEastAsia" w:cstheme="minorBidi"/>
              <w:noProof/>
              <w:kern w:val="2"/>
              <w:sz w:val="24"/>
              <w:szCs w:val="24"/>
              <w14:ligatures w14:val="standardContextual"/>
            </w:rPr>
          </w:pPr>
          <w:hyperlink w:history="1" w:anchor="_Toc227840775">
            <w:r w:rsidRPr="00CF704D">
              <w:rPr>
                <w:rStyle w:val="Hyperlink"/>
                <w:rFonts w:eastAsia="PMingLiU" w:cs="Arial"/>
                <w:caps/>
                <w:noProof/>
                <w:specVanish/>
              </w:rPr>
              <w:t>20.12</w:t>
            </w:r>
            <w:r>
              <w:rPr>
                <w:rFonts w:asciiTheme="minorHAnsi" w:hAnsiTheme="minorHAnsi" w:eastAsiaTheme="minorEastAsia" w:cstheme="minorBidi"/>
                <w:noProof/>
                <w:kern w:val="2"/>
                <w:sz w:val="24"/>
                <w:szCs w:val="24"/>
                <w14:ligatures w14:val="standardContextual"/>
              </w:rPr>
              <w:tab/>
            </w:r>
            <w:r w:rsidRPr="00CF704D">
              <w:rPr>
                <w:rStyle w:val="Hyperlink"/>
                <w:rFonts w:cs="Arial"/>
                <w:noProof/>
              </w:rPr>
              <w:t>Third Parties.</w:t>
            </w:r>
            <w:r>
              <w:rPr>
                <w:noProof/>
                <w:webHidden/>
              </w:rPr>
              <w:tab/>
            </w:r>
            <w:r>
              <w:rPr>
                <w:noProof/>
                <w:webHidden/>
              </w:rPr>
              <w:fldChar w:fldCharType="begin"/>
            </w:r>
            <w:r>
              <w:rPr>
                <w:noProof/>
                <w:webHidden/>
              </w:rPr>
              <w:instrText xml:space="preserve"> PAGEREF _Toc227840775 \h </w:instrText>
            </w:r>
            <w:r>
              <w:rPr>
                <w:noProof/>
                <w:webHidden/>
              </w:rPr>
            </w:r>
            <w:r>
              <w:rPr>
                <w:noProof/>
                <w:webHidden/>
              </w:rPr>
              <w:fldChar w:fldCharType="separate"/>
            </w:r>
            <w:r>
              <w:rPr>
                <w:noProof/>
                <w:webHidden/>
              </w:rPr>
              <w:t>73</w:t>
            </w:r>
            <w:r>
              <w:rPr>
                <w:noProof/>
                <w:webHidden/>
              </w:rPr>
              <w:fldChar w:fldCharType="end"/>
            </w:r>
          </w:hyperlink>
        </w:p>
        <w:p w:rsidR="00CC5F3E" w:rsidRDefault="00CC5F3E" w14:paraId="68AD6831" w14:textId="139CB47D">
          <w:pPr>
            <w:pStyle w:val="TOC2"/>
            <w:rPr>
              <w:rFonts w:asciiTheme="minorHAnsi" w:hAnsiTheme="minorHAnsi" w:eastAsiaTheme="minorEastAsia" w:cstheme="minorBidi"/>
              <w:noProof/>
              <w:kern w:val="2"/>
              <w:sz w:val="24"/>
              <w:szCs w:val="24"/>
              <w14:ligatures w14:val="standardContextual"/>
            </w:rPr>
          </w:pPr>
          <w:hyperlink w:history="1" w:anchor="_Toc227840776">
            <w:r w:rsidRPr="00CF704D">
              <w:rPr>
                <w:rStyle w:val="Hyperlink"/>
                <w:rFonts w:eastAsia="PMingLiU" w:cs="Arial"/>
                <w:caps/>
                <w:noProof/>
                <w:specVanish/>
              </w:rPr>
              <w:t>20.13</w:t>
            </w:r>
            <w:r>
              <w:rPr>
                <w:rFonts w:asciiTheme="minorHAnsi" w:hAnsiTheme="minorHAnsi" w:eastAsiaTheme="minorEastAsia" w:cstheme="minorBidi"/>
                <w:noProof/>
                <w:kern w:val="2"/>
                <w:sz w:val="24"/>
                <w:szCs w:val="24"/>
                <w14:ligatures w14:val="standardContextual"/>
              </w:rPr>
              <w:tab/>
            </w:r>
            <w:r w:rsidRPr="00CF704D">
              <w:rPr>
                <w:rStyle w:val="Hyperlink"/>
                <w:rFonts w:cs="Arial"/>
                <w:noProof/>
              </w:rPr>
              <w:t>Agency.</w:t>
            </w:r>
            <w:r>
              <w:rPr>
                <w:noProof/>
                <w:webHidden/>
              </w:rPr>
              <w:tab/>
            </w:r>
            <w:r>
              <w:rPr>
                <w:noProof/>
                <w:webHidden/>
              </w:rPr>
              <w:fldChar w:fldCharType="begin"/>
            </w:r>
            <w:r>
              <w:rPr>
                <w:noProof/>
                <w:webHidden/>
              </w:rPr>
              <w:instrText xml:space="preserve"> PAGEREF _Toc227840776 \h </w:instrText>
            </w:r>
            <w:r>
              <w:rPr>
                <w:noProof/>
                <w:webHidden/>
              </w:rPr>
            </w:r>
            <w:r>
              <w:rPr>
                <w:noProof/>
                <w:webHidden/>
              </w:rPr>
              <w:fldChar w:fldCharType="separate"/>
            </w:r>
            <w:r>
              <w:rPr>
                <w:noProof/>
                <w:webHidden/>
              </w:rPr>
              <w:t>73</w:t>
            </w:r>
            <w:r>
              <w:rPr>
                <w:noProof/>
                <w:webHidden/>
              </w:rPr>
              <w:fldChar w:fldCharType="end"/>
            </w:r>
          </w:hyperlink>
        </w:p>
        <w:p w:rsidR="00CC5F3E" w:rsidRDefault="00CC5F3E" w14:paraId="5F831D61" w14:textId="0561E30B">
          <w:pPr>
            <w:pStyle w:val="TOC2"/>
            <w:rPr>
              <w:rFonts w:asciiTheme="minorHAnsi" w:hAnsiTheme="minorHAnsi" w:eastAsiaTheme="minorEastAsia" w:cstheme="minorBidi"/>
              <w:noProof/>
              <w:kern w:val="2"/>
              <w:sz w:val="24"/>
              <w:szCs w:val="24"/>
              <w14:ligatures w14:val="standardContextual"/>
            </w:rPr>
          </w:pPr>
          <w:hyperlink w:history="1" w:anchor="_Toc227840777">
            <w:r w:rsidRPr="00CF704D">
              <w:rPr>
                <w:rStyle w:val="Hyperlink"/>
                <w:rFonts w:eastAsia="PMingLiU" w:cs="Arial"/>
                <w:caps/>
                <w:noProof/>
                <w:specVanish/>
              </w:rPr>
              <w:t>20.14</w:t>
            </w:r>
            <w:r>
              <w:rPr>
                <w:rFonts w:asciiTheme="minorHAnsi" w:hAnsiTheme="minorHAnsi" w:eastAsiaTheme="minorEastAsia" w:cstheme="minorBidi"/>
                <w:noProof/>
                <w:kern w:val="2"/>
                <w:sz w:val="24"/>
                <w:szCs w:val="24"/>
                <w14:ligatures w14:val="standardContextual"/>
              </w:rPr>
              <w:tab/>
            </w:r>
            <w:r w:rsidRPr="00CF704D">
              <w:rPr>
                <w:rStyle w:val="Hyperlink"/>
                <w:rFonts w:cs="Arial"/>
                <w:noProof/>
              </w:rPr>
              <w:t>Severability.</w:t>
            </w:r>
            <w:r>
              <w:rPr>
                <w:noProof/>
                <w:webHidden/>
              </w:rPr>
              <w:tab/>
            </w:r>
            <w:r>
              <w:rPr>
                <w:noProof/>
                <w:webHidden/>
              </w:rPr>
              <w:fldChar w:fldCharType="begin"/>
            </w:r>
            <w:r>
              <w:rPr>
                <w:noProof/>
                <w:webHidden/>
              </w:rPr>
              <w:instrText xml:space="preserve"> PAGEREF _Toc227840777 \h </w:instrText>
            </w:r>
            <w:r>
              <w:rPr>
                <w:noProof/>
                <w:webHidden/>
              </w:rPr>
            </w:r>
            <w:r>
              <w:rPr>
                <w:noProof/>
                <w:webHidden/>
              </w:rPr>
              <w:fldChar w:fldCharType="separate"/>
            </w:r>
            <w:r>
              <w:rPr>
                <w:noProof/>
                <w:webHidden/>
              </w:rPr>
              <w:t>73</w:t>
            </w:r>
            <w:r>
              <w:rPr>
                <w:noProof/>
                <w:webHidden/>
              </w:rPr>
              <w:fldChar w:fldCharType="end"/>
            </w:r>
          </w:hyperlink>
        </w:p>
        <w:p w:rsidR="00CC5F3E" w:rsidRDefault="00CC5F3E" w14:paraId="440AFC90" w14:textId="6AF50F86">
          <w:pPr>
            <w:pStyle w:val="TOC2"/>
            <w:rPr>
              <w:rFonts w:asciiTheme="minorHAnsi" w:hAnsiTheme="minorHAnsi" w:eastAsiaTheme="minorEastAsia" w:cstheme="minorBidi"/>
              <w:noProof/>
              <w:kern w:val="2"/>
              <w:sz w:val="24"/>
              <w:szCs w:val="24"/>
              <w14:ligatures w14:val="standardContextual"/>
            </w:rPr>
          </w:pPr>
          <w:hyperlink w:history="1" w:anchor="_Toc227840778">
            <w:r w:rsidRPr="00CF704D">
              <w:rPr>
                <w:rStyle w:val="Hyperlink"/>
                <w:rFonts w:eastAsia="PMingLiU" w:cs="Arial"/>
                <w:caps/>
                <w:noProof/>
                <w:specVanish/>
              </w:rPr>
              <w:t>20.15</w:t>
            </w:r>
            <w:r>
              <w:rPr>
                <w:rFonts w:asciiTheme="minorHAnsi" w:hAnsiTheme="minorHAnsi" w:eastAsiaTheme="minorEastAsia" w:cstheme="minorBidi"/>
                <w:noProof/>
                <w:kern w:val="2"/>
                <w:sz w:val="24"/>
                <w:szCs w:val="24"/>
                <w14:ligatures w14:val="standardContextual"/>
              </w:rPr>
              <w:tab/>
            </w:r>
            <w:r w:rsidRPr="00CF704D">
              <w:rPr>
                <w:rStyle w:val="Hyperlink"/>
                <w:rFonts w:cs="Arial"/>
                <w:noProof/>
              </w:rPr>
              <w:t>Negotiated Agreement.</w:t>
            </w:r>
            <w:r>
              <w:rPr>
                <w:noProof/>
                <w:webHidden/>
              </w:rPr>
              <w:tab/>
            </w:r>
            <w:r>
              <w:rPr>
                <w:noProof/>
                <w:webHidden/>
              </w:rPr>
              <w:fldChar w:fldCharType="begin"/>
            </w:r>
            <w:r>
              <w:rPr>
                <w:noProof/>
                <w:webHidden/>
              </w:rPr>
              <w:instrText xml:space="preserve"> PAGEREF _Toc227840778 \h </w:instrText>
            </w:r>
            <w:r>
              <w:rPr>
                <w:noProof/>
                <w:webHidden/>
              </w:rPr>
            </w:r>
            <w:r>
              <w:rPr>
                <w:noProof/>
                <w:webHidden/>
              </w:rPr>
              <w:fldChar w:fldCharType="separate"/>
            </w:r>
            <w:r>
              <w:rPr>
                <w:noProof/>
                <w:webHidden/>
              </w:rPr>
              <w:t>73</w:t>
            </w:r>
            <w:r>
              <w:rPr>
                <w:noProof/>
                <w:webHidden/>
              </w:rPr>
              <w:fldChar w:fldCharType="end"/>
            </w:r>
          </w:hyperlink>
        </w:p>
        <w:p w:rsidR="00CC5F3E" w:rsidRDefault="00CC5F3E" w14:paraId="7487F07C" w14:textId="75E90362">
          <w:pPr>
            <w:pStyle w:val="TOC2"/>
            <w:rPr>
              <w:rFonts w:asciiTheme="minorHAnsi" w:hAnsiTheme="minorHAnsi" w:eastAsiaTheme="minorEastAsia" w:cstheme="minorBidi"/>
              <w:noProof/>
              <w:kern w:val="2"/>
              <w:sz w:val="24"/>
              <w:szCs w:val="24"/>
              <w14:ligatures w14:val="standardContextual"/>
            </w:rPr>
          </w:pPr>
          <w:hyperlink w:history="1" w:anchor="_Toc227840779">
            <w:r w:rsidRPr="00CF704D">
              <w:rPr>
                <w:rStyle w:val="Hyperlink"/>
                <w:rFonts w:eastAsia="PMingLiU" w:cs="Arial"/>
                <w:caps/>
                <w:noProof/>
                <w:specVanish/>
              </w:rPr>
              <w:t>20.16</w:t>
            </w:r>
            <w:r>
              <w:rPr>
                <w:rFonts w:asciiTheme="minorHAnsi" w:hAnsiTheme="minorHAnsi" w:eastAsiaTheme="minorEastAsia" w:cstheme="minorBidi"/>
                <w:noProof/>
                <w:kern w:val="2"/>
                <w:sz w:val="24"/>
                <w:szCs w:val="24"/>
                <w14:ligatures w14:val="standardContextual"/>
              </w:rPr>
              <w:tab/>
            </w:r>
            <w:r w:rsidRPr="00CF704D">
              <w:rPr>
                <w:rStyle w:val="Hyperlink"/>
                <w:rFonts w:cs="Arial"/>
                <w:noProof/>
              </w:rPr>
              <w:t>Confidentiality.</w:t>
            </w:r>
            <w:r>
              <w:rPr>
                <w:noProof/>
                <w:webHidden/>
              </w:rPr>
              <w:tab/>
            </w:r>
            <w:r>
              <w:rPr>
                <w:noProof/>
                <w:webHidden/>
              </w:rPr>
              <w:fldChar w:fldCharType="begin"/>
            </w:r>
            <w:r>
              <w:rPr>
                <w:noProof/>
                <w:webHidden/>
              </w:rPr>
              <w:instrText xml:space="preserve"> PAGEREF _Toc227840779 \h </w:instrText>
            </w:r>
            <w:r>
              <w:rPr>
                <w:noProof/>
                <w:webHidden/>
              </w:rPr>
            </w:r>
            <w:r>
              <w:rPr>
                <w:noProof/>
                <w:webHidden/>
              </w:rPr>
              <w:fldChar w:fldCharType="separate"/>
            </w:r>
            <w:r>
              <w:rPr>
                <w:noProof/>
                <w:webHidden/>
              </w:rPr>
              <w:t>73</w:t>
            </w:r>
            <w:r>
              <w:rPr>
                <w:noProof/>
                <w:webHidden/>
              </w:rPr>
              <w:fldChar w:fldCharType="end"/>
            </w:r>
          </w:hyperlink>
        </w:p>
        <w:p w:rsidR="00CC5F3E" w:rsidRDefault="00CC5F3E" w14:paraId="1E21AC86" w14:textId="641D2F85">
          <w:pPr>
            <w:pStyle w:val="TOC2"/>
            <w:rPr>
              <w:rFonts w:asciiTheme="minorHAnsi" w:hAnsiTheme="minorHAnsi" w:eastAsiaTheme="minorEastAsia" w:cstheme="minorBidi"/>
              <w:noProof/>
              <w:kern w:val="2"/>
              <w:sz w:val="24"/>
              <w:szCs w:val="24"/>
              <w14:ligatures w14:val="standardContextual"/>
            </w:rPr>
          </w:pPr>
          <w:hyperlink w:history="1" w:anchor="_Toc227840780">
            <w:r w:rsidRPr="00CF704D">
              <w:rPr>
                <w:rStyle w:val="Hyperlink"/>
                <w:rFonts w:eastAsia="PMingLiU" w:cs="Arial"/>
                <w:caps/>
                <w:noProof/>
                <w:specVanish/>
              </w:rPr>
              <w:t>20.17</w:t>
            </w:r>
            <w:r>
              <w:rPr>
                <w:rFonts w:asciiTheme="minorHAnsi" w:hAnsiTheme="minorHAnsi" w:eastAsiaTheme="minorEastAsia" w:cstheme="minorBidi"/>
                <w:noProof/>
                <w:kern w:val="2"/>
                <w:sz w:val="24"/>
                <w:szCs w:val="24"/>
                <w14:ligatures w14:val="standardContextual"/>
              </w:rPr>
              <w:tab/>
            </w:r>
            <w:r w:rsidRPr="00CF704D">
              <w:rPr>
                <w:rStyle w:val="Hyperlink"/>
                <w:rFonts w:cs="Arial"/>
                <w:noProof/>
              </w:rPr>
              <w:t>Contract Interpretation.</w:t>
            </w:r>
            <w:r>
              <w:rPr>
                <w:noProof/>
                <w:webHidden/>
              </w:rPr>
              <w:tab/>
            </w:r>
            <w:r>
              <w:rPr>
                <w:noProof/>
                <w:webHidden/>
              </w:rPr>
              <w:fldChar w:fldCharType="begin"/>
            </w:r>
            <w:r>
              <w:rPr>
                <w:noProof/>
                <w:webHidden/>
              </w:rPr>
              <w:instrText xml:space="preserve"> PAGEREF _Toc227840780 \h </w:instrText>
            </w:r>
            <w:r>
              <w:rPr>
                <w:noProof/>
                <w:webHidden/>
              </w:rPr>
            </w:r>
            <w:r>
              <w:rPr>
                <w:noProof/>
                <w:webHidden/>
              </w:rPr>
              <w:fldChar w:fldCharType="separate"/>
            </w:r>
            <w:r>
              <w:rPr>
                <w:noProof/>
                <w:webHidden/>
              </w:rPr>
              <w:t>74</w:t>
            </w:r>
            <w:r>
              <w:rPr>
                <w:noProof/>
                <w:webHidden/>
              </w:rPr>
              <w:fldChar w:fldCharType="end"/>
            </w:r>
          </w:hyperlink>
        </w:p>
        <w:p w:rsidR="00CC5F3E" w:rsidRDefault="00CC5F3E" w14:paraId="0CE464AE" w14:textId="0F5050C7">
          <w:pPr>
            <w:pStyle w:val="TOC2"/>
            <w:rPr>
              <w:rFonts w:asciiTheme="minorHAnsi" w:hAnsiTheme="minorHAnsi" w:eastAsiaTheme="minorEastAsia" w:cstheme="minorBidi"/>
              <w:noProof/>
              <w:kern w:val="2"/>
              <w:sz w:val="24"/>
              <w:szCs w:val="24"/>
              <w14:ligatures w14:val="standardContextual"/>
            </w:rPr>
          </w:pPr>
          <w:hyperlink w:history="1" w:anchor="_Toc227840781">
            <w:r w:rsidRPr="00CF704D">
              <w:rPr>
                <w:rStyle w:val="Hyperlink"/>
                <w:rFonts w:eastAsia="PMingLiU" w:cs="Arial"/>
                <w:caps/>
                <w:noProof/>
                <w:specVanish/>
              </w:rPr>
              <w:t>20.18</w:t>
            </w:r>
            <w:r>
              <w:rPr>
                <w:rFonts w:asciiTheme="minorHAnsi" w:hAnsiTheme="minorHAnsi" w:eastAsiaTheme="minorEastAsia" w:cstheme="minorBidi"/>
                <w:noProof/>
                <w:kern w:val="2"/>
                <w:sz w:val="24"/>
                <w:szCs w:val="24"/>
                <w14:ligatures w14:val="standardContextual"/>
              </w:rPr>
              <w:tab/>
            </w:r>
            <w:r w:rsidRPr="00CF704D">
              <w:rPr>
                <w:rStyle w:val="Hyperlink"/>
                <w:rFonts w:cs="Arial"/>
                <w:noProof/>
              </w:rPr>
              <w:t>Replacement Index.</w:t>
            </w:r>
            <w:r>
              <w:rPr>
                <w:noProof/>
                <w:webHidden/>
              </w:rPr>
              <w:tab/>
            </w:r>
            <w:r>
              <w:rPr>
                <w:noProof/>
                <w:webHidden/>
              </w:rPr>
              <w:fldChar w:fldCharType="begin"/>
            </w:r>
            <w:r>
              <w:rPr>
                <w:noProof/>
                <w:webHidden/>
              </w:rPr>
              <w:instrText xml:space="preserve"> PAGEREF _Toc227840781 \h </w:instrText>
            </w:r>
            <w:r>
              <w:rPr>
                <w:noProof/>
                <w:webHidden/>
              </w:rPr>
            </w:r>
            <w:r>
              <w:rPr>
                <w:noProof/>
                <w:webHidden/>
              </w:rPr>
              <w:fldChar w:fldCharType="separate"/>
            </w:r>
            <w:r>
              <w:rPr>
                <w:noProof/>
                <w:webHidden/>
              </w:rPr>
              <w:t>74</w:t>
            </w:r>
            <w:r>
              <w:rPr>
                <w:noProof/>
                <w:webHidden/>
              </w:rPr>
              <w:fldChar w:fldCharType="end"/>
            </w:r>
          </w:hyperlink>
        </w:p>
        <w:p w:rsidR="00CC5F3E" w:rsidRDefault="00CC5F3E" w14:paraId="30F70C14" w14:textId="4CE93C2D">
          <w:pPr>
            <w:pStyle w:val="TOC2"/>
            <w:rPr>
              <w:rFonts w:asciiTheme="minorHAnsi" w:hAnsiTheme="minorHAnsi" w:eastAsiaTheme="minorEastAsia" w:cstheme="minorBidi"/>
              <w:noProof/>
              <w:kern w:val="2"/>
              <w:sz w:val="24"/>
              <w:szCs w:val="24"/>
              <w14:ligatures w14:val="standardContextual"/>
            </w:rPr>
          </w:pPr>
          <w:hyperlink w:history="1" w:anchor="_Toc227840782">
            <w:r w:rsidRPr="00CF704D">
              <w:rPr>
                <w:rStyle w:val="Hyperlink"/>
                <w:rFonts w:eastAsia="PMingLiU" w:cs="Arial"/>
                <w:caps/>
                <w:noProof/>
                <w:specVanish/>
              </w:rPr>
              <w:t>20.19</w:t>
            </w:r>
            <w:r>
              <w:rPr>
                <w:rFonts w:asciiTheme="minorHAnsi" w:hAnsiTheme="minorHAnsi" w:eastAsiaTheme="minorEastAsia" w:cstheme="minorBidi"/>
                <w:noProof/>
                <w:kern w:val="2"/>
                <w:sz w:val="24"/>
                <w:szCs w:val="24"/>
                <w14:ligatures w14:val="standardContextual"/>
              </w:rPr>
              <w:tab/>
            </w:r>
            <w:r w:rsidRPr="00CF704D">
              <w:rPr>
                <w:rStyle w:val="Hyperlink"/>
                <w:rFonts w:cs="Arial"/>
                <w:noProof/>
              </w:rPr>
              <w:t>Recording.</w:t>
            </w:r>
            <w:r>
              <w:rPr>
                <w:noProof/>
                <w:webHidden/>
              </w:rPr>
              <w:tab/>
            </w:r>
            <w:r>
              <w:rPr>
                <w:noProof/>
                <w:webHidden/>
              </w:rPr>
              <w:fldChar w:fldCharType="begin"/>
            </w:r>
            <w:r>
              <w:rPr>
                <w:noProof/>
                <w:webHidden/>
              </w:rPr>
              <w:instrText xml:space="preserve"> PAGEREF _Toc227840782 \h </w:instrText>
            </w:r>
            <w:r>
              <w:rPr>
                <w:noProof/>
                <w:webHidden/>
              </w:rPr>
            </w:r>
            <w:r>
              <w:rPr>
                <w:noProof/>
                <w:webHidden/>
              </w:rPr>
              <w:fldChar w:fldCharType="separate"/>
            </w:r>
            <w:r>
              <w:rPr>
                <w:noProof/>
                <w:webHidden/>
              </w:rPr>
              <w:t>74</w:t>
            </w:r>
            <w:r>
              <w:rPr>
                <w:noProof/>
                <w:webHidden/>
              </w:rPr>
              <w:fldChar w:fldCharType="end"/>
            </w:r>
          </w:hyperlink>
        </w:p>
        <w:p w:rsidR="00CC5F3E" w:rsidRDefault="00CC5F3E" w14:paraId="10971CD5" w14:textId="30540C73">
          <w:pPr>
            <w:pStyle w:val="TOC2"/>
            <w:rPr>
              <w:rFonts w:asciiTheme="minorHAnsi" w:hAnsiTheme="minorHAnsi" w:eastAsiaTheme="minorEastAsia" w:cstheme="minorBidi"/>
              <w:noProof/>
              <w:kern w:val="2"/>
              <w:sz w:val="24"/>
              <w:szCs w:val="24"/>
              <w14:ligatures w14:val="standardContextual"/>
            </w:rPr>
          </w:pPr>
          <w:hyperlink w:history="1" w:anchor="_Toc227840783">
            <w:r w:rsidRPr="00CF704D">
              <w:rPr>
                <w:rStyle w:val="Hyperlink"/>
                <w:rFonts w:eastAsia="PMingLiU" w:cs="Arial"/>
                <w:caps/>
                <w:noProof/>
                <w:specVanish/>
              </w:rPr>
              <w:t>20.20</w:t>
            </w:r>
            <w:r>
              <w:rPr>
                <w:rFonts w:asciiTheme="minorHAnsi" w:hAnsiTheme="minorHAnsi" w:eastAsiaTheme="minorEastAsia" w:cstheme="minorBidi"/>
                <w:noProof/>
                <w:kern w:val="2"/>
                <w:sz w:val="24"/>
                <w:szCs w:val="24"/>
                <w14:ligatures w14:val="standardContextual"/>
              </w:rPr>
              <w:tab/>
            </w:r>
            <w:r w:rsidRPr="00CF704D">
              <w:rPr>
                <w:rStyle w:val="Hyperlink"/>
                <w:rFonts w:cs="Arial"/>
                <w:noProof/>
              </w:rPr>
              <w:t>Further Assurances.</w:t>
            </w:r>
            <w:r>
              <w:rPr>
                <w:noProof/>
                <w:webHidden/>
              </w:rPr>
              <w:tab/>
            </w:r>
            <w:r>
              <w:rPr>
                <w:noProof/>
                <w:webHidden/>
              </w:rPr>
              <w:fldChar w:fldCharType="begin"/>
            </w:r>
            <w:r>
              <w:rPr>
                <w:noProof/>
                <w:webHidden/>
              </w:rPr>
              <w:instrText xml:space="preserve"> PAGEREF _Toc227840783 \h </w:instrText>
            </w:r>
            <w:r>
              <w:rPr>
                <w:noProof/>
                <w:webHidden/>
              </w:rPr>
            </w:r>
            <w:r>
              <w:rPr>
                <w:noProof/>
                <w:webHidden/>
              </w:rPr>
              <w:fldChar w:fldCharType="separate"/>
            </w:r>
            <w:r>
              <w:rPr>
                <w:noProof/>
                <w:webHidden/>
              </w:rPr>
              <w:t>75</w:t>
            </w:r>
            <w:r>
              <w:rPr>
                <w:noProof/>
                <w:webHidden/>
              </w:rPr>
              <w:fldChar w:fldCharType="end"/>
            </w:r>
          </w:hyperlink>
        </w:p>
        <w:p w:rsidR="00CC5F3E" w:rsidRDefault="00CC5F3E" w14:paraId="1039C863" w14:textId="5D62FF14">
          <w:pPr>
            <w:pStyle w:val="TOC2"/>
            <w:rPr>
              <w:rFonts w:asciiTheme="minorHAnsi" w:hAnsiTheme="minorHAnsi" w:eastAsiaTheme="minorEastAsia" w:cstheme="minorBidi"/>
              <w:noProof/>
              <w:kern w:val="2"/>
              <w:sz w:val="24"/>
              <w:szCs w:val="24"/>
              <w14:ligatures w14:val="standardContextual"/>
            </w:rPr>
          </w:pPr>
          <w:hyperlink w:history="1" w:anchor="_Toc227840784">
            <w:r w:rsidRPr="00CF704D">
              <w:rPr>
                <w:rStyle w:val="Hyperlink"/>
                <w:rFonts w:eastAsia="PMingLiU" w:cs="Arial"/>
                <w:caps/>
                <w:noProof/>
                <w:specVanish/>
              </w:rPr>
              <w:t>20.21</w:t>
            </w:r>
            <w:r>
              <w:rPr>
                <w:rFonts w:asciiTheme="minorHAnsi" w:hAnsiTheme="minorHAnsi" w:eastAsiaTheme="minorEastAsia" w:cstheme="minorBidi"/>
                <w:noProof/>
                <w:kern w:val="2"/>
                <w:sz w:val="24"/>
                <w:szCs w:val="24"/>
                <w14:ligatures w14:val="standardContextual"/>
              </w:rPr>
              <w:tab/>
            </w:r>
            <w:r w:rsidRPr="00CF704D">
              <w:rPr>
                <w:rStyle w:val="Hyperlink"/>
                <w:rFonts w:cs="Arial"/>
                <w:noProof/>
              </w:rPr>
              <w:t>Transfer of Information Acknowledgement.</w:t>
            </w:r>
            <w:r>
              <w:rPr>
                <w:noProof/>
                <w:webHidden/>
              </w:rPr>
              <w:tab/>
            </w:r>
            <w:r>
              <w:rPr>
                <w:noProof/>
                <w:webHidden/>
              </w:rPr>
              <w:fldChar w:fldCharType="begin"/>
            </w:r>
            <w:r>
              <w:rPr>
                <w:noProof/>
                <w:webHidden/>
              </w:rPr>
              <w:instrText xml:space="preserve"> PAGEREF _Toc227840784 \h </w:instrText>
            </w:r>
            <w:r>
              <w:rPr>
                <w:noProof/>
                <w:webHidden/>
              </w:rPr>
            </w:r>
            <w:r>
              <w:rPr>
                <w:noProof/>
                <w:webHidden/>
              </w:rPr>
              <w:fldChar w:fldCharType="separate"/>
            </w:r>
            <w:r>
              <w:rPr>
                <w:noProof/>
                <w:webHidden/>
              </w:rPr>
              <w:t>75</w:t>
            </w:r>
            <w:r>
              <w:rPr>
                <w:noProof/>
                <w:webHidden/>
              </w:rPr>
              <w:fldChar w:fldCharType="end"/>
            </w:r>
          </w:hyperlink>
        </w:p>
        <w:p w:rsidR="00CC5F3E" w:rsidRDefault="00CC5F3E" w14:paraId="13C92980" w14:textId="7880D5E0">
          <w:pPr>
            <w:pStyle w:val="TOC2"/>
            <w:rPr>
              <w:rFonts w:asciiTheme="minorHAnsi" w:hAnsiTheme="minorHAnsi" w:eastAsiaTheme="minorEastAsia" w:cstheme="minorBidi"/>
              <w:noProof/>
              <w:kern w:val="2"/>
              <w:sz w:val="24"/>
              <w:szCs w:val="24"/>
              <w14:ligatures w14:val="standardContextual"/>
            </w:rPr>
          </w:pPr>
          <w:hyperlink w:history="1" w:anchor="_Toc227840785">
            <w:r w:rsidRPr="00CF704D">
              <w:rPr>
                <w:rStyle w:val="Hyperlink"/>
                <w:caps/>
                <w:noProof/>
                <w:specVanish/>
              </w:rPr>
              <w:t>20.22</w:t>
            </w:r>
            <w:r>
              <w:rPr>
                <w:rFonts w:asciiTheme="minorHAnsi" w:hAnsiTheme="minorHAnsi" w:eastAsiaTheme="minorEastAsia" w:cstheme="minorBidi"/>
                <w:noProof/>
                <w:kern w:val="2"/>
                <w:sz w:val="24"/>
                <w:szCs w:val="24"/>
                <w14:ligatures w14:val="standardContextual"/>
              </w:rPr>
              <w:tab/>
            </w:r>
            <w:r w:rsidRPr="00CF704D">
              <w:rPr>
                <w:rStyle w:val="Hyperlink"/>
                <w:noProof/>
              </w:rPr>
              <w:t>Service Contract.</w:t>
            </w:r>
            <w:r>
              <w:rPr>
                <w:noProof/>
                <w:webHidden/>
              </w:rPr>
              <w:tab/>
            </w:r>
            <w:r>
              <w:rPr>
                <w:noProof/>
                <w:webHidden/>
              </w:rPr>
              <w:fldChar w:fldCharType="begin"/>
            </w:r>
            <w:r>
              <w:rPr>
                <w:noProof/>
                <w:webHidden/>
              </w:rPr>
              <w:instrText xml:space="preserve"> PAGEREF _Toc227840785 \h </w:instrText>
            </w:r>
            <w:r>
              <w:rPr>
                <w:noProof/>
                <w:webHidden/>
              </w:rPr>
            </w:r>
            <w:r>
              <w:rPr>
                <w:noProof/>
                <w:webHidden/>
              </w:rPr>
              <w:fldChar w:fldCharType="separate"/>
            </w:r>
            <w:r>
              <w:rPr>
                <w:noProof/>
                <w:webHidden/>
              </w:rPr>
              <w:t>75</w:t>
            </w:r>
            <w:r>
              <w:rPr>
                <w:noProof/>
                <w:webHidden/>
              </w:rPr>
              <w:fldChar w:fldCharType="end"/>
            </w:r>
          </w:hyperlink>
        </w:p>
        <w:p w:rsidR="00CC5F3E" w:rsidRDefault="00CC5F3E" w14:paraId="2749DB6F" w14:textId="0AB6C109">
          <w:pPr>
            <w:pStyle w:val="TOC1"/>
            <w:rPr>
              <w:rFonts w:asciiTheme="minorHAnsi" w:hAnsiTheme="minorHAnsi" w:eastAsiaTheme="minorEastAsia" w:cstheme="minorBidi"/>
              <w:b w:val="0"/>
              <w:caps w:val="0"/>
              <w:noProof/>
              <w:kern w:val="2"/>
              <w:sz w:val="24"/>
              <w:szCs w:val="24"/>
              <w14:ligatures w14:val="standardContextual"/>
            </w:rPr>
          </w:pPr>
          <w:hyperlink w:history="1" w:anchor="_Toc227840786">
            <w:r w:rsidRPr="00CF704D">
              <w:rPr>
                <w:rStyle w:val="Hyperlink"/>
                <w:noProof/>
              </w:rPr>
              <w:t>Exhibit A – Facility Description and Additional Details</w:t>
            </w:r>
            <w:r>
              <w:rPr>
                <w:noProof/>
                <w:webHidden/>
              </w:rPr>
              <w:tab/>
            </w:r>
            <w:r>
              <w:rPr>
                <w:noProof/>
                <w:webHidden/>
              </w:rPr>
              <w:fldChar w:fldCharType="begin"/>
            </w:r>
            <w:r>
              <w:rPr>
                <w:noProof/>
                <w:webHidden/>
              </w:rPr>
              <w:instrText xml:space="preserve"> PAGEREF _Toc227840786 \h </w:instrText>
            </w:r>
            <w:r>
              <w:rPr>
                <w:noProof/>
                <w:webHidden/>
              </w:rPr>
            </w:r>
            <w:r>
              <w:rPr>
                <w:noProof/>
                <w:webHidden/>
              </w:rPr>
              <w:fldChar w:fldCharType="separate"/>
            </w:r>
            <w:r>
              <w:rPr>
                <w:noProof/>
                <w:webHidden/>
              </w:rPr>
              <w:t>77</w:t>
            </w:r>
            <w:r>
              <w:rPr>
                <w:noProof/>
                <w:webHidden/>
              </w:rPr>
              <w:fldChar w:fldCharType="end"/>
            </w:r>
          </w:hyperlink>
        </w:p>
        <w:p w:rsidR="00CC5F3E" w:rsidRDefault="00CC5F3E" w14:paraId="5773F32F" w14:textId="5A0F012C">
          <w:pPr>
            <w:pStyle w:val="TOC1"/>
            <w:rPr>
              <w:rFonts w:asciiTheme="minorHAnsi" w:hAnsiTheme="minorHAnsi" w:eastAsiaTheme="minorEastAsia" w:cstheme="minorBidi"/>
              <w:b w:val="0"/>
              <w:caps w:val="0"/>
              <w:noProof/>
              <w:kern w:val="2"/>
              <w:sz w:val="24"/>
              <w:szCs w:val="24"/>
              <w14:ligatures w14:val="standardContextual"/>
            </w:rPr>
          </w:pPr>
          <w:hyperlink w:history="1" w:anchor="_Toc227840787">
            <w:r w:rsidRPr="00CF704D">
              <w:rPr>
                <w:rStyle w:val="Hyperlink"/>
                <w:noProof/>
              </w:rPr>
              <w:t>Exhibit A-1 – Key Milestones and Required Key Milestone Dates</w:t>
            </w:r>
            <w:r>
              <w:rPr>
                <w:noProof/>
                <w:webHidden/>
              </w:rPr>
              <w:tab/>
            </w:r>
            <w:r>
              <w:rPr>
                <w:noProof/>
                <w:webHidden/>
              </w:rPr>
              <w:fldChar w:fldCharType="begin"/>
            </w:r>
            <w:r>
              <w:rPr>
                <w:noProof/>
                <w:webHidden/>
              </w:rPr>
              <w:instrText xml:space="preserve"> PAGEREF _Toc227840787 \h </w:instrText>
            </w:r>
            <w:r>
              <w:rPr>
                <w:noProof/>
                <w:webHidden/>
              </w:rPr>
            </w:r>
            <w:r>
              <w:rPr>
                <w:noProof/>
                <w:webHidden/>
              </w:rPr>
              <w:fldChar w:fldCharType="separate"/>
            </w:r>
            <w:r>
              <w:rPr>
                <w:noProof/>
                <w:webHidden/>
              </w:rPr>
              <w:t>79</w:t>
            </w:r>
            <w:r>
              <w:rPr>
                <w:noProof/>
                <w:webHidden/>
              </w:rPr>
              <w:fldChar w:fldCharType="end"/>
            </w:r>
          </w:hyperlink>
        </w:p>
        <w:p w:rsidR="00CC5F3E" w:rsidRDefault="00CC5F3E" w14:paraId="16454551" w14:textId="5CCDB31E">
          <w:pPr>
            <w:pStyle w:val="TOC1"/>
            <w:rPr>
              <w:rFonts w:asciiTheme="minorHAnsi" w:hAnsiTheme="minorHAnsi" w:eastAsiaTheme="minorEastAsia" w:cstheme="minorBidi"/>
              <w:b w:val="0"/>
              <w:caps w:val="0"/>
              <w:noProof/>
              <w:kern w:val="2"/>
              <w:sz w:val="24"/>
              <w:szCs w:val="24"/>
              <w14:ligatures w14:val="standardContextual"/>
            </w:rPr>
          </w:pPr>
          <w:hyperlink w:history="1" w:anchor="_Toc227840788">
            <w:r w:rsidRPr="00CF704D">
              <w:rPr>
                <w:rStyle w:val="Hyperlink"/>
                <w:noProof/>
              </w:rPr>
              <w:t>Exhibit A-2 – Performance Security and Liquidated Damages</w:t>
            </w:r>
            <w:r>
              <w:rPr>
                <w:noProof/>
                <w:webHidden/>
              </w:rPr>
              <w:tab/>
            </w:r>
            <w:r>
              <w:rPr>
                <w:noProof/>
                <w:webHidden/>
              </w:rPr>
              <w:fldChar w:fldCharType="begin"/>
            </w:r>
            <w:r>
              <w:rPr>
                <w:noProof/>
                <w:webHidden/>
              </w:rPr>
              <w:instrText xml:space="preserve"> PAGEREF _Toc227840788 \h </w:instrText>
            </w:r>
            <w:r>
              <w:rPr>
                <w:noProof/>
                <w:webHidden/>
              </w:rPr>
            </w:r>
            <w:r>
              <w:rPr>
                <w:noProof/>
                <w:webHidden/>
              </w:rPr>
              <w:fldChar w:fldCharType="separate"/>
            </w:r>
            <w:r>
              <w:rPr>
                <w:noProof/>
                <w:webHidden/>
              </w:rPr>
              <w:t>82</w:t>
            </w:r>
            <w:r>
              <w:rPr>
                <w:noProof/>
                <w:webHidden/>
              </w:rPr>
              <w:fldChar w:fldCharType="end"/>
            </w:r>
          </w:hyperlink>
        </w:p>
        <w:p w:rsidR="00CC5F3E" w:rsidRDefault="00CC5F3E" w14:paraId="7A80F5D6" w14:textId="4CB595BE">
          <w:pPr>
            <w:pStyle w:val="TOC1"/>
            <w:rPr>
              <w:rFonts w:asciiTheme="minorHAnsi" w:hAnsiTheme="minorHAnsi" w:eastAsiaTheme="minorEastAsia" w:cstheme="minorBidi"/>
              <w:b w:val="0"/>
              <w:caps w:val="0"/>
              <w:noProof/>
              <w:kern w:val="2"/>
              <w:sz w:val="24"/>
              <w:szCs w:val="24"/>
              <w14:ligatures w14:val="standardContextual"/>
            </w:rPr>
          </w:pPr>
          <w:hyperlink w:history="1" w:anchor="_Toc227840789">
            <w:r w:rsidRPr="00CF704D">
              <w:rPr>
                <w:rStyle w:val="Hyperlink"/>
                <w:noProof/>
              </w:rPr>
              <w:t>Exhibit B – Capacity; Capacity Payments and Payment Reductions; BuyDown</w:t>
            </w:r>
            <w:r>
              <w:rPr>
                <w:noProof/>
                <w:webHidden/>
              </w:rPr>
              <w:tab/>
            </w:r>
            <w:r>
              <w:rPr>
                <w:noProof/>
                <w:webHidden/>
              </w:rPr>
              <w:fldChar w:fldCharType="begin"/>
            </w:r>
            <w:r>
              <w:rPr>
                <w:noProof/>
                <w:webHidden/>
              </w:rPr>
              <w:instrText xml:space="preserve"> PAGEREF _Toc227840789 \h </w:instrText>
            </w:r>
            <w:r>
              <w:rPr>
                <w:noProof/>
                <w:webHidden/>
              </w:rPr>
            </w:r>
            <w:r>
              <w:rPr>
                <w:noProof/>
                <w:webHidden/>
              </w:rPr>
              <w:fldChar w:fldCharType="separate"/>
            </w:r>
            <w:r>
              <w:rPr>
                <w:noProof/>
                <w:webHidden/>
              </w:rPr>
              <w:t>83</w:t>
            </w:r>
            <w:r>
              <w:rPr>
                <w:noProof/>
                <w:webHidden/>
              </w:rPr>
              <w:fldChar w:fldCharType="end"/>
            </w:r>
          </w:hyperlink>
        </w:p>
        <w:p w:rsidR="00CC5F3E" w:rsidRDefault="00CC5F3E" w14:paraId="40640289" w14:textId="121D5DDF">
          <w:pPr>
            <w:pStyle w:val="TOC1"/>
            <w:rPr>
              <w:rFonts w:asciiTheme="minorHAnsi" w:hAnsiTheme="minorHAnsi" w:eastAsiaTheme="minorEastAsia" w:cstheme="minorBidi"/>
              <w:b w:val="0"/>
              <w:caps w:val="0"/>
              <w:noProof/>
              <w:kern w:val="2"/>
              <w:sz w:val="24"/>
              <w:szCs w:val="24"/>
              <w14:ligatures w14:val="standardContextual"/>
            </w:rPr>
          </w:pPr>
          <w:hyperlink w:history="1" w:anchor="_Toc227840790">
            <w:r w:rsidRPr="00CF704D">
              <w:rPr>
                <w:rStyle w:val="Hyperlink"/>
                <w:noProof/>
              </w:rPr>
              <w:t>Exhibit C – Energy Payment Calculation</w:t>
            </w:r>
            <w:r>
              <w:rPr>
                <w:noProof/>
                <w:webHidden/>
              </w:rPr>
              <w:tab/>
            </w:r>
            <w:r>
              <w:rPr>
                <w:noProof/>
                <w:webHidden/>
              </w:rPr>
              <w:fldChar w:fldCharType="begin"/>
            </w:r>
            <w:r>
              <w:rPr>
                <w:noProof/>
                <w:webHidden/>
              </w:rPr>
              <w:instrText xml:space="preserve"> PAGEREF _Toc227840790 \h </w:instrText>
            </w:r>
            <w:r>
              <w:rPr>
                <w:noProof/>
                <w:webHidden/>
              </w:rPr>
            </w:r>
            <w:r>
              <w:rPr>
                <w:noProof/>
                <w:webHidden/>
              </w:rPr>
              <w:fldChar w:fldCharType="separate"/>
            </w:r>
            <w:r>
              <w:rPr>
                <w:noProof/>
                <w:webHidden/>
              </w:rPr>
              <w:t>94</w:t>
            </w:r>
            <w:r>
              <w:rPr>
                <w:noProof/>
                <w:webHidden/>
              </w:rPr>
              <w:fldChar w:fldCharType="end"/>
            </w:r>
          </w:hyperlink>
        </w:p>
        <w:p w:rsidR="00CC5F3E" w:rsidRDefault="00CC5F3E" w14:paraId="57C21BE8" w14:textId="1DE5EE41">
          <w:pPr>
            <w:pStyle w:val="TOC1"/>
            <w:rPr>
              <w:rFonts w:asciiTheme="minorHAnsi" w:hAnsiTheme="minorHAnsi" w:eastAsiaTheme="minorEastAsia" w:cstheme="minorBidi"/>
              <w:b w:val="0"/>
              <w:caps w:val="0"/>
              <w:noProof/>
              <w:kern w:val="2"/>
              <w:sz w:val="24"/>
              <w:szCs w:val="24"/>
              <w14:ligatures w14:val="standardContextual"/>
            </w:rPr>
          </w:pPr>
          <w:hyperlink w:history="1" w:anchor="_Toc227840791">
            <w:r w:rsidRPr="00CF704D">
              <w:rPr>
                <w:rStyle w:val="Hyperlink"/>
                <w:noProof/>
              </w:rPr>
              <w:t>Exhibit D – Technical Limits and Schedule Procedures</w:t>
            </w:r>
            <w:r>
              <w:rPr>
                <w:noProof/>
                <w:webHidden/>
              </w:rPr>
              <w:tab/>
            </w:r>
            <w:r>
              <w:rPr>
                <w:noProof/>
                <w:webHidden/>
              </w:rPr>
              <w:fldChar w:fldCharType="begin"/>
            </w:r>
            <w:r>
              <w:rPr>
                <w:noProof/>
                <w:webHidden/>
              </w:rPr>
              <w:instrText xml:space="preserve"> PAGEREF _Toc227840791 \h </w:instrText>
            </w:r>
            <w:r>
              <w:rPr>
                <w:noProof/>
                <w:webHidden/>
              </w:rPr>
            </w:r>
            <w:r>
              <w:rPr>
                <w:noProof/>
                <w:webHidden/>
              </w:rPr>
              <w:fldChar w:fldCharType="separate"/>
            </w:r>
            <w:r>
              <w:rPr>
                <w:noProof/>
                <w:webHidden/>
              </w:rPr>
              <w:t>99</w:t>
            </w:r>
            <w:r>
              <w:rPr>
                <w:noProof/>
                <w:webHidden/>
              </w:rPr>
              <w:fldChar w:fldCharType="end"/>
            </w:r>
          </w:hyperlink>
        </w:p>
        <w:p w:rsidR="00CC5F3E" w:rsidRDefault="00CC5F3E" w14:paraId="4CB580D3" w14:textId="17F83874">
          <w:pPr>
            <w:pStyle w:val="TOC1"/>
            <w:rPr>
              <w:rFonts w:asciiTheme="minorHAnsi" w:hAnsiTheme="minorHAnsi" w:eastAsiaTheme="minorEastAsia" w:cstheme="minorBidi"/>
              <w:b w:val="0"/>
              <w:caps w:val="0"/>
              <w:noProof/>
              <w:kern w:val="2"/>
              <w:sz w:val="24"/>
              <w:szCs w:val="24"/>
              <w14:ligatures w14:val="standardContextual"/>
            </w:rPr>
          </w:pPr>
          <w:hyperlink w:history="1" w:anchor="_Toc227840792">
            <w:r w:rsidRPr="00CF704D">
              <w:rPr>
                <w:rStyle w:val="Hyperlink"/>
                <w:noProof/>
              </w:rPr>
              <w:t>Exhibit E – Performance Testing Procedures</w:t>
            </w:r>
            <w:r>
              <w:rPr>
                <w:noProof/>
                <w:webHidden/>
              </w:rPr>
              <w:tab/>
            </w:r>
            <w:r>
              <w:rPr>
                <w:noProof/>
                <w:webHidden/>
              </w:rPr>
              <w:fldChar w:fldCharType="begin"/>
            </w:r>
            <w:r>
              <w:rPr>
                <w:noProof/>
                <w:webHidden/>
              </w:rPr>
              <w:instrText xml:space="preserve"> PAGEREF _Toc227840792 \h </w:instrText>
            </w:r>
            <w:r>
              <w:rPr>
                <w:noProof/>
                <w:webHidden/>
              </w:rPr>
            </w:r>
            <w:r>
              <w:rPr>
                <w:noProof/>
                <w:webHidden/>
              </w:rPr>
              <w:fldChar w:fldCharType="separate"/>
            </w:r>
            <w:r>
              <w:rPr>
                <w:noProof/>
                <w:webHidden/>
              </w:rPr>
              <w:t>102</w:t>
            </w:r>
            <w:r>
              <w:rPr>
                <w:noProof/>
                <w:webHidden/>
              </w:rPr>
              <w:fldChar w:fldCharType="end"/>
            </w:r>
          </w:hyperlink>
        </w:p>
        <w:p w:rsidR="00CC5F3E" w:rsidRDefault="00CC5F3E" w14:paraId="6A1C0DEB" w14:textId="4B31EC9E">
          <w:pPr>
            <w:pStyle w:val="TOC1"/>
            <w:rPr>
              <w:rFonts w:asciiTheme="minorHAnsi" w:hAnsiTheme="minorHAnsi" w:eastAsiaTheme="minorEastAsia" w:cstheme="minorBidi"/>
              <w:b w:val="0"/>
              <w:caps w:val="0"/>
              <w:noProof/>
              <w:kern w:val="2"/>
              <w:sz w:val="24"/>
              <w:szCs w:val="24"/>
              <w14:ligatures w14:val="standardContextual"/>
            </w:rPr>
          </w:pPr>
          <w:hyperlink w:history="1" w:anchor="_Toc227840793">
            <w:r w:rsidRPr="00CF704D">
              <w:rPr>
                <w:rStyle w:val="Hyperlink"/>
                <w:noProof/>
              </w:rPr>
              <w:t>Exhibit F – Guaranteed Heat Rates</w:t>
            </w:r>
            <w:r>
              <w:rPr>
                <w:noProof/>
                <w:webHidden/>
              </w:rPr>
              <w:tab/>
            </w:r>
            <w:r>
              <w:rPr>
                <w:noProof/>
                <w:webHidden/>
              </w:rPr>
              <w:fldChar w:fldCharType="begin"/>
            </w:r>
            <w:r>
              <w:rPr>
                <w:noProof/>
                <w:webHidden/>
              </w:rPr>
              <w:instrText xml:space="preserve"> PAGEREF _Toc227840793 \h </w:instrText>
            </w:r>
            <w:r>
              <w:rPr>
                <w:noProof/>
                <w:webHidden/>
              </w:rPr>
            </w:r>
            <w:r>
              <w:rPr>
                <w:noProof/>
                <w:webHidden/>
              </w:rPr>
              <w:fldChar w:fldCharType="separate"/>
            </w:r>
            <w:r>
              <w:rPr>
                <w:noProof/>
                <w:webHidden/>
              </w:rPr>
              <w:t>105</w:t>
            </w:r>
            <w:r>
              <w:rPr>
                <w:noProof/>
                <w:webHidden/>
              </w:rPr>
              <w:fldChar w:fldCharType="end"/>
            </w:r>
          </w:hyperlink>
        </w:p>
        <w:p w:rsidR="00CC5F3E" w:rsidRDefault="00CC5F3E" w14:paraId="514EE675" w14:textId="5C3813D0">
          <w:pPr>
            <w:pStyle w:val="TOC1"/>
            <w:rPr>
              <w:rFonts w:asciiTheme="minorHAnsi" w:hAnsiTheme="minorHAnsi" w:eastAsiaTheme="minorEastAsia" w:cstheme="minorBidi"/>
              <w:b w:val="0"/>
              <w:caps w:val="0"/>
              <w:noProof/>
              <w:kern w:val="2"/>
              <w:sz w:val="24"/>
              <w:szCs w:val="24"/>
              <w14:ligatures w14:val="standardContextual"/>
            </w:rPr>
          </w:pPr>
          <w:hyperlink w:history="1" w:anchor="_Toc227840794">
            <w:r w:rsidRPr="00CF704D">
              <w:rPr>
                <w:rStyle w:val="Hyperlink"/>
                <w:noProof/>
              </w:rPr>
              <w:t>Exhibit G – Form of Guaranty</w:t>
            </w:r>
            <w:r>
              <w:rPr>
                <w:noProof/>
                <w:webHidden/>
              </w:rPr>
              <w:tab/>
            </w:r>
            <w:r>
              <w:rPr>
                <w:noProof/>
                <w:webHidden/>
              </w:rPr>
              <w:fldChar w:fldCharType="begin"/>
            </w:r>
            <w:r>
              <w:rPr>
                <w:noProof/>
                <w:webHidden/>
              </w:rPr>
              <w:instrText xml:space="preserve"> PAGEREF _Toc227840794 \h </w:instrText>
            </w:r>
            <w:r>
              <w:rPr>
                <w:noProof/>
                <w:webHidden/>
              </w:rPr>
            </w:r>
            <w:r>
              <w:rPr>
                <w:noProof/>
                <w:webHidden/>
              </w:rPr>
              <w:fldChar w:fldCharType="separate"/>
            </w:r>
            <w:r>
              <w:rPr>
                <w:noProof/>
                <w:webHidden/>
              </w:rPr>
              <w:t>106</w:t>
            </w:r>
            <w:r>
              <w:rPr>
                <w:noProof/>
                <w:webHidden/>
              </w:rPr>
              <w:fldChar w:fldCharType="end"/>
            </w:r>
          </w:hyperlink>
        </w:p>
        <w:p w:rsidR="00CC5F3E" w:rsidRDefault="00CC5F3E" w14:paraId="5AEBFA88" w14:textId="026F48D9">
          <w:pPr>
            <w:pStyle w:val="TOC1"/>
            <w:rPr>
              <w:rFonts w:asciiTheme="minorHAnsi" w:hAnsiTheme="minorHAnsi" w:eastAsiaTheme="minorEastAsia" w:cstheme="minorBidi"/>
              <w:b w:val="0"/>
              <w:caps w:val="0"/>
              <w:noProof/>
              <w:kern w:val="2"/>
              <w:sz w:val="24"/>
              <w:szCs w:val="24"/>
              <w14:ligatures w14:val="standardContextual"/>
            </w:rPr>
          </w:pPr>
          <w:hyperlink w:history="1" w:anchor="_Toc227840795">
            <w:r w:rsidRPr="00CF704D">
              <w:rPr>
                <w:rStyle w:val="Hyperlink"/>
                <w:noProof/>
              </w:rPr>
              <w:t>Exhibit H – Form of StandBy Letter of Credit</w:t>
            </w:r>
            <w:r>
              <w:rPr>
                <w:noProof/>
                <w:webHidden/>
              </w:rPr>
              <w:tab/>
            </w:r>
            <w:r>
              <w:rPr>
                <w:noProof/>
                <w:webHidden/>
              </w:rPr>
              <w:fldChar w:fldCharType="begin"/>
            </w:r>
            <w:r>
              <w:rPr>
                <w:noProof/>
                <w:webHidden/>
              </w:rPr>
              <w:instrText xml:space="preserve"> PAGEREF _Toc227840795 \h </w:instrText>
            </w:r>
            <w:r>
              <w:rPr>
                <w:noProof/>
                <w:webHidden/>
              </w:rPr>
            </w:r>
            <w:r>
              <w:rPr>
                <w:noProof/>
                <w:webHidden/>
              </w:rPr>
              <w:fldChar w:fldCharType="separate"/>
            </w:r>
            <w:r>
              <w:rPr>
                <w:noProof/>
                <w:webHidden/>
              </w:rPr>
              <w:t>115</w:t>
            </w:r>
            <w:r>
              <w:rPr>
                <w:noProof/>
                <w:webHidden/>
              </w:rPr>
              <w:fldChar w:fldCharType="end"/>
            </w:r>
          </w:hyperlink>
        </w:p>
        <w:p w:rsidR="00CC5F3E" w:rsidRDefault="00CC5F3E" w14:paraId="29F7200E" w14:textId="7807A345">
          <w:pPr>
            <w:pStyle w:val="TOC1"/>
            <w:rPr>
              <w:rFonts w:asciiTheme="minorHAnsi" w:hAnsiTheme="minorHAnsi" w:eastAsiaTheme="minorEastAsia" w:cstheme="minorBidi"/>
              <w:b w:val="0"/>
              <w:caps w:val="0"/>
              <w:noProof/>
              <w:kern w:val="2"/>
              <w:sz w:val="24"/>
              <w:szCs w:val="24"/>
              <w14:ligatures w14:val="standardContextual"/>
            </w:rPr>
          </w:pPr>
          <w:hyperlink w:history="1" w:anchor="_Toc227840796">
            <w:r w:rsidRPr="00CF704D">
              <w:rPr>
                <w:rStyle w:val="Hyperlink"/>
                <w:noProof/>
              </w:rPr>
              <w:t>Exhibit I – Form of Commercial Operation Completion Certificate</w:t>
            </w:r>
            <w:r>
              <w:rPr>
                <w:noProof/>
                <w:webHidden/>
              </w:rPr>
              <w:tab/>
            </w:r>
            <w:r>
              <w:rPr>
                <w:noProof/>
                <w:webHidden/>
              </w:rPr>
              <w:fldChar w:fldCharType="begin"/>
            </w:r>
            <w:r>
              <w:rPr>
                <w:noProof/>
                <w:webHidden/>
              </w:rPr>
              <w:instrText xml:space="preserve"> PAGEREF _Toc227840796 \h </w:instrText>
            </w:r>
            <w:r>
              <w:rPr>
                <w:noProof/>
                <w:webHidden/>
              </w:rPr>
            </w:r>
            <w:r>
              <w:rPr>
                <w:noProof/>
                <w:webHidden/>
              </w:rPr>
              <w:fldChar w:fldCharType="separate"/>
            </w:r>
            <w:r>
              <w:rPr>
                <w:noProof/>
                <w:webHidden/>
              </w:rPr>
              <w:t>120</w:t>
            </w:r>
            <w:r>
              <w:rPr>
                <w:noProof/>
                <w:webHidden/>
              </w:rPr>
              <w:fldChar w:fldCharType="end"/>
            </w:r>
          </w:hyperlink>
        </w:p>
        <w:p w:rsidR="00CC5F3E" w:rsidRDefault="00CC5F3E" w14:paraId="08957B1A" w14:textId="676CF568">
          <w:pPr>
            <w:pStyle w:val="TOC1"/>
            <w:rPr>
              <w:rFonts w:asciiTheme="minorHAnsi" w:hAnsiTheme="minorHAnsi" w:eastAsiaTheme="minorEastAsia" w:cstheme="minorBidi"/>
              <w:b w:val="0"/>
              <w:caps w:val="0"/>
              <w:noProof/>
              <w:kern w:val="2"/>
              <w:sz w:val="24"/>
              <w:szCs w:val="24"/>
              <w14:ligatures w14:val="standardContextual"/>
            </w:rPr>
          </w:pPr>
          <w:hyperlink w:history="1" w:anchor="_Toc227840797">
            <w:r w:rsidRPr="00CF704D">
              <w:rPr>
                <w:rStyle w:val="Hyperlink"/>
                <w:noProof/>
              </w:rPr>
              <w:t>Exhibit J – VIE Certification</w:t>
            </w:r>
            <w:r>
              <w:rPr>
                <w:noProof/>
                <w:webHidden/>
              </w:rPr>
              <w:tab/>
            </w:r>
            <w:r>
              <w:rPr>
                <w:noProof/>
                <w:webHidden/>
              </w:rPr>
              <w:fldChar w:fldCharType="begin"/>
            </w:r>
            <w:r>
              <w:rPr>
                <w:noProof/>
                <w:webHidden/>
              </w:rPr>
              <w:instrText xml:space="preserve"> PAGEREF _Toc227840797 \h </w:instrText>
            </w:r>
            <w:r>
              <w:rPr>
                <w:noProof/>
                <w:webHidden/>
              </w:rPr>
            </w:r>
            <w:r>
              <w:rPr>
                <w:noProof/>
                <w:webHidden/>
              </w:rPr>
              <w:fldChar w:fldCharType="separate"/>
            </w:r>
            <w:r>
              <w:rPr>
                <w:noProof/>
                <w:webHidden/>
              </w:rPr>
              <w:t>122</w:t>
            </w:r>
            <w:r>
              <w:rPr>
                <w:noProof/>
                <w:webHidden/>
              </w:rPr>
              <w:fldChar w:fldCharType="end"/>
            </w:r>
          </w:hyperlink>
        </w:p>
        <w:p w:rsidR="00CC5F3E" w:rsidRDefault="00CC5F3E" w14:paraId="69A048E5" w14:textId="20BBCEC4">
          <w:pPr>
            <w:pStyle w:val="TOC1"/>
            <w:rPr>
              <w:rFonts w:asciiTheme="minorHAnsi" w:hAnsiTheme="minorHAnsi" w:eastAsiaTheme="minorEastAsia" w:cstheme="minorBidi"/>
              <w:b w:val="0"/>
              <w:caps w:val="0"/>
              <w:noProof/>
              <w:kern w:val="2"/>
              <w:sz w:val="24"/>
              <w:szCs w:val="24"/>
              <w14:ligatures w14:val="standardContextual"/>
            </w:rPr>
          </w:pPr>
          <w:hyperlink w:history="1" w:anchor="_Toc227840798">
            <w:r w:rsidRPr="00CF704D">
              <w:rPr>
                <w:rStyle w:val="Hyperlink"/>
                <w:noProof/>
                <w:w w:val="0"/>
              </w:rPr>
              <w:t>Exhibit K – Transfer of Information Acknowledgement</w:t>
            </w:r>
            <w:r>
              <w:rPr>
                <w:noProof/>
                <w:webHidden/>
              </w:rPr>
              <w:tab/>
            </w:r>
            <w:r>
              <w:rPr>
                <w:noProof/>
                <w:webHidden/>
              </w:rPr>
              <w:fldChar w:fldCharType="begin"/>
            </w:r>
            <w:r>
              <w:rPr>
                <w:noProof/>
                <w:webHidden/>
              </w:rPr>
              <w:instrText xml:space="preserve"> PAGEREF _Toc227840798 \h </w:instrText>
            </w:r>
            <w:r>
              <w:rPr>
                <w:noProof/>
                <w:webHidden/>
              </w:rPr>
            </w:r>
            <w:r>
              <w:rPr>
                <w:noProof/>
                <w:webHidden/>
              </w:rPr>
              <w:fldChar w:fldCharType="separate"/>
            </w:r>
            <w:r>
              <w:rPr>
                <w:noProof/>
                <w:webHidden/>
              </w:rPr>
              <w:t>125</w:t>
            </w:r>
            <w:r>
              <w:rPr>
                <w:noProof/>
                <w:webHidden/>
              </w:rPr>
              <w:fldChar w:fldCharType="end"/>
            </w:r>
          </w:hyperlink>
        </w:p>
        <w:p w:rsidR="00CC5F3E" w:rsidRDefault="00CC5F3E" w14:paraId="451958BA" w14:textId="49A55355">
          <w:pPr>
            <w:pStyle w:val="TOC1"/>
            <w:rPr>
              <w:rFonts w:asciiTheme="minorHAnsi" w:hAnsiTheme="minorHAnsi" w:eastAsiaTheme="minorEastAsia" w:cstheme="minorBidi"/>
              <w:b w:val="0"/>
              <w:caps w:val="0"/>
              <w:noProof/>
              <w:kern w:val="2"/>
              <w:sz w:val="24"/>
              <w:szCs w:val="24"/>
              <w14:ligatures w14:val="standardContextual"/>
            </w:rPr>
          </w:pPr>
          <w:hyperlink w:history="1" w:anchor="_Toc227840799">
            <w:r w:rsidRPr="00CF704D">
              <w:rPr>
                <w:rStyle w:val="Hyperlink"/>
                <w:noProof/>
              </w:rPr>
              <w:t>Exhibit L – Environmental Compliance Certification</w:t>
            </w:r>
            <w:r>
              <w:rPr>
                <w:noProof/>
                <w:webHidden/>
              </w:rPr>
              <w:tab/>
            </w:r>
            <w:r>
              <w:rPr>
                <w:noProof/>
                <w:webHidden/>
              </w:rPr>
              <w:fldChar w:fldCharType="begin"/>
            </w:r>
            <w:r>
              <w:rPr>
                <w:noProof/>
                <w:webHidden/>
              </w:rPr>
              <w:instrText xml:space="preserve"> PAGEREF _Toc227840799 \h </w:instrText>
            </w:r>
            <w:r>
              <w:rPr>
                <w:noProof/>
                <w:webHidden/>
              </w:rPr>
            </w:r>
            <w:r>
              <w:rPr>
                <w:noProof/>
                <w:webHidden/>
              </w:rPr>
              <w:fldChar w:fldCharType="separate"/>
            </w:r>
            <w:r>
              <w:rPr>
                <w:noProof/>
                <w:webHidden/>
              </w:rPr>
              <w:t>126</w:t>
            </w:r>
            <w:r>
              <w:rPr>
                <w:noProof/>
                <w:webHidden/>
              </w:rPr>
              <w:fldChar w:fldCharType="end"/>
            </w:r>
          </w:hyperlink>
        </w:p>
        <w:p w:rsidR="00CC5F3E" w:rsidRDefault="00CC5F3E" w14:paraId="786DA1BF" w14:textId="0EDE213C">
          <w:pPr>
            <w:pStyle w:val="TOC1"/>
            <w:rPr>
              <w:rFonts w:asciiTheme="minorHAnsi" w:hAnsiTheme="minorHAnsi" w:eastAsiaTheme="minorEastAsia" w:cstheme="minorBidi"/>
              <w:b w:val="0"/>
              <w:caps w:val="0"/>
              <w:noProof/>
              <w:kern w:val="2"/>
              <w:sz w:val="24"/>
              <w:szCs w:val="24"/>
              <w14:ligatures w14:val="standardContextual"/>
            </w:rPr>
          </w:pPr>
          <w:hyperlink w:history="1" w:anchor="_Toc227840800">
            <w:r w:rsidRPr="00CF704D">
              <w:rPr>
                <w:rStyle w:val="Hyperlink"/>
                <w:noProof/>
              </w:rPr>
              <w:t>Exhibit M – Notices</w:t>
            </w:r>
            <w:r>
              <w:rPr>
                <w:noProof/>
                <w:webHidden/>
              </w:rPr>
              <w:tab/>
            </w:r>
            <w:r>
              <w:rPr>
                <w:noProof/>
                <w:webHidden/>
              </w:rPr>
              <w:fldChar w:fldCharType="begin"/>
            </w:r>
            <w:r>
              <w:rPr>
                <w:noProof/>
                <w:webHidden/>
              </w:rPr>
              <w:instrText xml:space="preserve"> PAGEREF _Toc227840800 \h </w:instrText>
            </w:r>
            <w:r>
              <w:rPr>
                <w:noProof/>
                <w:webHidden/>
              </w:rPr>
            </w:r>
            <w:r>
              <w:rPr>
                <w:noProof/>
                <w:webHidden/>
              </w:rPr>
              <w:fldChar w:fldCharType="separate"/>
            </w:r>
            <w:r>
              <w:rPr>
                <w:noProof/>
                <w:webHidden/>
              </w:rPr>
              <w:t>127</w:t>
            </w:r>
            <w:r>
              <w:rPr>
                <w:noProof/>
                <w:webHidden/>
              </w:rPr>
              <w:fldChar w:fldCharType="end"/>
            </w:r>
          </w:hyperlink>
        </w:p>
        <w:p w:rsidR="00500844" w:rsidP="00500844" w:rsidRDefault="00500844" w14:paraId="352BCCC2" w14:textId="5AE06A52">
          <w:pPr>
            <w:pStyle w:val="TOC1"/>
            <w:rPr>
              <w:rStyle w:val="Hyperlink"/>
              <w:noProof/>
              <w:color w:val="auto"/>
              <w:u w:val="none"/>
            </w:rPr>
          </w:pPr>
          <w:r w:rsidRPr="000247F7">
            <w:fldChar w:fldCharType="end"/>
          </w:r>
        </w:p>
      </w:sdtContent>
    </w:sdt>
    <w:p w:rsidR="000E2B24" w:rsidP="00965E4E" w:rsidRDefault="000E2B24" w14:paraId="3F0390B9" w14:textId="1B5E5BFE">
      <w:pPr>
        <w:rPr>
          <w:sz w:val="22"/>
          <w:szCs w:val="22"/>
        </w:rPr>
        <w:sectPr w:rsidR="000E2B24" w:rsidSect="005B310E">
          <w:headerReference w:type="even" r:id="rId15"/>
          <w:headerReference w:type="default" r:id="rId16"/>
          <w:footerReference w:type="even" r:id="rId17"/>
          <w:footerReference w:type="default" r:id="rId18"/>
          <w:footerReference w:type="first" r:id="rId19"/>
          <w:pgSz w:w="12240" w:h="15840" w:code="1"/>
          <w:pgMar w:top="1080" w:right="1080" w:bottom="936" w:left="1224" w:header="432" w:footer="576" w:gutter="0"/>
          <w:cols w:space="720"/>
          <w:docGrid w:linePitch="360"/>
        </w:sectPr>
      </w:pPr>
    </w:p>
    <w:p w:rsidRPr="00CC1F71" w:rsidR="00FB204F" w:rsidP="00CC1F71" w:rsidRDefault="00F7285F" w14:paraId="4BAB22E8" w14:textId="420C9F89">
      <w:pPr>
        <w:pStyle w:val="zGTitleExhibit"/>
      </w:pPr>
      <w:bookmarkStart w:name="_Toc212472954" w:id="23"/>
      <w:bookmarkStart w:name="_Toc227840642" w:id="24"/>
      <w:bookmarkEnd w:id="17"/>
      <w:r>
        <w:lastRenderedPageBreak/>
        <w:t>Schedule of Defined Terms</w:t>
      </w:r>
      <w:bookmarkEnd w:id="23"/>
      <w:bookmarkEnd w:id="24"/>
    </w:p>
    <w:p w:rsidR="00332CCB" w:rsidP="00FB204F" w:rsidRDefault="00FB204F" w14:paraId="657FF7DA" w14:textId="6CD80053">
      <w:pPr>
        <w:pStyle w:val="Heading2"/>
        <w:keepNext w:val="0"/>
        <w:widowControl w:val="0"/>
        <w:spacing w:before="120"/>
        <w:rPr>
          <w:rFonts w:cs="Arial"/>
        </w:rPr>
      </w:pPr>
      <w:r>
        <w:rPr>
          <w:rFonts w:cs="Arial"/>
        </w:rPr>
        <w:t xml:space="preserve">This PPA uses the defined terms identified in this </w:t>
      </w:r>
      <w:r>
        <w:rPr>
          <w:rFonts w:cs="Arial"/>
          <w:i/>
          <w:iCs/>
        </w:rPr>
        <w:t>Schedule of Defined Terms</w:t>
      </w:r>
      <w:r>
        <w:rPr>
          <w:rFonts w:cs="Arial"/>
        </w:rPr>
        <w:t xml:space="preserve"> or in the body of this PPA and the rules of construction identified in Section 20.17 (</w:t>
      </w:r>
      <w:r>
        <w:rPr>
          <w:rFonts w:cs="Arial"/>
          <w:i/>
        </w:rPr>
        <w:t>Contract Interpretation</w:t>
      </w:r>
      <w:r>
        <w:rPr>
          <w:rFonts w:cs="Arial"/>
        </w:rPr>
        <w:t xml:space="preserve">). </w:t>
      </w:r>
      <w:bookmarkEnd w:id="18"/>
      <w:bookmarkEnd w:id="19"/>
      <w:bookmarkEnd w:id="20"/>
      <w:bookmarkEnd w:id="21"/>
      <w:bookmarkEnd w:id="22"/>
    </w:p>
    <w:p w:rsidR="0061291A" w:rsidP="00C36161" w:rsidRDefault="0061291A" w14:paraId="15C046B2" w14:textId="6D529566">
      <w:pPr>
        <w:pStyle w:val="Heading3"/>
      </w:pPr>
      <w:r>
        <w:t>Abandonment</w:t>
      </w:r>
      <w:r>
        <w:rPr>
          <w:u w:val="none"/>
        </w:rPr>
        <w:t>:</w:t>
      </w:r>
      <w:r>
        <w:rPr>
          <w:b w:val="0"/>
          <w:bCs w:val="0"/>
          <w:u w:val="none"/>
        </w:rPr>
        <w:t xml:space="preserve"> </w:t>
      </w:r>
      <w:r w:rsidR="00D41BB4">
        <w:rPr>
          <w:b w:val="0"/>
          <w:bCs w:val="0"/>
          <w:u w:val="none"/>
        </w:rPr>
        <w:t>A</w:t>
      </w:r>
      <w:r>
        <w:rPr>
          <w:b w:val="0"/>
          <w:bCs w:val="0"/>
          <w:u w:val="none"/>
        </w:rPr>
        <w:t>ny</w:t>
      </w:r>
      <w:r w:rsidRPr="00027D9F" w:rsidR="00027D9F">
        <w:rPr>
          <w:b w:val="0"/>
          <w:bCs w:val="0"/>
          <w:u w:val="none"/>
        </w:rPr>
        <w:t xml:space="preserve"> Seller</w:t>
      </w:r>
      <w:r w:rsidR="00CF07FC">
        <w:rPr>
          <w:b w:val="0"/>
          <w:bCs w:val="0"/>
          <w:u w:val="none"/>
        </w:rPr>
        <w:t>:</w:t>
      </w:r>
      <w:r w:rsidRPr="00027D9F" w:rsidR="00027D9F">
        <w:rPr>
          <w:b w:val="0"/>
          <w:bCs w:val="0"/>
          <w:u w:val="none"/>
        </w:rPr>
        <w:t xml:space="preserve"> (i) cessation of Facility development, construction, or installation activities for a continuous period of not less than 90 consecutive Days, other than</w:t>
      </w:r>
      <w:r w:rsidR="00CF07FC">
        <w:rPr>
          <w:b w:val="0"/>
          <w:bCs w:val="0"/>
          <w:u w:val="none"/>
        </w:rPr>
        <w:t>:</w:t>
      </w:r>
      <w:r w:rsidRPr="00027D9F" w:rsidR="00027D9F">
        <w:rPr>
          <w:b w:val="0"/>
          <w:bCs w:val="0"/>
          <w:u w:val="none"/>
        </w:rPr>
        <w:t xml:space="preserve"> (a) as mutually agreed by the Parties in writing</w:t>
      </w:r>
      <w:r w:rsidR="00CF07FC">
        <w:rPr>
          <w:b w:val="0"/>
          <w:bCs w:val="0"/>
          <w:u w:val="none"/>
        </w:rPr>
        <w:t>;</w:t>
      </w:r>
      <w:r w:rsidRPr="00027D9F" w:rsidR="00027D9F">
        <w:rPr>
          <w:b w:val="0"/>
          <w:bCs w:val="0"/>
          <w:u w:val="none"/>
        </w:rPr>
        <w:t xml:space="preserve"> (b) a suspension resulting from an FME</w:t>
      </w:r>
      <w:r w:rsidR="00CF07FC">
        <w:rPr>
          <w:b w:val="0"/>
          <w:bCs w:val="0"/>
          <w:u w:val="none"/>
        </w:rPr>
        <w:t>;</w:t>
      </w:r>
      <w:r w:rsidRPr="00027D9F" w:rsidR="00027D9F">
        <w:rPr>
          <w:b w:val="0"/>
          <w:bCs w:val="0"/>
          <w:u w:val="none"/>
        </w:rPr>
        <w:t xml:space="preserve"> or (c) planned periods of inactivity reflected in the level 3 critical path method </w:t>
      </w:r>
      <w:r w:rsidRPr="00AD1BB6" w:rsidR="00027D9F">
        <w:rPr>
          <w:b w:val="0"/>
          <w:u w:val="none"/>
        </w:rPr>
        <w:t>EPC Contract Schedule</w:t>
      </w:r>
      <w:r w:rsidRPr="00027D9F" w:rsidR="00027D9F">
        <w:rPr>
          <w:b w:val="0"/>
          <w:bCs w:val="0"/>
          <w:u w:val="none"/>
        </w:rPr>
        <w:t xml:space="preserve"> provided by Seller for the corresponding Key Milestone Date; or (ii) written statement or action evidencing Seller’s intent to permanently discontinue development or construction of the Facility or otherwise not to achieve Commercial Operation.</w:t>
      </w:r>
      <w:r w:rsidRPr="000C0B43" w:rsidR="00027D9F">
        <w:t xml:space="preserve"> </w:t>
      </w:r>
    </w:p>
    <w:p w:rsidR="00571AC6" w:rsidP="00C36161" w:rsidRDefault="00571AC6" w14:paraId="26880C3C" w14:textId="7ED03CFA">
      <w:pPr>
        <w:pStyle w:val="Heading3"/>
      </w:pPr>
      <w:r>
        <w:t>AC</w:t>
      </w:r>
      <w:r>
        <w:rPr>
          <w:u w:val="none"/>
        </w:rPr>
        <w:t xml:space="preserve">: </w:t>
      </w:r>
      <w:r>
        <w:rPr>
          <w:b w:val="0"/>
          <w:bCs w:val="0"/>
          <w:u w:val="none"/>
        </w:rPr>
        <w:t>Alternating current.</w:t>
      </w:r>
    </w:p>
    <w:p w:rsidR="00E90F16" w:rsidP="00C36161" w:rsidRDefault="00E90F16" w14:paraId="0D482583" w14:textId="26B6F2DB">
      <w:pPr>
        <w:pStyle w:val="Heading3"/>
        <w:rPr>
          <w:b w:val="0"/>
          <w:bCs w:val="0"/>
          <w:u w:val="none"/>
        </w:rPr>
      </w:pPr>
      <w:r>
        <w:t>ACP</w:t>
      </w:r>
      <w:r>
        <w:rPr>
          <w:u w:val="none"/>
        </w:rPr>
        <w:t xml:space="preserve">: </w:t>
      </w:r>
      <w:r>
        <w:rPr>
          <w:b w:val="0"/>
          <w:bCs w:val="0"/>
          <w:u w:val="none"/>
        </w:rPr>
        <w:t>See</w:t>
      </w:r>
      <w:r>
        <w:rPr>
          <w:b w:val="0"/>
          <w:bCs w:val="0"/>
          <w:iCs/>
          <w:u w:val="none"/>
        </w:rPr>
        <w:t xml:space="preserve"> </w:t>
      </w:r>
      <w:r>
        <w:rPr>
          <w:b w:val="0"/>
          <w:bCs w:val="0"/>
          <w:u w:val="none"/>
        </w:rPr>
        <w:t>Annual Capacity Price.</w:t>
      </w:r>
    </w:p>
    <w:p w:rsidR="00B81EEC" w:rsidP="00C36161" w:rsidRDefault="0053596A" w14:paraId="491423A8" w14:textId="74006CA1">
      <w:pPr>
        <w:pStyle w:val="Heading3"/>
      </w:pPr>
      <w:r>
        <w:t>ACP Adjustment</w:t>
      </w:r>
      <w:r w:rsidRPr="0053596A">
        <w:rPr>
          <w:u w:val="none"/>
        </w:rPr>
        <w:t>:</w:t>
      </w:r>
      <w:r w:rsidRPr="0053596A">
        <w:rPr>
          <w:b w:val="0"/>
          <w:bCs w:val="0"/>
          <w:u w:val="none"/>
        </w:rPr>
        <w:t xml:space="preserve"> As defined in </w:t>
      </w:r>
      <w:r w:rsidRPr="00AD1BB6">
        <w:rPr>
          <w:b w:val="0"/>
          <w:u w:val="none"/>
        </w:rPr>
        <w:t>Section 17.</w:t>
      </w:r>
      <w:r w:rsidRPr="00AD1BB6" w:rsidR="00201CFE">
        <w:rPr>
          <w:b w:val="0"/>
          <w:u w:val="none"/>
        </w:rPr>
        <w:t>2.3</w:t>
      </w:r>
      <w:r w:rsidRPr="00AD1BB6">
        <w:rPr>
          <w:b w:val="0"/>
          <w:u w:val="none"/>
        </w:rPr>
        <w:t xml:space="preserve"> (</w:t>
      </w:r>
      <w:r w:rsidRPr="0063740A">
        <w:rPr>
          <w:b w:val="0"/>
          <w:i/>
          <w:u w:val="none"/>
        </w:rPr>
        <w:t>GPC Review; ACP Adjustment</w:t>
      </w:r>
      <w:r w:rsidRPr="00AD1BB6">
        <w:rPr>
          <w:b w:val="0"/>
          <w:u w:val="none"/>
        </w:rPr>
        <w:t>)</w:t>
      </w:r>
      <w:r w:rsidRPr="0053596A">
        <w:rPr>
          <w:b w:val="0"/>
          <w:bCs w:val="0"/>
          <w:u w:val="none"/>
        </w:rPr>
        <w:t>.</w:t>
      </w:r>
    </w:p>
    <w:p w:rsidRPr="00E42722" w:rsidR="594089F7" w:rsidP="00DE7CC7" w:rsidRDefault="594089F7" w14:paraId="05D285D5" w14:textId="373DD813">
      <w:pPr>
        <w:pStyle w:val="Heading3"/>
        <w:rPr>
          <w:b w:val="0"/>
          <w:bCs w:val="0"/>
        </w:rPr>
      </w:pPr>
      <w:r>
        <w:t>Adjustment Period</w:t>
      </w:r>
      <w:r>
        <w:rPr>
          <w:u w:val="none"/>
        </w:rPr>
        <w:t xml:space="preserve">: </w:t>
      </w:r>
      <w:r>
        <w:rPr>
          <w:b w:val="0"/>
          <w:bCs w:val="0"/>
          <w:u w:val="none"/>
        </w:rPr>
        <w:t>Defined in Section 8.2.3 (</w:t>
      </w:r>
      <w:r>
        <w:rPr>
          <w:b w:val="0"/>
          <w:bCs w:val="0"/>
          <w:i/>
          <w:u w:val="none"/>
        </w:rPr>
        <w:t>Adjustments</w:t>
      </w:r>
      <w:r>
        <w:rPr>
          <w:b w:val="0"/>
          <w:bCs w:val="0"/>
          <w:u w:val="none"/>
        </w:rPr>
        <w:t>).</w:t>
      </w:r>
    </w:p>
    <w:p w:rsidRPr="00EE5A84" w:rsidR="00F23AE1" w:rsidP="00DE7CC7" w:rsidRDefault="00F23AE1" w14:paraId="3FE5BCD1" w14:textId="77777777">
      <w:pPr>
        <w:pStyle w:val="Heading3"/>
      </w:pPr>
      <w:r>
        <w:t>Affected System</w:t>
      </w:r>
      <w:r>
        <w:rPr>
          <w:u w:val="none"/>
        </w:rPr>
        <w:t>:</w:t>
      </w:r>
      <w:r>
        <w:rPr>
          <w:b w:val="0"/>
          <w:bCs w:val="0"/>
          <w:u w:val="none"/>
        </w:rPr>
        <w:t xml:space="preserve"> </w:t>
      </w:r>
      <w:r>
        <w:rPr>
          <w:b w:val="0"/>
          <w:bCs w:val="0"/>
          <w:color w:val="000000"/>
          <w:u w:val="none"/>
        </w:rPr>
        <w:t>A</w:t>
      </w:r>
      <w:r>
        <w:rPr>
          <w:b w:val="0"/>
          <w:bCs w:val="0"/>
          <w:u w:val="none"/>
        </w:rPr>
        <w:t>n Electric System utility other than the Southern Company Transmission System or an electric facility owner whose facilities require additions, modifications, or upgrades that are necessary for safe and reliable operation of the Electric System during parallel operation of the Facility, other than those required due to GPC’s designation of the Facility output to serve GPC’s customers (i.e., to deliver the energy from the Point of Delivery to GPC’s customers).</w:t>
      </w:r>
    </w:p>
    <w:p w:rsidRPr="00E42722" w:rsidR="00960870" w:rsidP="00DE7CC7" w:rsidRDefault="66E80B02" w14:paraId="6E349AE9" w14:textId="4AED3D61">
      <w:pPr>
        <w:pStyle w:val="Heading3"/>
        <w:rPr>
          <w:u w:val="none"/>
        </w:rPr>
      </w:pPr>
      <w:r>
        <w:t>Affiliate</w:t>
      </w:r>
      <w:r>
        <w:rPr>
          <w:u w:val="none"/>
        </w:rPr>
        <w:t xml:space="preserve">: </w:t>
      </w:r>
      <w:r>
        <w:rPr>
          <w:b w:val="0"/>
          <w:bCs w:val="0"/>
          <w:u w:val="none"/>
        </w:rPr>
        <w:t>For any specific Person, any other Person directly or indirectly controlling or controlled by or under common control with that Person. For purposes of this definition, “control” when used regarding any entity means the power to direct the management and policies of the entity, directly or indirectly, whether through the ownership of voting securities, by contract, or otherwise. For purposes of this PPA, it is assumed that a Person directly or indirectly owning 50% or more of the outstanding stock or other equity interest of another Person has “control” of that Person. The terms “controlling” and “controlled” have meanings correlative to “control.”</w:t>
      </w:r>
    </w:p>
    <w:p w:rsidR="00960870" w:rsidP="00DE7CC7" w:rsidRDefault="00960870" w14:paraId="7327C7DD" w14:textId="5339E1FF">
      <w:pPr>
        <w:pStyle w:val="Heading3"/>
      </w:pPr>
      <w:r>
        <w:t>After-Tax Basis</w:t>
      </w:r>
      <w:r>
        <w:rPr>
          <w:u w:val="none"/>
        </w:rPr>
        <w:t xml:space="preserve">: </w:t>
      </w:r>
      <w:r w:rsidR="00C82C01">
        <w:rPr>
          <w:b w:val="0"/>
          <w:bCs w:val="0"/>
          <w:u w:val="none"/>
        </w:rPr>
        <w:t>With respect to a given</w:t>
      </w:r>
      <w:r>
        <w:rPr>
          <w:b w:val="0"/>
          <w:bCs w:val="0"/>
          <w:u w:val="none"/>
        </w:rPr>
        <w:t xml:space="preserve"> payment </w:t>
      </w:r>
      <w:r w:rsidR="00626942">
        <w:rPr>
          <w:b w:val="0"/>
          <w:bCs w:val="0"/>
          <w:u w:val="none"/>
        </w:rPr>
        <w:t>required to be made to</w:t>
      </w:r>
      <w:r>
        <w:rPr>
          <w:b w:val="0"/>
          <w:bCs w:val="0"/>
          <w:u w:val="none"/>
        </w:rPr>
        <w:t xml:space="preserve"> any Person, the amount of </w:t>
      </w:r>
      <w:r w:rsidR="00DA3082">
        <w:rPr>
          <w:b w:val="0"/>
          <w:bCs w:val="0"/>
          <w:u w:val="none"/>
        </w:rPr>
        <w:t>the</w:t>
      </w:r>
      <w:r w:rsidR="00626942">
        <w:rPr>
          <w:b w:val="0"/>
          <w:bCs w:val="0"/>
          <w:u w:val="none"/>
        </w:rPr>
        <w:t xml:space="preserve"> </w:t>
      </w:r>
      <w:r>
        <w:rPr>
          <w:b w:val="0"/>
          <w:bCs w:val="0"/>
          <w:u w:val="none"/>
        </w:rPr>
        <w:t>payment (</w:t>
      </w:r>
      <w:r w:rsidR="00626942">
        <w:rPr>
          <w:b w:val="0"/>
          <w:bCs w:val="0"/>
          <w:u w:val="none"/>
        </w:rPr>
        <w:t>”</w:t>
      </w:r>
      <w:r w:rsidRPr="00626942" w:rsidR="00626942">
        <w:rPr>
          <w:u w:val="none"/>
        </w:rPr>
        <w:t>B</w:t>
      </w:r>
      <w:r w:rsidRPr="00626942">
        <w:rPr>
          <w:u w:val="none"/>
        </w:rPr>
        <w:t xml:space="preserve">ase </w:t>
      </w:r>
      <w:r w:rsidRPr="00626942" w:rsidR="00626942">
        <w:rPr>
          <w:u w:val="none"/>
        </w:rPr>
        <w:t>P</w:t>
      </w:r>
      <w:r w:rsidRPr="00626942">
        <w:rPr>
          <w:u w:val="none"/>
        </w:rPr>
        <w:t>ayment</w:t>
      </w:r>
      <w:r w:rsidR="00626942">
        <w:rPr>
          <w:b w:val="0"/>
          <w:bCs w:val="0"/>
          <w:u w:val="none"/>
        </w:rPr>
        <w:t>”</w:t>
      </w:r>
      <w:r>
        <w:rPr>
          <w:b w:val="0"/>
          <w:bCs w:val="0"/>
          <w:u w:val="none"/>
        </w:rPr>
        <w:t xml:space="preserve">) supplemented by a further payment ( </w:t>
      </w:r>
      <w:r w:rsidR="00626942">
        <w:rPr>
          <w:b w:val="0"/>
          <w:bCs w:val="0"/>
          <w:u w:val="none"/>
        </w:rPr>
        <w:t>“</w:t>
      </w:r>
      <w:r w:rsidRPr="00626942" w:rsidR="00626942">
        <w:rPr>
          <w:u w:val="none"/>
        </w:rPr>
        <w:t>A</w:t>
      </w:r>
      <w:r w:rsidRPr="00626942">
        <w:rPr>
          <w:u w:val="none"/>
        </w:rPr>
        <w:t xml:space="preserve">dditional </w:t>
      </w:r>
      <w:r w:rsidRPr="00626942" w:rsidR="00626942">
        <w:rPr>
          <w:u w:val="none"/>
        </w:rPr>
        <w:t>P</w:t>
      </w:r>
      <w:r w:rsidRPr="00626942">
        <w:rPr>
          <w:u w:val="none"/>
        </w:rPr>
        <w:t>ayment</w:t>
      </w:r>
      <w:r w:rsidR="00626942">
        <w:rPr>
          <w:b w:val="0"/>
          <w:bCs w:val="0"/>
          <w:u w:val="none"/>
        </w:rPr>
        <w:t>”</w:t>
      </w:r>
      <w:r>
        <w:rPr>
          <w:b w:val="0"/>
          <w:bCs w:val="0"/>
          <w:u w:val="none"/>
        </w:rPr>
        <w:t xml:space="preserve">) to that Person so that the sum of the </w:t>
      </w:r>
      <w:r w:rsidR="00215B97">
        <w:rPr>
          <w:b w:val="0"/>
          <w:bCs w:val="0"/>
          <w:u w:val="none"/>
        </w:rPr>
        <w:t>B</w:t>
      </w:r>
      <w:r>
        <w:rPr>
          <w:b w:val="0"/>
          <w:bCs w:val="0"/>
          <w:u w:val="none"/>
        </w:rPr>
        <w:t xml:space="preserve">ase </w:t>
      </w:r>
      <w:r w:rsidR="00215B97">
        <w:rPr>
          <w:b w:val="0"/>
          <w:bCs w:val="0"/>
          <w:u w:val="none"/>
        </w:rPr>
        <w:t>P</w:t>
      </w:r>
      <w:r>
        <w:rPr>
          <w:b w:val="0"/>
          <w:bCs w:val="0"/>
          <w:u w:val="none"/>
        </w:rPr>
        <w:t xml:space="preserve">ayment plus the </w:t>
      </w:r>
      <w:r w:rsidR="00215B97">
        <w:rPr>
          <w:b w:val="0"/>
          <w:bCs w:val="0"/>
          <w:u w:val="none"/>
        </w:rPr>
        <w:t>A</w:t>
      </w:r>
      <w:r>
        <w:rPr>
          <w:b w:val="0"/>
          <w:bCs w:val="0"/>
          <w:u w:val="none"/>
        </w:rPr>
        <w:t xml:space="preserve">dditional </w:t>
      </w:r>
      <w:r w:rsidR="00215B97">
        <w:rPr>
          <w:b w:val="0"/>
          <w:bCs w:val="0"/>
          <w:u w:val="none"/>
        </w:rPr>
        <w:t>P</w:t>
      </w:r>
      <w:r>
        <w:rPr>
          <w:b w:val="0"/>
          <w:bCs w:val="0"/>
          <w:u w:val="none"/>
        </w:rPr>
        <w:t xml:space="preserve">ayment will, after deduction of the amount of all </w:t>
      </w:r>
      <w:r w:rsidR="00215B97">
        <w:rPr>
          <w:b w:val="0"/>
          <w:bCs w:val="0"/>
          <w:u w:val="none"/>
        </w:rPr>
        <w:t>income t</w:t>
      </w:r>
      <w:r>
        <w:rPr>
          <w:b w:val="0"/>
          <w:bCs w:val="0"/>
          <w:u w:val="none"/>
        </w:rPr>
        <w:t xml:space="preserve">axes required to be paid by </w:t>
      </w:r>
      <w:r w:rsidR="000256B3">
        <w:rPr>
          <w:b w:val="0"/>
          <w:bCs w:val="0"/>
          <w:u w:val="none"/>
        </w:rPr>
        <w:t xml:space="preserve">the </w:t>
      </w:r>
      <w:r>
        <w:rPr>
          <w:b w:val="0"/>
          <w:bCs w:val="0"/>
          <w:u w:val="none"/>
        </w:rPr>
        <w:t xml:space="preserve">Person </w:t>
      </w:r>
      <w:r w:rsidR="00DA3082">
        <w:rPr>
          <w:b w:val="0"/>
          <w:bCs w:val="0"/>
          <w:u w:val="none"/>
        </w:rPr>
        <w:t>regarding</w:t>
      </w:r>
      <w:r w:rsidR="00342A65">
        <w:rPr>
          <w:b w:val="0"/>
          <w:bCs w:val="0"/>
          <w:u w:val="none"/>
        </w:rPr>
        <w:t xml:space="preserve"> </w:t>
      </w:r>
      <w:r>
        <w:rPr>
          <w:b w:val="0"/>
          <w:bCs w:val="0"/>
          <w:u w:val="none"/>
        </w:rPr>
        <w:t xml:space="preserve">the receipt or accrual of the </w:t>
      </w:r>
      <w:r w:rsidR="00342A65">
        <w:rPr>
          <w:b w:val="0"/>
          <w:bCs w:val="0"/>
          <w:u w:val="none"/>
        </w:rPr>
        <w:t>B</w:t>
      </w:r>
      <w:r>
        <w:rPr>
          <w:b w:val="0"/>
          <w:bCs w:val="0"/>
          <w:u w:val="none"/>
        </w:rPr>
        <w:t xml:space="preserve">ase </w:t>
      </w:r>
      <w:r w:rsidR="00342A65">
        <w:rPr>
          <w:b w:val="0"/>
          <w:bCs w:val="0"/>
          <w:u w:val="none"/>
        </w:rPr>
        <w:t>P</w:t>
      </w:r>
      <w:r>
        <w:rPr>
          <w:b w:val="0"/>
          <w:bCs w:val="0"/>
          <w:u w:val="none"/>
        </w:rPr>
        <w:t xml:space="preserve">ayment and the </w:t>
      </w:r>
      <w:r w:rsidR="00342A65">
        <w:rPr>
          <w:b w:val="0"/>
          <w:bCs w:val="0"/>
          <w:u w:val="none"/>
        </w:rPr>
        <w:t>A</w:t>
      </w:r>
      <w:r>
        <w:rPr>
          <w:b w:val="0"/>
          <w:bCs w:val="0"/>
          <w:u w:val="none"/>
        </w:rPr>
        <w:t xml:space="preserve">dditional </w:t>
      </w:r>
      <w:r w:rsidR="00342A65">
        <w:rPr>
          <w:b w:val="0"/>
          <w:bCs w:val="0"/>
          <w:u w:val="none"/>
        </w:rPr>
        <w:t>P</w:t>
      </w:r>
      <w:r>
        <w:rPr>
          <w:b w:val="0"/>
          <w:bCs w:val="0"/>
          <w:u w:val="none"/>
        </w:rPr>
        <w:t xml:space="preserve">ayment (taking into account </w:t>
      </w:r>
      <w:r w:rsidR="00A11849">
        <w:rPr>
          <w:b w:val="0"/>
          <w:bCs w:val="0"/>
          <w:u w:val="none"/>
        </w:rPr>
        <w:t>the net present value of any reduction in income taxes resulting from tax benefits realized by the recipient as a result of the payment or the event giving rise to the payment</w:t>
      </w:r>
      <w:r>
        <w:rPr>
          <w:b w:val="0"/>
          <w:bCs w:val="0"/>
          <w:u w:val="none"/>
        </w:rPr>
        <w:t xml:space="preserve">), be equal to the amount required to be received. </w:t>
      </w:r>
      <w:r w:rsidR="00DA3082">
        <w:rPr>
          <w:b w:val="0"/>
          <w:bCs w:val="0"/>
          <w:u w:val="none"/>
        </w:rPr>
        <w:t>The</w:t>
      </w:r>
      <w:r w:rsidR="00A11849">
        <w:rPr>
          <w:b w:val="0"/>
          <w:bCs w:val="0"/>
          <w:u w:val="none"/>
        </w:rPr>
        <w:t xml:space="preserve"> </w:t>
      </w:r>
      <w:r>
        <w:rPr>
          <w:b w:val="0"/>
          <w:bCs w:val="0"/>
          <w:u w:val="none"/>
        </w:rPr>
        <w:t>calculations will be made on the basis of the highest</w:t>
      </w:r>
      <w:r w:rsidR="00783C34">
        <w:rPr>
          <w:b w:val="0"/>
          <w:bCs w:val="0"/>
          <w:u w:val="none"/>
        </w:rPr>
        <w:t xml:space="preserve"> generally</w:t>
      </w:r>
      <w:r>
        <w:rPr>
          <w:b w:val="0"/>
          <w:bCs w:val="0"/>
          <w:u w:val="none"/>
        </w:rPr>
        <w:t xml:space="preserve"> applicable </w:t>
      </w:r>
      <w:r w:rsidR="00783C34">
        <w:rPr>
          <w:b w:val="0"/>
          <w:bCs w:val="0"/>
          <w:u w:val="none"/>
        </w:rPr>
        <w:t xml:space="preserve">federal, state, and local income tax </w:t>
      </w:r>
      <w:r>
        <w:rPr>
          <w:b w:val="0"/>
          <w:bCs w:val="0"/>
          <w:u w:val="none"/>
        </w:rPr>
        <w:t>rate</w:t>
      </w:r>
      <w:r w:rsidR="00783C34">
        <w:rPr>
          <w:b w:val="0"/>
          <w:bCs w:val="0"/>
          <w:u w:val="none"/>
        </w:rPr>
        <w:t>s</w:t>
      </w:r>
      <w:r>
        <w:rPr>
          <w:b w:val="0"/>
          <w:bCs w:val="0"/>
          <w:u w:val="none"/>
        </w:rPr>
        <w:t xml:space="preserve"> applicable to </w:t>
      </w:r>
      <w:r w:rsidR="00783C34">
        <w:rPr>
          <w:b w:val="0"/>
          <w:bCs w:val="0"/>
          <w:u w:val="none"/>
        </w:rPr>
        <w:t xml:space="preserve">the Person for whom the calculation is being made for all relevant periods </w:t>
      </w:r>
      <w:r w:rsidR="00B13E7B">
        <w:rPr>
          <w:b w:val="0"/>
          <w:bCs w:val="0"/>
          <w:u w:val="none"/>
        </w:rPr>
        <w:t>and will take into account the deductibility of state and local income taxes for federal income tax purposes</w:t>
      </w:r>
      <w:r>
        <w:rPr>
          <w:b w:val="0"/>
          <w:bCs w:val="0"/>
          <w:u w:val="none"/>
        </w:rPr>
        <w:t>.</w:t>
      </w:r>
    </w:p>
    <w:p w:rsidRPr="00E42722" w:rsidR="00063E6D" w:rsidP="00DE7CC7" w:rsidRDefault="00063E6D" w14:paraId="6532E95F" w14:textId="07E5F1D2">
      <w:pPr>
        <w:pStyle w:val="Heading3"/>
        <w:rPr>
          <w:u w:val="none"/>
        </w:rPr>
      </w:pPr>
      <w:r>
        <w:t>AGC</w:t>
      </w:r>
      <w:r>
        <w:rPr>
          <w:u w:val="none"/>
        </w:rPr>
        <w:t xml:space="preserve">: </w:t>
      </w:r>
      <w:r>
        <w:rPr>
          <w:b w:val="0"/>
          <w:bCs w:val="0"/>
          <w:u w:val="none"/>
        </w:rPr>
        <w:t>See Automatic Generation Control.</w:t>
      </w:r>
      <w:r>
        <w:rPr>
          <w:u w:val="none"/>
        </w:rPr>
        <w:t xml:space="preserve"> </w:t>
      </w:r>
    </w:p>
    <w:p w:rsidRPr="00BF404C" w:rsidR="00BF404C" w:rsidP="00DE7CC7" w:rsidRDefault="00BF404C" w14:paraId="6D715176" w14:textId="3EA98D0C">
      <w:pPr>
        <w:pStyle w:val="Heading3"/>
      </w:pPr>
      <w:r>
        <w:t>AIER</w:t>
      </w:r>
      <w:r>
        <w:rPr>
          <w:u w:val="none"/>
        </w:rPr>
        <w:t xml:space="preserve">: </w:t>
      </w:r>
      <w:r>
        <w:rPr>
          <w:b w:val="0"/>
          <w:bCs w:val="0"/>
          <w:u w:val="none"/>
        </w:rPr>
        <w:t>See Associated Interchange Energy Rate.</w:t>
      </w:r>
      <w:r>
        <w:t xml:space="preserve"> </w:t>
      </w:r>
    </w:p>
    <w:p w:rsidR="00FD0943" w:rsidP="00DE7CC7" w:rsidRDefault="00FD0943" w14:paraId="5310ABC6" w14:textId="5B35630D">
      <w:pPr>
        <w:pStyle w:val="Heading3"/>
      </w:pPr>
      <w:r>
        <w:t>Air Permit</w:t>
      </w:r>
      <w:r>
        <w:rPr>
          <w:u w:val="none"/>
        </w:rPr>
        <w:t xml:space="preserve">: </w:t>
      </w:r>
      <w:r>
        <w:rPr>
          <w:b w:val="0"/>
          <w:bCs w:val="0"/>
          <w:u w:val="none"/>
        </w:rPr>
        <w:t>Consent(s) pertaining to air emissions necessary for the performance of Seller’s obligations under this PPA.</w:t>
      </w:r>
    </w:p>
    <w:p w:rsidRPr="00DC06DB" w:rsidR="00C40FC4" w:rsidP="00DE7CC7" w:rsidRDefault="00C40FC4" w14:paraId="66FFBDF2" w14:textId="2704EF0F">
      <w:pPr>
        <w:pStyle w:val="Heading3"/>
      </w:pPr>
      <w:r>
        <w:t>Air Permit Operating Limits</w:t>
      </w:r>
      <w:r>
        <w:rPr>
          <w:u w:val="none"/>
        </w:rPr>
        <w:t>:</w:t>
      </w:r>
      <w:r>
        <w:rPr>
          <w:iCs/>
          <w:u w:val="none"/>
        </w:rPr>
        <w:t xml:space="preserve"> </w:t>
      </w:r>
      <w:r>
        <w:rPr>
          <w:b w:val="0"/>
          <w:bCs w:val="0"/>
          <w:iCs/>
          <w:u w:val="none"/>
        </w:rPr>
        <w:t xml:space="preserve">As described in </w:t>
      </w:r>
      <w:r>
        <w:rPr>
          <w:b w:val="0"/>
          <w:bCs w:val="0"/>
          <w:u w:val="none"/>
        </w:rPr>
        <w:t>Exhibit A (</w:t>
      </w:r>
      <w:r>
        <w:rPr>
          <w:b w:val="0"/>
          <w:bCs w:val="0"/>
          <w:i/>
          <w:u w:val="none"/>
        </w:rPr>
        <w:t>Facility Description and Additional Details</w:t>
      </w:r>
      <w:r>
        <w:rPr>
          <w:b w:val="0"/>
          <w:bCs w:val="0"/>
          <w:u w:val="none"/>
        </w:rPr>
        <w:t>)</w:t>
      </w:r>
      <w:r>
        <w:rPr>
          <w:b w:val="0"/>
          <w:bCs w:val="0"/>
          <w:iCs/>
          <w:u w:val="none"/>
        </w:rPr>
        <w:t>, the operational limitations specified in</w:t>
      </w:r>
      <w:r>
        <w:rPr>
          <w:b w:val="0"/>
          <w:bCs w:val="0"/>
          <w:u w:val="none"/>
        </w:rPr>
        <w:t xml:space="preserve"> the Air Permit, as such limitations may be modified from time to time because of a Change of Law or other circumstance beyond Seller’s reasonable control.</w:t>
      </w:r>
    </w:p>
    <w:p w:rsidR="00960870" w:rsidP="00DE7CC7" w:rsidRDefault="00960870" w14:paraId="3F0215A2" w14:textId="0227C3AE">
      <w:pPr>
        <w:pStyle w:val="Heading3"/>
        <w:rPr>
          <w:b w:val="0"/>
          <w:bCs w:val="0"/>
          <w:u w:val="none"/>
        </w:rPr>
      </w:pPr>
      <w:r>
        <w:t xml:space="preserve">Air Permit </w:t>
      </w:r>
      <w:r w:rsidR="00F76717">
        <w:t xml:space="preserve">Milestone </w:t>
      </w:r>
      <w:r>
        <w:t>Date</w:t>
      </w:r>
      <w:r>
        <w:rPr>
          <w:u w:val="none"/>
        </w:rPr>
        <w:t xml:space="preserve">: </w:t>
      </w:r>
      <w:r>
        <w:rPr>
          <w:b w:val="0"/>
          <w:bCs w:val="0"/>
          <w:u w:val="none"/>
        </w:rPr>
        <w:t>The date by which Seller must obtain an Air Permit, as identified in Exhibit A-1 (</w:t>
      </w:r>
      <w:r>
        <w:rPr>
          <w:b w:val="0"/>
          <w:bCs w:val="0"/>
          <w:i/>
          <w:u w:val="none"/>
        </w:rPr>
        <w:t>Key Milestones and Required Key Milestone Dates</w:t>
      </w:r>
      <w:r>
        <w:rPr>
          <w:b w:val="0"/>
          <w:bCs w:val="0"/>
          <w:u w:val="none"/>
        </w:rPr>
        <w:t>).</w:t>
      </w:r>
    </w:p>
    <w:p w:rsidRPr="00F10071" w:rsidR="00F76717" w:rsidP="00DE7CC7" w:rsidRDefault="00F76717" w14:paraId="3BB342E5" w14:textId="1823AA1E">
      <w:pPr>
        <w:pStyle w:val="Heading3"/>
      </w:pPr>
      <w:r w:rsidRPr="00955260">
        <w:t>Air Permit Outside Date</w:t>
      </w:r>
      <w:r w:rsidRPr="00955260">
        <w:rPr>
          <w:u w:val="none"/>
        </w:rPr>
        <w:t>:</w:t>
      </w:r>
      <w:r>
        <w:rPr>
          <w:b w:val="0"/>
          <w:bCs w:val="0"/>
          <w:u w:val="none"/>
        </w:rPr>
        <w:t xml:space="preserve"> The d</w:t>
      </w:r>
      <w:r w:rsidR="00955260">
        <w:rPr>
          <w:b w:val="0"/>
          <w:bCs w:val="0"/>
          <w:u w:val="none"/>
        </w:rPr>
        <w:t>ate that is 18 Months before RCOD.</w:t>
      </w:r>
    </w:p>
    <w:p w:rsidRPr="00F10071" w:rsidR="00960870" w:rsidP="00DE7CC7" w:rsidRDefault="00960870" w14:paraId="4E04BFAB" w14:textId="0A171CDE">
      <w:pPr>
        <w:pStyle w:val="Heading3"/>
      </w:pPr>
      <w:r>
        <w:t>Alternate Delivery</w:t>
      </w:r>
      <w:r>
        <w:rPr>
          <w:u w:val="none"/>
        </w:rPr>
        <w:t xml:space="preserve">: </w:t>
      </w:r>
      <w:r>
        <w:rPr>
          <w:b w:val="0"/>
          <w:bCs w:val="0"/>
          <w:u w:val="none"/>
        </w:rPr>
        <w:t>Delivery of capacity and energy from an Alternate Resource to an Alternate Delivery Point.</w:t>
      </w:r>
    </w:p>
    <w:p w:rsidRPr="00F10071" w:rsidR="00960870" w:rsidP="00DE7CC7" w:rsidRDefault="00960870" w14:paraId="2739D877" w14:textId="534FF4A9">
      <w:pPr>
        <w:pStyle w:val="Heading3"/>
      </w:pPr>
      <w:r>
        <w:t>Alternate Delivery Point</w:t>
      </w:r>
      <w:r>
        <w:rPr>
          <w:u w:val="none"/>
        </w:rPr>
        <w:t xml:space="preserve">: </w:t>
      </w:r>
      <w:r>
        <w:rPr>
          <w:b w:val="0"/>
          <w:bCs w:val="0"/>
          <w:u w:val="none"/>
        </w:rPr>
        <w:t xml:space="preserve">Any point of interconnection between the Alternate Resource and the Electric System, or the point(s) of interface between the transmission system to which the Alternate Resource is interconnected and the Electric System: (i) at which GPC is capable of receiving energy in the quantity to be delivered at the point in accordance with the Southern OATT; (ii) from which GPC can obtain Firm Transmission Service to deliver all the energy from the applicable Alternate Resource from the point to serve GPC’s native load customers at no additional cost to GPC or its customers; and (iii) from which GPC is able to transmit the energy to its load without </w:t>
      </w:r>
      <w:r>
        <w:rPr>
          <w:b w:val="0"/>
          <w:bCs w:val="0"/>
          <w:u w:val="none"/>
        </w:rPr>
        <w:lastRenderedPageBreak/>
        <w:t>being required to either materially change the output of generating resources available to GPC or materially change the schedule of its preexisting power purchases or sales (other than purchases or sales under this PPA) that results in material economic harm to GPC.</w:t>
      </w:r>
    </w:p>
    <w:p w:rsidRPr="00080A58" w:rsidR="00960870" w:rsidP="00DE7CC7" w:rsidRDefault="00960870" w14:paraId="713222CC" w14:textId="14825AF1">
      <w:pPr>
        <w:pStyle w:val="Heading3"/>
      </w:pPr>
      <w:r>
        <w:t>Alternate Resource</w:t>
      </w:r>
      <w:r>
        <w:rPr>
          <w:u w:val="none"/>
        </w:rPr>
        <w:t xml:space="preserve">: </w:t>
      </w:r>
      <w:r>
        <w:rPr>
          <w:b w:val="0"/>
          <w:bCs w:val="0"/>
          <w:u w:val="none"/>
        </w:rPr>
        <w:t>A generating resource, other than the Facility, that: (i) is connected to the Southern Company Transmission System, either directly or through other transmission systems; (ii) can be called on a first-call basis by Seller; and (iii) is reasonably reliable to meet GPC’s Schedule, as determined in GPC’s sole judgment.</w:t>
      </w:r>
    </w:p>
    <w:p w:rsidRPr="00F10071" w:rsidR="00960870" w:rsidP="00DE7CC7" w:rsidRDefault="00960870" w14:paraId="2B6DD696" w14:textId="5B18B3E6">
      <w:pPr>
        <w:pStyle w:val="Heading3"/>
      </w:pPr>
      <w:r>
        <w:t>Alternate Resource Delivery Hours (ARDH)</w:t>
      </w:r>
      <w:r>
        <w:rPr>
          <w:u w:val="none"/>
        </w:rPr>
        <w:t xml:space="preserve">: </w:t>
      </w:r>
      <w:r w:rsidRPr="001246C3" w:rsidR="00D55803">
        <w:rPr>
          <w:b w:val="0"/>
          <w:bCs w:val="0"/>
          <w:u w:val="none"/>
        </w:rPr>
        <w:t>The Unplanned (Forced) Outage Hours or Equivalent Unplanned (Forced) Derated Hours in which delivery is made from an Alternate Resource in accordance with PPA Section 4.1.4 (</w:t>
      </w:r>
      <w:r w:rsidRPr="001246C3" w:rsidR="00D55803">
        <w:rPr>
          <w:b w:val="0"/>
          <w:bCs w:val="0"/>
          <w:i/>
          <w:u w:val="none"/>
        </w:rPr>
        <w:t>Unavailability</w:t>
      </w:r>
      <w:r w:rsidRPr="001246C3" w:rsidR="00D55803">
        <w:rPr>
          <w:b w:val="0"/>
          <w:bCs w:val="0"/>
          <w:u w:val="none"/>
        </w:rPr>
        <w:t>), as further d</w:t>
      </w:r>
      <w:r w:rsidRPr="001246C3">
        <w:rPr>
          <w:b w:val="0"/>
          <w:bCs w:val="0"/>
          <w:u w:val="none"/>
        </w:rPr>
        <w:t>efined</w:t>
      </w:r>
      <w:r>
        <w:rPr>
          <w:b w:val="0"/>
          <w:bCs w:val="0"/>
          <w:u w:val="none"/>
        </w:rPr>
        <w:t xml:space="preserve"> and determined in accordance with Exhibit B (</w:t>
      </w:r>
      <w:r>
        <w:rPr>
          <w:b w:val="0"/>
          <w:bCs w:val="0"/>
          <w:i/>
          <w:u w:val="none"/>
        </w:rPr>
        <w:t>Capacity; Capacity Payments and Payment Reductions; Buydown</w:t>
      </w:r>
      <w:r>
        <w:rPr>
          <w:b w:val="0"/>
          <w:bCs w:val="0"/>
          <w:u w:val="none"/>
        </w:rPr>
        <w:t>), Section 3.2 (</w:t>
      </w:r>
      <w:r>
        <w:rPr>
          <w:b w:val="0"/>
          <w:bCs w:val="0"/>
          <w:i/>
          <w:u w:val="none"/>
        </w:rPr>
        <w:t>Calculation of Monthly Availability Percentage</w:t>
      </w:r>
      <w:r>
        <w:rPr>
          <w:b w:val="0"/>
          <w:bCs w:val="0"/>
          <w:u w:val="none"/>
        </w:rPr>
        <w:t>).</w:t>
      </w:r>
    </w:p>
    <w:p w:rsidRPr="00196A91" w:rsidR="007C6B0B" w:rsidP="00DE7CC7" w:rsidRDefault="007C6B0B" w14:paraId="2EF3C7F4" w14:textId="54B11491">
      <w:pPr>
        <w:pStyle w:val="Heading3"/>
      </w:pPr>
      <w:r>
        <w:t>Amended Commission Certificate</w:t>
      </w:r>
      <w:r>
        <w:rPr>
          <w:u w:val="none"/>
        </w:rPr>
        <w:t xml:space="preserve">: </w:t>
      </w:r>
      <w:r>
        <w:rPr>
          <w:b w:val="0"/>
          <w:bCs w:val="0"/>
          <w:u w:val="none"/>
        </w:rPr>
        <w:t>Defined in Section 1.3.4 (</w:t>
      </w:r>
      <w:r>
        <w:rPr>
          <w:b w:val="0"/>
          <w:bCs w:val="0"/>
          <w:i/>
          <w:u w:val="none"/>
        </w:rPr>
        <w:t>Revocation, Qualifications, or Conditions</w:t>
      </w:r>
      <w:r>
        <w:rPr>
          <w:b w:val="0"/>
          <w:bCs w:val="0"/>
          <w:u w:val="none"/>
        </w:rPr>
        <w:t>).</w:t>
      </w:r>
    </w:p>
    <w:p w:rsidRPr="00080A58" w:rsidR="00960870" w:rsidP="00DE7CC7" w:rsidRDefault="66E80B02" w14:paraId="0A891345" w14:textId="0992A2D3">
      <w:pPr>
        <w:pStyle w:val="Heading3"/>
      </w:pPr>
      <w:r>
        <w:t>Ancillary Services</w:t>
      </w:r>
      <w:r>
        <w:rPr>
          <w:u w:val="none"/>
        </w:rPr>
        <w:t xml:space="preserve">: </w:t>
      </w:r>
      <w:r>
        <w:rPr>
          <w:b w:val="0"/>
          <w:bCs w:val="0"/>
          <w:u w:val="none"/>
        </w:rPr>
        <w:t>All commercial products other than electrical output that are produced by or related to the Facility, including Electrical Products, Environmental Attributes, any other environmental or regulatory credits or allowances resulting from operation of the Facility, and any other benefit GPC otherwise would have realized from or related to the Facility if GPC rather than Seller had constructed, owned, or operated the Facility, it being the Parties’ intent that all the benefits and entitlements in addition to electrical output that flow to the owner or operator of the Facility, whether existing as of the Effective Date or at any time during the Term, belong to GPC at no additional cost to GPC. However, if a commercial product is not produced by the Facility, Seller will not be required to acquire the commercial product in the market to comply with this PPA.</w:t>
      </w:r>
      <w:r>
        <w:rPr>
          <w:rFonts w:eastAsia="Calibri"/>
          <w:b w:val="0"/>
          <w:bCs w:val="0"/>
          <w:w w:val="0"/>
          <w:u w:val="none"/>
        </w:rPr>
        <w:t xml:space="preserve"> Ancillary Services </w:t>
      </w:r>
      <w:r>
        <w:rPr>
          <w:b w:val="0"/>
          <w:bCs w:val="0"/>
          <w:u w:val="none"/>
        </w:rPr>
        <w:t>do not include: (i) any federal, state, or local tax attribute arising from ownership of the Facility, including any investment tax credit (ITC), production tax credit (PTC), or depreciation deduction; (ii) grant in lieu of ITC or any similar financial payment or grant regarding the Facility; or (iii) the metered electric energy produced by the Facility.</w:t>
      </w:r>
    </w:p>
    <w:p w:rsidRPr="00F10071" w:rsidR="00960870" w:rsidP="00DE7CC7" w:rsidRDefault="00960870" w14:paraId="47B4E840" w14:textId="4A8A97D8">
      <w:pPr>
        <w:pStyle w:val="Heading3"/>
      </w:pPr>
      <w:r>
        <w:t>Annual Capacity Price (ACP)</w:t>
      </w:r>
      <w:r>
        <w:rPr>
          <w:u w:val="none"/>
        </w:rPr>
        <w:t xml:space="preserve">: </w:t>
      </w:r>
      <w:r>
        <w:rPr>
          <w:b w:val="0"/>
          <w:bCs w:val="0"/>
          <w:u w:val="none"/>
        </w:rPr>
        <w:t>The annual price to be paid by GPC to Seller for GPC’s purchase of the Facility’s capacity, as set forth in Section 1.5 (</w:t>
      </w:r>
      <w:r>
        <w:rPr>
          <w:b w:val="0"/>
          <w:bCs w:val="0"/>
          <w:i/>
          <w:u w:val="none"/>
        </w:rPr>
        <w:t>Capacity Pricing</w:t>
      </w:r>
      <w:r>
        <w:rPr>
          <w:b w:val="0"/>
          <w:bCs w:val="0"/>
          <w:u w:val="none"/>
        </w:rPr>
        <w:t>) in Exhibit B</w:t>
      </w:r>
      <w:r>
        <w:rPr>
          <w:b w:val="0"/>
          <w:bCs w:val="0"/>
          <w:i/>
          <w:u w:val="none"/>
        </w:rPr>
        <w:t xml:space="preserve"> </w:t>
      </w:r>
      <w:r>
        <w:rPr>
          <w:b w:val="0"/>
          <w:bCs w:val="0"/>
          <w:u w:val="none"/>
        </w:rPr>
        <w:t>(</w:t>
      </w:r>
      <w:r>
        <w:rPr>
          <w:b w:val="0"/>
          <w:bCs w:val="0"/>
          <w:i/>
          <w:u w:val="none"/>
        </w:rPr>
        <w:t>Capacity; Capacity Payments and Payment Reductions; Buydown</w:t>
      </w:r>
      <w:r>
        <w:rPr>
          <w:b w:val="0"/>
          <w:bCs w:val="0"/>
          <w:u w:val="none"/>
        </w:rPr>
        <w:t>),</w:t>
      </w:r>
      <w:r>
        <w:rPr>
          <w:b w:val="0"/>
          <w:bCs w:val="0"/>
          <w:iCs/>
          <w:u w:val="none"/>
        </w:rPr>
        <w:t xml:space="preserve"> subject to adjustment as set forth in </w:t>
      </w:r>
      <w:r w:rsidR="005E2E52">
        <w:rPr>
          <w:b w:val="0"/>
          <w:bCs w:val="0"/>
          <w:iCs/>
          <w:u w:val="none"/>
        </w:rPr>
        <w:t>Part 17 (</w:t>
      </w:r>
      <w:r w:rsidR="00380AF1">
        <w:rPr>
          <w:b w:val="0"/>
          <w:bCs w:val="0"/>
          <w:i/>
          <w:u w:val="none"/>
        </w:rPr>
        <w:t>Compliance with Laws</w:t>
      </w:r>
      <w:r w:rsidR="005E2E52">
        <w:rPr>
          <w:b w:val="0"/>
          <w:bCs w:val="0"/>
          <w:iCs/>
          <w:u w:val="none"/>
        </w:rPr>
        <w:t>)</w:t>
      </w:r>
      <w:r>
        <w:rPr>
          <w:b w:val="0"/>
          <w:bCs w:val="0"/>
          <w:u w:val="none"/>
        </w:rPr>
        <w:t>.</w:t>
      </w:r>
    </w:p>
    <w:p w:rsidRPr="00F10071" w:rsidR="00240BF4" w:rsidP="00DE7CC7" w:rsidRDefault="00960870" w14:paraId="755CC7AF" w14:textId="2FF11F98">
      <w:pPr>
        <w:pStyle w:val="Heading3"/>
      </w:pPr>
      <w:r>
        <w:t>Annual Period</w:t>
      </w:r>
      <w:r>
        <w:rPr>
          <w:u w:val="none"/>
        </w:rPr>
        <w:t xml:space="preserve">: </w:t>
      </w:r>
      <w:r w:rsidR="00616C30">
        <w:rPr>
          <w:b w:val="0"/>
          <w:bCs w:val="0"/>
          <w:u w:val="none"/>
        </w:rPr>
        <w:t>Each</w:t>
      </w:r>
      <w:r>
        <w:rPr>
          <w:b w:val="0"/>
          <w:bCs w:val="0"/>
          <w:u w:val="none"/>
        </w:rPr>
        <w:t xml:space="preserve"> consecutive 12-Month period during the Term</w:t>
      </w:r>
      <w:r w:rsidR="00E146D4">
        <w:rPr>
          <w:b w:val="0"/>
          <w:bCs w:val="0"/>
          <w:u w:val="none"/>
        </w:rPr>
        <w:t>, with the first Annual Period</w:t>
      </w:r>
      <w:r>
        <w:rPr>
          <w:b w:val="0"/>
          <w:bCs w:val="0"/>
          <w:u w:val="none"/>
        </w:rPr>
        <w:t xml:space="preserve"> beginning on the Delivery Commencement Date.</w:t>
      </w:r>
    </w:p>
    <w:p w:rsidRPr="00196A91" w:rsidR="0E0692E1" w:rsidP="002734EC" w:rsidRDefault="0E0692E1" w14:paraId="2033013D" w14:textId="55AC139B">
      <w:pPr>
        <w:pStyle w:val="Heading3"/>
      </w:pPr>
      <w:r>
        <w:rPr>
          <w:iCs/>
        </w:rPr>
        <w:t>Arbitration Panel</w:t>
      </w:r>
      <w:r>
        <w:rPr>
          <w:iCs/>
          <w:u w:val="none"/>
        </w:rPr>
        <w:t xml:space="preserve">: </w:t>
      </w:r>
      <w:r>
        <w:rPr>
          <w:b w:val="0"/>
          <w:bCs w:val="0"/>
          <w:iCs/>
          <w:u w:val="none"/>
        </w:rPr>
        <w:t>Defined in Section 19.3.2(i) (</w:t>
      </w:r>
      <w:r>
        <w:rPr>
          <w:b w:val="0"/>
          <w:bCs w:val="0"/>
          <w:i/>
          <w:iCs/>
          <w:u w:val="none"/>
        </w:rPr>
        <w:t>Initiation of Arbitration; Selection of Party-Appointed Arbitrators</w:t>
      </w:r>
      <w:r>
        <w:rPr>
          <w:b w:val="0"/>
          <w:bCs w:val="0"/>
          <w:iCs/>
          <w:u w:val="none"/>
        </w:rPr>
        <w:t>).</w:t>
      </w:r>
    </w:p>
    <w:p w:rsidRPr="00F10071" w:rsidR="00960870" w:rsidP="00DE7CC7" w:rsidRDefault="00960870" w14:paraId="3CD38792" w14:textId="5C276492">
      <w:pPr>
        <w:pStyle w:val="Heading3"/>
      </w:pPr>
      <w:r>
        <w:t>ASC</w:t>
      </w:r>
      <w:r>
        <w:rPr>
          <w:u w:val="none"/>
        </w:rPr>
        <w:t xml:space="preserve">: </w:t>
      </w:r>
      <w:r>
        <w:rPr>
          <w:b w:val="0"/>
          <w:bCs w:val="0"/>
          <w:u w:val="none"/>
        </w:rPr>
        <w:t>The FASB Accounting Standards Codification.</w:t>
      </w:r>
    </w:p>
    <w:p w:rsidRPr="00E42722" w:rsidR="00960870" w:rsidP="00DE7CC7" w:rsidRDefault="00960870" w14:paraId="1A04B22D" w14:textId="7BAF8FB5">
      <w:pPr>
        <w:pStyle w:val="Heading3"/>
        <w:rPr>
          <w:u w:val="none"/>
        </w:rPr>
      </w:pPr>
      <w:r>
        <w:t>ASME Performance Test Code</w:t>
      </w:r>
      <w:r>
        <w:rPr>
          <w:u w:val="none"/>
        </w:rPr>
        <w:t xml:space="preserve">: </w:t>
      </w:r>
      <w:r>
        <w:rPr>
          <w:b w:val="0"/>
          <w:bCs w:val="0"/>
          <w:u w:val="none"/>
        </w:rPr>
        <w:t>The rules and regulations established by the American Society of Mechanical Engineers to govern Performance Tests applicable to the Facility under this PPA.</w:t>
      </w:r>
    </w:p>
    <w:p w:rsidRPr="00E42722" w:rsidR="0008799A" w:rsidP="00DE7CC7" w:rsidRDefault="0008799A" w14:paraId="52822831" w14:textId="294B3E8B">
      <w:pPr>
        <w:pStyle w:val="Heading3"/>
        <w:rPr>
          <w:b w:val="0"/>
          <w:bCs w:val="0"/>
        </w:rPr>
      </w:pPr>
      <w:r>
        <w:rPr>
          <w:rFonts w:eastAsia="PMingLiU"/>
        </w:rPr>
        <w:t>Associated Interchange Energy Rate (AIER)</w:t>
      </w:r>
      <w:r>
        <w:rPr>
          <w:rFonts w:eastAsia="PMingLiU"/>
          <w:u w:val="none"/>
        </w:rPr>
        <w:t xml:space="preserve">: </w:t>
      </w:r>
      <w:r>
        <w:rPr>
          <w:b w:val="0"/>
          <w:bCs w:val="0"/>
          <w:u w:val="none"/>
        </w:rPr>
        <w:t>As determined for each Hour, the variable dispatch cost of the incremental resources that serve the collective obligations of the Southern Companies.</w:t>
      </w:r>
    </w:p>
    <w:p w:rsidRPr="00F10071" w:rsidR="00F664CA" w:rsidP="00DE7CC7" w:rsidRDefault="00F664CA" w14:paraId="24D2C728" w14:textId="55EDF75E">
      <w:pPr>
        <w:pStyle w:val="Heading3"/>
      </w:pPr>
      <w:r>
        <w:t>Automatic Generation Control (AGC)</w:t>
      </w:r>
      <w:r>
        <w:rPr>
          <w:u w:val="none"/>
        </w:rPr>
        <w:t xml:space="preserve">: </w:t>
      </w:r>
      <w:r>
        <w:rPr>
          <w:b w:val="0"/>
          <w:bCs w:val="0"/>
          <w:u w:val="none"/>
        </w:rPr>
        <w:t>The equipment and capability of a facility to automatically adjust energy output within the applicable balancing authority for purposes of interchange balancing, and specifically, the Facility’s capability to accept a set point electronically and the automatic adjustment and regulation of the Facility’s energy output to meet that set point.</w:t>
      </w:r>
    </w:p>
    <w:p w:rsidRPr="00F10071" w:rsidR="00960870" w:rsidP="00DE7CC7" w:rsidRDefault="00960870" w14:paraId="4134336D" w14:textId="7FA8798E">
      <w:pPr>
        <w:pStyle w:val="Heading3"/>
      </w:pPr>
      <w:r>
        <w:t>Availability Percentage</w:t>
      </w:r>
      <w:r>
        <w:rPr>
          <w:u w:val="none"/>
        </w:rPr>
        <w:t xml:space="preserve">: </w:t>
      </w:r>
      <w:r>
        <w:rPr>
          <w:b w:val="0"/>
          <w:bCs w:val="0"/>
          <w:u w:val="none"/>
        </w:rPr>
        <w:t>Defined in Section 16.1.8 (</w:t>
      </w:r>
      <w:r>
        <w:rPr>
          <w:b w:val="0"/>
          <w:bCs w:val="0"/>
          <w:i/>
          <w:u w:val="none"/>
        </w:rPr>
        <w:t>Failure to Maintain Availability Percentage</w:t>
      </w:r>
      <w:r>
        <w:rPr>
          <w:b w:val="0"/>
          <w:bCs w:val="0"/>
          <w:u w:val="none"/>
        </w:rPr>
        <w:t>).</w:t>
      </w:r>
    </w:p>
    <w:p w:rsidRPr="00E42722" w:rsidR="00960870" w:rsidP="00DE7CC7" w:rsidRDefault="00960870" w14:paraId="0AA5B697" w14:textId="4D7933A8">
      <w:pPr>
        <w:pStyle w:val="Heading3"/>
        <w:rPr>
          <w:u w:val="none"/>
        </w:rPr>
      </w:pPr>
      <w:r>
        <w:t>Available</w:t>
      </w:r>
      <w:r>
        <w:rPr>
          <w:u w:val="none"/>
        </w:rPr>
        <w:t xml:space="preserve">: </w:t>
      </w:r>
      <w:r>
        <w:rPr>
          <w:b w:val="0"/>
          <w:bCs w:val="0"/>
          <w:u w:val="none"/>
        </w:rPr>
        <w:t>All times following the Delivery Commencement Date when the Facility or an Alternate Resource (designated in accordance with Section 4.1.4 (</w:t>
      </w:r>
      <w:r>
        <w:rPr>
          <w:b w:val="0"/>
          <w:bCs w:val="0"/>
          <w:i/>
          <w:u w:val="none"/>
        </w:rPr>
        <w:t>Unavailability</w:t>
      </w:r>
      <w:r>
        <w:rPr>
          <w:b w:val="0"/>
          <w:bCs w:val="0"/>
          <w:u w:val="none"/>
        </w:rPr>
        <w:t>)),</w:t>
      </w:r>
      <w:r>
        <w:rPr>
          <w:b w:val="0"/>
          <w:bCs w:val="0"/>
          <w:i/>
          <w:u w:val="none"/>
        </w:rPr>
        <w:t xml:space="preserve"> </w:t>
      </w:r>
      <w:r>
        <w:rPr>
          <w:b w:val="0"/>
          <w:bCs w:val="0"/>
          <w:u w:val="none"/>
        </w:rPr>
        <w:t>as applicable, is not Unavailable.</w:t>
      </w:r>
    </w:p>
    <w:p w:rsidRPr="00F10071" w:rsidR="008D6720" w:rsidP="00DE7CC7" w:rsidRDefault="008D6720" w14:paraId="2F427250" w14:textId="7DAD2019">
      <w:pPr>
        <w:pStyle w:val="Heading3"/>
      </w:pPr>
      <w:r>
        <w:t>Banking Day</w:t>
      </w:r>
      <w:r>
        <w:rPr>
          <w:u w:val="none"/>
        </w:rPr>
        <w:t xml:space="preserve">: </w:t>
      </w:r>
      <w:r>
        <w:rPr>
          <w:b w:val="0"/>
          <w:bCs w:val="0"/>
          <w:u w:val="none"/>
        </w:rPr>
        <w:t>Any Day on which banking institutions in Atlanta, Georgia are open.</w:t>
      </w:r>
    </w:p>
    <w:p w:rsidRPr="00E42722" w:rsidR="00960870" w:rsidP="00DE7CC7" w:rsidRDefault="00960870" w14:paraId="125A781B" w14:textId="1F19F7E7">
      <w:pPr>
        <w:pStyle w:val="Heading3"/>
        <w:rPr>
          <w:b w:val="0"/>
          <w:bCs w:val="0"/>
          <w:u w:val="none"/>
        </w:rPr>
      </w:pPr>
      <w:r>
        <w:t>Base Capacity Shortfall</w:t>
      </w:r>
      <w:r>
        <w:rPr>
          <w:u w:val="none"/>
        </w:rPr>
        <w:t xml:space="preserve">: </w:t>
      </w:r>
      <w:r>
        <w:rPr>
          <w:b w:val="0"/>
          <w:bCs w:val="0"/>
          <w:u w:val="none"/>
        </w:rPr>
        <w:t>A Capacity Shortfall regarding the Declared Base Capacity.</w:t>
      </w:r>
    </w:p>
    <w:p w:rsidRPr="00F05B84" w:rsidR="00960870" w:rsidP="00DE7CC7" w:rsidRDefault="00960870" w14:paraId="33BE4E98" w14:textId="7DBC38C3">
      <w:pPr>
        <w:pStyle w:val="Heading3"/>
      </w:pPr>
      <w:r>
        <w:t>Base Mode Value Factor</w:t>
      </w:r>
      <w:r>
        <w:rPr>
          <w:u w:val="none"/>
        </w:rPr>
        <w:t xml:space="preserve">: </w:t>
      </w:r>
      <w:r>
        <w:rPr>
          <w:b w:val="0"/>
          <w:bCs w:val="0"/>
          <w:u w:val="none"/>
        </w:rPr>
        <w:t>Defined in Exhibit B (</w:t>
      </w:r>
      <w:r>
        <w:rPr>
          <w:b w:val="0"/>
          <w:bCs w:val="0"/>
          <w:i/>
          <w:iCs/>
          <w:u w:val="none"/>
        </w:rPr>
        <w:t>Capacity; Capacity Payments and Payment Reductions; Buydown</w:t>
      </w:r>
      <w:r>
        <w:rPr>
          <w:b w:val="0"/>
          <w:bCs w:val="0"/>
          <w:u w:val="none"/>
        </w:rPr>
        <w:t>), Section 1.5 (</w:t>
      </w:r>
      <w:r>
        <w:rPr>
          <w:b w:val="0"/>
          <w:bCs w:val="0"/>
          <w:i/>
          <w:iCs/>
          <w:u w:val="none"/>
        </w:rPr>
        <w:t>Capacity Pricing</w:t>
      </w:r>
      <w:r>
        <w:rPr>
          <w:b w:val="0"/>
          <w:bCs w:val="0"/>
          <w:u w:val="none"/>
        </w:rPr>
        <w:t>).</w:t>
      </w:r>
    </w:p>
    <w:p w:rsidRPr="00F10071" w:rsidR="00960870" w:rsidP="00DE7CC7" w:rsidRDefault="00960870" w14:paraId="26D9EC32" w14:textId="249B1DF7">
      <w:pPr>
        <w:pStyle w:val="Heading3"/>
      </w:pPr>
      <w:r>
        <w:t>Base Operating Mode</w:t>
      </w:r>
      <w:r>
        <w:rPr>
          <w:u w:val="none"/>
        </w:rPr>
        <w:t xml:space="preserve">: </w:t>
      </w:r>
      <w:r>
        <w:rPr>
          <w:b w:val="0"/>
          <w:bCs w:val="0"/>
          <w:u w:val="none"/>
        </w:rPr>
        <w:t>The normal operating mode without any supplemental capacity (e.g., duct firing, steam injection, etc.).</w:t>
      </w:r>
    </w:p>
    <w:p w:rsidRPr="00E42722" w:rsidR="00B14AB4" w:rsidP="00DE7CC7" w:rsidRDefault="00960870" w14:paraId="4D666BD3" w14:textId="3D70BBD5">
      <w:pPr>
        <w:pStyle w:val="Heading3"/>
        <w:rPr>
          <w:b w:val="0"/>
          <w:bCs w:val="0"/>
          <w:u w:val="none"/>
        </w:rPr>
      </w:pPr>
      <w:r>
        <w:t>Base Operating Mode Energy</w:t>
      </w:r>
      <w:r>
        <w:rPr>
          <w:u w:val="none"/>
        </w:rPr>
        <w:t xml:space="preserve">: </w:t>
      </w:r>
      <w:r>
        <w:rPr>
          <w:b w:val="0"/>
          <w:bCs w:val="0"/>
          <w:u w:val="none"/>
        </w:rPr>
        <w:t>Energy the Facility produces in Base Operating Mode.</w:t>
      </w:r>
    </w:p>
    <w:p w:rsidRPr="00196A91" w:rsidR="5349F6E2" w:rsidP="00DE7CC7" w:rsidRDefault="5349F6E2" w14:paraId="18B30D8F" w14:textId="51FA0C2C">
      <w:pPr>
        <w:pStyle w:val="Heading3"/>
      </w:pPr>
      <w:r>
        <w:t>Billing Dispute</w:t>
      </w:r>
      <w:r>
        <w:rPr>
          <w:u w:val="none"/>
        </w:rPr>
        <w:t xml:space="preserve">: </w:t>
      </w:r>
      <w:r>
        <w:rPr>
          <w:b w:val="0"/>
          <w:bCs w:val="0"/>
          <w:u w:val="none"/>
        </w:rPr>
        <w:t>Defined in Section 19.3 (</w:t>
      </w:r>
      <w:r>
        <w:rPr>
          <w:b w:val="0"/>
          <w:bCs w:val="0"/>
          <w:i/>
          <w:u w:val="none"/>
        </w:rPr>
        <w:t>JAMS Arbitration</w:t>
      </w:r>
      <w:r>
        <w:rPr>
          <w:b w:val="0"/>
          <w:bCs w:val="0"/>
          <w:u w:val="none"/>
        </w:rPr>
        <w:t>).</w:t>
      </w:r>
    </w:p>
    <w:p w:rsidRPr="00E42722" w:rsidR="00960870" w:rsidP="00DE7CC7" w:rsidRDefault="00960870" w14:paraId="6BACA081" w14:textId="3C1F78BF">
      <w:pPr>
        <w:pStyle w:val="Heading3"/>
        <w:rPr>
          <w:u w:val="none"/>
        </w:rPr>
      </w:pPr>
      <w:r>
        <w:t>Business Day</w:t>
      </w:r>
      <w:r>
        <w:rPr>
          <w:u w:val="none"/>
        </w:rPr>
        <w:t xml:space="preserve">: </w:t>
      </w:r>
      <w:r>
        <w:rPr>
          <w:b w:val="0"/>
          <w:bCs w:val="0"/>
          <w:u w:val="none"/>
        </w:rPr>
        <w:t>Any Day excluding Saturday, Sunday, and NERC-defined holidays.</w:t>
      </w:r>
    </w:p>
    <w:p w:rsidRPr="00E42722" w:rsidR="00960870" w:rsidP="00DE7CC7" w:rsidRDefault="00960870" w14:paraId="3AFA70FD" w14:textId="3C0B11B4">
      <w:pPr>
        <w:pStyle w:val="Heading3"/>
        <w:rPr>
          <w:b w:val="0"/>
          <w:bCs w:val="0"/>
          <w:u w:val="none"/>
        </w:rPr>
      </w:pPr>
      <w:r>
        <w:lastRenderedPageBreak/>
        <w:t>Capacity Shortfall</w:t>
      </w:r>
      <w:r>
        <w:rPr>
          <w:u w:val="none"/>
        </w:rPr>
        <w:t xml:space="preserve">: </w:t>
      </w:r>
      <w:r>
        <w:rPr>
          <w:b w:val="0"/>
          <w:bCs w:val="0"/>
          <w:u w:val="none"/>
        </w:rPr>
        <w:t>Defined in Section 4.1.7(i) (</w:t>
      </w:r>
      <w:r>
        <w:rPr>
          <w:b w:val="0"/>
          <w:bCs w:val="0"/>
          <w:i/>
          <w:u w:val="none"/>
        </w:rPr>
        <w:t>Capacity Shortfall Declaration</w:t>
      </w:r>
      <w:r>
        <w:rPr>
          <w:b w:val="0"/>
          <w:bCs w:val="0"/>
          <w:u w:val="none"/>
        </w:rPr>
        <w:t xml:space="preserve">). </w:t>
      </w:r>
    </w:p>
    <w:p w:rsidRPr="00F10071" w:rsidR="007F4B37" w:rsidP="00DE7CC7" w:rsidRDefault="007F4B37" w14:paraId="450FDA72" w14:textId="026FBC6D">
      <w:pPr>
        <w:pStyle w:val="Heading3"/>
      </w:pPr>
      <w:r>
        <w:t>Central Prevailing Time (CPT)</w:t>
      </w:r>
      <w:r>
        <w:rPr>
          <w:u w:val="none"/>
        </w:rPr>
        <w:t xml:space="preserve">: </w:t>
      </w:r>
      <w:r>
        <w:rPr>
          <w:b w:val="0"/>
          <w:bCs w:val="0"/>
          <w:u w:val="none"/>
        </w:rPr>
        <w:t>The time in the central time zone of the United States, considering daylight savings time if it is in effect (i.e., Central Standard Time (CST) or Central Daylight Time (CDT), as applicable).</w:t>
      </w:r>
      <w:r>
        <w:rPr>
          <w:u w:val="none"/>
        </w:rPr>
        <w:t xml:space="preserve"> </w:t>
      </w:r>
    </w:p>
    <w:p w:rsidRPr="00C36161" w:rsidR="6BF19330" w:rsidP="00C36161" w:rsidRDefault="6BF19330" w14:paraId="22C13FE4" w14:textId="0FB2F67E">
      <w:pPr>
        <w:pStyle w:val="Heading3"/>
        <w:rPr>
          <w:u w:val="none"/>
        </w:rPr>
      </w:pPr>
      <w:r>
        <w:t>Change in Accounting Standards</w:t>
      </w:r>
      <w:r>
        <w:rPr>
          <w:u w:val="none"/>
        </w:rPr>
        <w:t xml:space="preserve">: </w:t>
      </w:r>
      <w:r>
        <w:rPr>
          <w:b w:val="0"/>
          <w:bCs w:val="0"/>
          <w:u w:val="none"/>
        </w:rPr>
        <w:t>Defined in Section 2.1.8(iv) (</w:t>
      </w:r>
      <w:r>
        <w:rPr>
          <w:b w:val="0"/>
          <w:bCs w:val="0"/>
          <w:i/>
          <w:iCs/>
          <w:u w:val="none"/>
        </w:rPr>
        <w:t>VIE Certification</w:t>
      </w:r>
      <w:r>
        <w:rPr>
          <w:b w:val="0"/>
          <w:bCs w:val="0"/>
          <w:u w:val="none"/>
        </w:rPr>
        <w:t>).</w:t>
      </w:r>
    </w:p>
    <w:p w:rsidRPr="00F10071" w:rsidR="005300A3" w:rsidP="00DE7CC7" w:rsidRDefault="00960870" w14:paraId="148757B9" w14:textId="4B3107F0">
      <w:pPr>
        <w:pStyle w:val="Heading3"/>
      </w:pPr>
      <w:r>
        <w:t>Change of Control Transaction</w:t>
      </w:r>
      <w:r>
        <w:rPr>
          <w:u w:val="none"/>
        </w:rPr>
        <w:t xml:space="preserve">: </w:t>
      </w:r>
      <w:r>
        <w:rPr>
          <w:b w:val="0"/>
          <w:bCs w:val="0"/>
          <w:u w:val="none"/>
        </w:rPr>
        <w:t>Any transaction or series of related transactions that, if consummated, would result in a Party being an Affiliate of a different Ultimate Parent Entity immediately after the transaction.</w:t>
      </w:r>
      <w:r>
        <w:t xml:space="preserve"> </w:t>
      </w:r>
    </w:p>
    <w:p w:rsidRPr="001D4BEE" w:rsidR="00960870" w:rsidP="00C36161" w:rsidRDefault="00960870" w14:paraId="4A0950F9" w14:textId="5055D885">
      <w:pPr>
        <w:pStyle w:val="Heading3"/>
        <w:rPr>
          <w:w w:val="0"/>
        </w:rPr>
      </w:pPr>
      <w:r>
        <w:t>Change of Law</w:t>
      </w:r>
      <w:r>
        <w:rPr>
          <w:u w:val="none"/>
        </w:rPr>
        <w:t xml:space="preserve">: </w:t>
      </w:r>
      <w:r>
        <w:rPr>
          <w:b w:val="0"/>
          <w:bCs w:val="0"/>
          <w:w w:val="0"/>
          <w:u w:val="none"/>
        </w:rPr>
        <w:t xml:space="preserve">An </w:t>
      </w:r>
      <w:r>
        <w:rPr>
          <w:b w:val="0"/>
          <w:bCs w:val="0"/>
          <w:u w:val="none"/>
        </w:rPr>
        <w:t xml:space="preserve">applicable law or a change to or repeal of an existing applicable law, including changes in legally binding interpretations of applicable law, in each case, </w:t>
      </w:r>
      <w:r>
        <w:rPr>
          <w:b w:val="0"/>
          <w:bCs w:val="0"/>
          <w:w w:val="0"/>
          <w:u w:val="none"/>
        </w:rPr>
        <w:t>enacted after the Effective Date.</w:t>
      </w:r>
      <w:r w:rsidR="001D4BEE">
        <w:rPr>
          <w:b w:val="0"/>
          <w:bCs w:val="0"/>
          <w:w w:val="0"/>
          <w:u w:val="none"/>
        </w:rPr>
        <w:t xml:space="preserve"> </w:t>
      </w:r>
    </w:p>
    <w:p w:rsidRPr="000057B0" w:rsidR="00F66E5F" w:rsidP="00F2774C" w:rsidRDefault="00960870" w14:paraId="5026B79F" w14:textId="337480A8">
      <w:pPr>
        <w:pStyle w:val="Heading3"/>
      </w:pPr>
      <w:r>
        <w:t>Change of Law Expenditures</w:t>
      </w:r>
      <w:r>
        <w:rPr>
          <w:u w:val="none"/>
        </w:rPr>
        <w:t xml:space="preserve">: </w:t>
      </w:r>
      <w:r w:rsidRPr="0035717C" w:rsidR="0035717C">
        <w:rPr>
          <w:b w:val="0"/>
          <w:bCs w:val="0"/>
          <w:u w:val="none"/>
        </w:rPr>
        <w:t>(i) reasonable and documented capital expenditures (determined in accordance with GAAP) and incremental operating costs (including new Taxes imposed directly on the ownership, operation, or maintenance of the Facility solely to the extent properly treated as operating expenses in accordance with GA</w:t>
      </w:r>
      <w:r w:rsidRPr="004F5164" w:rsidR="0035717C">
        <w:rPr>
          <w:b w:val="0"/>
          <w:bCs w:val="0"/>
          <w:u w:val="none"/>
        </w:rPr>
        <w:t>AP but excluding GHG Charges)</w:t>
      </w:r>
      <w:r w:rsidRPr="0035717C" w:rsidR="0035717C">
        <w:rPr>
          <w:b w:val="0"/>
          <w:bCs w:val="0"/>
          <w:u w:val="none"/>
        </w:rPr>
        <w:t xml:space="preserve">, including: (a) capital expenditures or operating costs incurred to modify, operate, or maintain the Facility in compliance with the Change of Law during the Term; and (b) additional or different Facility equipment, engineering, procurement, construction, or other Facility modifications required to comply with the Change of Law; and (ii) any actual and realized loss or reduction of applicable tax incentives, credits, rebates, or other governmental benefits applicable to the Facility, in each case, incurred by Seller as a direct result of a Change of Law, reasonable in amount, consistent with Prudent Industry Practice, and net of any costs saving, insurance proceeds, tax benefit, and third-party recovery. Capital expenditures or operating costs will not constitute Change of Law Expenditures unless GPC, using Prudent Industry Practices, would incur the same capital expenditures or operating costs regarding its own facilities of the same type as the Facility because of the requirements of the Change of Law (taking into account differences in facility generating capacity, location, and the frequency and duration of facility dispatch). </w:t>
      </w:r>
    </w:p>
    <w:p w:rsidR="00960870" w:rsidP="00DE7CC7" w:rsidRDefault="00960870" w14:paraId="1EDF1371" w14:textId="6984D3C7">
      <w:pPr>
        <w:pStyle w:val="Heading3"/>
      </w:pPr>
      <w:r>
        <w:t>Change of Law Notice</w:t>
      </w:r>
      <w:r>
        <w:rPr>
          <w:u w:val="none"/>
        </w:rPr>
        <w:t xml:space="preserve">: </w:t>
      </w:r>
      <w:r w:rsidRPr="00837F1D" w:rsidR="00837F1D">
        <w:rPr>
          <w:b w:val="0"/>
          <w:bCs w:val="0"/>
          <w:u w:val="none"/>
        </w:rPr>
        <w:t>Written notice from Seller to GPC of a Change of Law that will cause, or is reasonably expected to cause, Seller to incur Change of Law Expenditures</w:t>
      </w:r>
      <w:r>
        <w:rPr>
          <w:b w:val="0"/>
          <w:bCs w:val="0"/>
          <w:u w:val="none"/>
        </w:rPr>
        <w:t>.</w:t>
      </w:r>
    </w:p>
    <w:p w:rsidR="00FE59D5" w:rsidP="00DE7CC7" w:rsidRDefault="00FE59D5" w14:paraId="17E8A04F" w14:textId="1D8ACC69">
      <w:pPr>
        <w:pStyle w:val="Heading3"/>
        <w:rPr>
          <w:rFonts w:eastAsia="PMingLiU"/>
        </w:rPr>
      </w:pPr>
      <w:r>
        <w:rPr>
          <w:rFonts w:eastAsia="PMingLiU"/>
        </w:rPr>
        <w:t>Claim</w:t>
      </w:r>
      <w:r>
        <w:rPr>
          <w:u w:val="none"/>
        </w:rPr>
        <w:t xml:space="preserve">: </w:t>
      </w:r>
      <w:r>
        <w:rPr>
          <w:b w:val="0"/>
          <w:bCs w:val="0"/>
          <w:u w:val="none"/>
        </w:rPr>
        <w:t>Any loss, damage, cost, expense, or liability (on an After-Tax Basis) for any damage or claim (including any demand, suit, settlement, judgment, penalty, fine, proceeding, or action of any kind), including for: (i) personal or bodily injury (including death); (ii) property damage (including loss of use);; (i</w:t>
      </w:r>
      <w:r w:rsidR="00A578A6">
        <w:rPr>
          <w:b w:val="0"/>
          <w:bCs w:val="0"/>
          <w:u w:val="none"/>
        </w:rPr>
        <w:t>ii</w:t>
      </w:r>
      <w:r>
        <w:rPr>
          <w:b w:val="0"/>
          <w:bCs w:val="0"/>
          <w:u w:val="none"/>
        </w:rPr>
        <w:t>) infringement; (</w:t>
      </w:r>
      <w:r w:rsidR="00A578A6">
        <w:rPr>
          <w:b w:val="0"/>
          <w:bCs w:val="0"/>
          <w:u w:val="none"/>
        </w:rPr>
        <w:t>i</w:t>
      </w:r>
      <w:r>
        <w:rPr>
          <w:b w:val="0"/>
          <w:bCs w:val="0"/>
          <w:u w:val="none"/>
        </w:rPr>
        <w:t>v) monetary damage or expense; or (v) equitable relief, including all Claim expenses (e.g., actual attorneys’ fees reasonably incurred; investigation, defense, litigation, court, arbitration, or mediation costs; and expert, consultant, arbitrator, or mediator fees or expenses</w:t>
      </w:r>
      <w:r>
        <w:rPr>
          <w:rFonts w:eastAsia="PMingLiU"/>
          <w:b w:val="0"/>
          <w:bCs w:val="0"/>
          <w:u w:val="none"/>
        </w:rPr>
        <w:t xml:space="preserve"> and bond expense</w:t>
      </w:r>
      <w:r>
        <w:rPr>
          <w:b w:val="0"/>
          <w:bCs w:val="0"/>
          <w:u w:val="none"/>
        </w:rPr>
        <w:t>)</w:t>
      </w:r>
      <w:r>
        <w:rPr>
          <w:rFonts w:eastAsia="PMingLiU"/>
          <w:b w:val="0"/>
          <w:bCs w:val="0"/>
          <w:u w:val="none"/>
        </w:rPr>
        <w:t>.</w:t>
      </w:r>
    </w:p>
    <w:p w:rsidRPr="00CB273E" w:rsidR="00C56BE8" w:rsidP="00DE7CC7" w:rsidRDefault="00C56BE8" w14:paraId="4B176E2D" w14:textId="2E18D24B">
      <w:pPr>
        <w:pStyle w:val="Heading3"/>
      </w:pPr>
      <w:r>
        <w:t>COD</w:t>
      </w:r>
      <w:r>
        <w:rPr>
          <w:u w:val="none"/>
        </w:rPr>
        <w:t xml:space="preserve">: </w:t>
      </w:r>
      <w:r>
        <w:rPr>
          <w:rFonts w:eastAsia="PMingLiU"/>
          <w:b w:val="0"/>
          <w:bCs w:val="0"/>
          <w:u w:val="none"/>
        </w:rPr>
        <w:t xml:space="preserve">See </w:t>
      </w:r>
      <w:r>
        <w:rPr>
          <w:b w:val="0"/>
          <w:bCs w:val="0"/>
          <w:u w:val="none"/>
        </w:rPr>
        <w:t>Commercial Operation Date</w:t>
      </w:r>
      <w:r>
        <w:rPr>
          <w:rFonts w:eastAsia="PMingLiU"/>
          <w:b w:val="0"/>
          <w:bCs w:val="0"/>
          <w:u w:val="none"/>
        </w:rPr>
        <w:t>.</w:t>
      </w:r>
      <w:r>
        <w:rPr>
          <w:rFonts w:eastAsia="PMingLiU"/>
        </w:rPr>
        <w:t xml:space="preserve"> </w:t>
      </w:r>
    </w:p>
    <w:p w:rsidRPr="00CB273E" w:rsidR="00960870" w:rsidP="00DE7CC7" w:rsidRDefault="00960870" w14:paraId="769C4C05" w14:textId="1DAB0B24">
      <w:pPr>
        <w:pStyle w:val="Heading3"/>
      </w:pPr>
      <w:r>
        <w:t>Commercial Operation</w:t>
      </w:r>
      <w:r>
        <w:rPr>
          <w:u w:val="none"/>
        </w:rPr>
        <w:t xml:space="preserve">: </w:t>
      </w:r>
      <w:r>
        <w:rPr>
          <w:b w:val="0"/>
          <w:bCs w:val="0"/>
          <w:u w:val="none"/>
        </w:rPr>
        <w:t>The Facility’s ability to meet the requirements of Section 7.1.3 (</w:t>
      </w:r>
      <w:r>
        <w:rPr>
          <w:b w:val="0"/>
          <w:bCs w:val="0"/>
          <w:i/>
          <w:u w:val="none"/>
        </w:rPr>
        <w:t>Commercial Operation</w:t>
      </w:r>
      <w:r>
        <w:rPr>
          <w:b w:val="0"/>
          <w:bCs w:val="0"/>
          <w:u w:val="none"/>
        </w:rPr>
        <w:t>).</w:t>
      </w:r>
    </w:p>
    <w:p w:rsidRPr="00196A91" w:rsidR="704067B4" w:rsidP="00F2774C" w:rsidRDefault="704067B4" w14:paraId="4CEC1233" w14:textId="37307069">
      <w:pPr>
        <w:pStyle w:val="Heading3"/>
      </w:pPr>
      <w:r>
        <w:t>Commercial Operation Completion Certificate</w:t>
      </w:r>
      <w:r>
        <w:rPr>
          <w:u w:val="none"/>
        </w:rPr>
        <w:t xml:space="preserve">: </w:t>
      </w:r>
      <w:r>
        <w:rPr>
          <w:b w:val="0"/>
          <w:bCs w:val="0"/>
          <w:u w:val="none"/>
        </w:rPr>
        <w:t>The certificate in the form of Exhibit I (</w:t>
      </w:r>
      <w:r>
        <w:rPr>
          <w:b w:val="0"/>
          <w:bCs w:val="0"/>
          <w:i/>
          <w:u w:val="none"/>
        </w:rPr>
        <w:t>Form of Commercial Operation Completion Certificate</w:t>
      </w:r>
      <w:r>
        <w:rPr>
          <w:b w:val="0"/>
          <w:bCs w:val="0"/>
          <w:u w:val="none"/>
        </w:rPr>
        <w:t>) that Seller submits to GPC pursuant to Section 7.1.4 (</w:t>
      </w:r>
      <w:r>
        <w:rPr>
          <w:b w:val="0"/>
          <w:bCs w:val="0"/>
          <w:i/>
          <w:u w:val="none"/>
        </w:rPr>
        <w:t>Commercial Operation Completion Certificate</w:t>
      </w:r>
      <w:r>
        <w:rPr>
          <w:b w:val="0"/>
          <w:bCs w:val="0"/>
          <w:u w:val="none"/>
        </w:rPr>
        <w:t>).</w:t>
      </w:r>
    </w:p>
    <w:p w:rsidRPr="00E42722" w:rsidR="00960870" w:rsidP="00DE7CC7" w:rsidRDefault="00960870" w14:paraId="651D6635" w14:textId="5954DD42">
      <w:pPr>
        <w:pStyle w:val="Heading3"/>
        <w:rPr>
          <w:b w:val="0"/>
          <w:bCs w:val="0"/>
        </w:rPr>
      </w:pPr>
      <w:r>
        <w:t>Commercial Operation Date (COD)</w:t>
      </w:r>
      <w:r>
        <w:rPr>
          <w:u w:val="none"/>
        </w:rPr>
        <w:t xml:space="preserve">: </w:t>
      </w:r>
      <w:r>
        <w:rPr>
          <w:b w:val="0"/>
          <w:bCs w:val="0"/>
          <w:u w:val="none"/>
        </w:rPr>
        <w:t>The date the Facility achieves Commercial Operation.</w:t>
      </w:r>
    </w:p>
    <w:p w:rsidRPr="00CB273E" w:rsidR="00310C3A" w:rsidP="00DE7CC7" w:rsidRDefault="00310C3A" w14:paraId="22EF1051" w14:textId="08664CE2">
      <w:pPr>
        <w:pStyle w:val="Heading3"/>
      </w:pPr>
      <w:r>
        <w:t>Commission</w:t>
      </w:r>
      <w:r>
        <w:rPr>
          <w:u w:val="none"/>
        </w:rPr>
        <w:t xml:space="preserve">: </w:t>
      </w:r>
      <w:r>
        <w:rPr>
          <w:b w:val="0"/>
          <w:bCs w:val="0"/>
          <w:u w:val="none"/>
        </w:rPr>
        <w:t>The Georgia Public Service Commission, or any Governmental Authority succeeding to the powers and functions of the Commission.</w:t>
      </w:r>
    </w:p>
    <w:p w:rsidRPr="00E42722" w:rsidR="00310C3A" w:rsidP="00DE7CC7" w:rsidRDefault="00310C3A" w14:paraId="4851AF38" w14:textId="6B1D7888">
      <w:pPr>
        <w:pStyle w:val="Heading3"/>
        <w:rPr>
          <w:u w:val="none"/>
        </w:rPr>
      </w:pPr>
      <w:r>
        <w:t>Commission Certificate</w:t>
      </w:r>
      <w:r>
        <w:rPr>
          <w:u w:val="none"/>
        </w:rPr>
        <w:t xml:space="preserve">: </w:t>
      </w:r>
      <w:r>
        <w:rPr>
          <w:b w:val="0"/>
          <w:bCs w:val="0"/>
          <w:u w:val="none"/>
        </w:rPr>
        <w:t>A Certificate of Public Convenience and Necessity issued by the Commission.</w:t>
      </w:r>
    </w:p>
    <w:p w:rsidRPr="00E42722" w:rsidR="00310C3A" w:rsidP="00DE7CC7" w:rsidRDefault="00310C3A" w14:paraId="00BBCF3D" w14:textId="1227D155">
      <w:pPr>
        <w:pStyle w:val="Heading3"/>
        <w:rPr>
          <w:u w:val="none"/>
        </w:rPr>
      </w:pPr>
      <w:r>
        <w:t>Commission Certificate Target Date</w:t>
      </w:r>
      <w:r>
        <w:rPr>
          <w:u w:val="none"/>
        </w:rPr>
        <w:t xml:space="preserve">: </w:t>
      </w:r>
      <w:r>
        <w:rPr>
          <w:b w:val="0"/>
          <w:bCs w:val="0"/>
          <w:u w:val="none"/>
        </w:rPr>
        <w:t>The date that is 250 Days after the date GPC requests a Commission Certificate for this PPA.</w:t>
      </w:r>
    </w:p>
    <w:p w:rsidRPr="00E42722" w:rsidR="00960870" w:rsidP="00DE7CC7" w:rsidRDefault="00960870" w14:paraId="33E6EBFA" w14:textId="597D303F">
      <w:pPr>
        <w:pStyle w:val="Heading3"/>
        <w:rPr>
          <w:u w:val="none"/>
        </w:rPr>
      </w:pPr>
      <w:r>
        <w:t>Confidential Information</w:t>
      </w:r>
      <w:r>
        <w:rPr>
          <w:u w:val="none"/>
        </w:rPr>
        <w:t xml:space="preserve">: </w:t>
      </w:r>
      <w:r>
        <w:rPr>
          <w:b w:val="0"/>
          <w:bCs w:val="0"/>
          <w:u w:val="none"/>
        </w:rPr>
        <w:t xml:space="preserve">Business or technical information rightfully in the possession of either Party that derives actual or potential commercial value from not being generally known or readily ascertainable through independent development or reverse engineering by Person(s) who can obtain economic value from its disclosure or use, including information furnished or disclosed by the disclosing Party or another Person on behalf of the disclosing Party to the other Party in connection with discussions leading up to execution of this PPA, including this PPA. Seller must designate Confidential Information as confidential in writing on each page of a document contemporaneously with Seller’s supply of the information. Confidential Information does not include information that: (i) is or becomes publicly available other than because of a violation of this PPA; (ii) was, at the time of the disclosure, already in the receiving Party’s possession; (iii) is disclosed to the receiving Party by a third party who, to the receiving Party’s knowledge, is not prohibited from disclosing the information under any agreement with the disclosing Party; (iv) the receiving Party develops or derives without the aid, application or use of the privileged or </w:t>
      </w:r>
      <w:r>
        <w:rPr>
          <w:b w:val="0"/>
          <w:bCs w:val="0"/>
          <w:u w:val="none"/>
        </w:rPr>
        <w:lastRenderedPageBreak/>
        <w:t>proprietary information; or (v) the receiving Party is required to disclose in accordance with applicable law.</w:t>
      </w:r>
    </w:p>
    <w:p w:rsidRPr="00C534C8" w:rsidR="00960870" w:rsidP="00DE7CC7" w:rsidRDefault="00960870" w14:paraId="3CF79ECD" w14:textId="3C1FE3D9">
      <w:pPr>
        <w:pStyle w:val="Heading3"/>
      </w:pPr>
      <w:r>
        <w:t>Consent</w:t>
      </w:r>
      <w:r>
        <w:rPr>
          <w:u w:val="none"/>
        </w:rPr>
        <w:t xml:space="preserve">: </w:t>
      </w:r>
      <w:r>
        <w:rPr>
          <w:b w:val="0"/>
          <w:bCs w:val="0"/>
          <w:u w:val="none"/>
        </w:rPr>
        <w:t>Any approval, consent, authorization, or other applicable requirement that is required regarding the Project or Facility from any Governmental Authority, including all applicable environmental certificates, licenses, permits, and approvals, and any federal or state compliance program that GPC is or becomes subject to at any time during the Term.</w:t>
      </w:r>
    </w:p>
    <w:p w:rsidR="00457695" w:rsidP="00DE7CC7" w:rsidRDefault="00960870" w14:paraId="159CB4B8" w14:textId="263BA4BD">
      <w:pPr>
        <w:pStyle w:val="Heading3"/>
      </w:pPr>
      <w:r>
        <w:t>Contracted Base Capacity Cap</w:t>
      </w:r>
      <w:r>
        <w:rPr>
          <w:u w:val="none"/>
        </w:rPr>
        <w:t xml:space="preserve">: </w:t>
      </w:r>
      <w:r>
        <w:rPr>
          <w:b w:val="0"/>
          <w:bCs w:val="0"/>
          <w:u w:val="none"/>
        </w:rPr>
        <w:t>(i) With respect to the Standard Seasonal Performance Periods, the Standard Base Capacity Cap; and (ii) with respect the Winter Seasonal Performance Period, the Winter Base Capacity Cap.</w:t>
      </w:r>
    </w:p>
    <w:p w:rsidRPr="00E42722" w:rsidR="003C172F" w:rsidP="00DE7CC7" w:rsidRDefault="003C172F" w14:paraId="4B17627C" w14:textId="3EF06D4C">
      <w:pPr>
        <w:pStyle w:val="Heading3"/>
        <w:rPr>
          <w:u w:val="none"/>
        </w:rPr>
      </w:pPr>
      <w:r>
        <w:t>Contracted Capacity Cap</w:t>
      </w:r>
      <w:r>
        <w:rPr>
          <w:u w:val="none"/>
        </w:rPr>
        <w:t xml:space="preserve">: </w:t>
      </w:r>
      <w:r>
        <w:rPr>
          <w:b w:val="0"/>
          <w:bCs w:val="0"/>
          <w:u w:val="none"/>
        </w:rPr>
        <w:t>Defined in, and determined in accordance with, Exhibit B (</w:t>
      </w:r>
      <w:r>
        <w:rPr>
          <w:b w:val="0"/>
          <w:bCs w:val="0"/>
          <w:i/>
          <w:u w:val="none"/>
        </w:rPr>
        <w:t>Capacity; Capacity Payments and Payment Reductions; Buydown</w:t>
      </w:r>
      <w:r>
        <w:rPr>
          <w:b w:val="0"/>
          <w:bCs w:val="0"/>
          <w:u w:val="none"/>
        </w:rPr>
        <w:t>), Section 1.1.A (</w:t>
      </w:r>
      <w:r>
        <w:rPr>
          <w:b w:val="0"/>
          <w:bCs w:val="0"/>
          <w:i/>
          <w:u w:val="none"/>
        </w:rPr>
        <w:t>Contracted Capacity Cap</w:t>
      </w:r>
      <w:r>
        <w:rPr>
          <w:b w:val="0"/>
          <w:bCs w:val="0"/>
          <w:u w:val="none"/>
        </w:rPr>
        <w:t>).</w:t>
      </w:r>
      <w:r>
        <w:rPr>
          <w:u w:val="none"/>
        </w:rPr>
        <w:t xml:space="preserve"> </w:t>
      </w:r>
    </w:p>
    <w:p w:rsidRPr="00312177" w:rsidR="001A7040" w:rsidP="00DE7CC7" w:rsidRDefault="00960870" w14:paraId="31BCAE9C" w14:textId="3174FFF6">
      <w:pPr>
        <w:pStyle w:val="Heading3"/>
      </w:pPr>
      <w:r>
        <w:t>Contracted Capacity Range</w:t>
      </w:r>
      <w:r>
        <w:rPr>
          <w:u w:val="none"/>
        </w:rPr>
        <w:t xml:space="preserve">: </w:t>
      </w:r>
      <w:r>
        <w:rPr>
          <w:b w:val="0"/>
          <w:bCs w:val="0"/>
          <w:u w:val="none"/>
        </w:rPr>
        <w:t>Defined in, and determined in accordance with, Exhibit B (</w:t>
      </w:r>
      <w:r>
        <w:rPr>
          <w:b w:val="0"/>
          <w:bCs w:val="0"/>
          <w:i/>
          <w:u w:val="none"/>
        </w:rPr>
        <w:t>Capacity; Capacity Payments and Payment Reductions; Buydown</w:t>
      </w:r>
      <w:r>
        <w:rPr>
          <w:b w:val="0"/>
          <w:bCs w:val="0"/>
          <w:u w:val="none"/>
        </w:rPr>
        <w:t>), Section 1.1.B (</w:t>
      </w:r>
      <w:r>
        <w:rPr>
          <w:b w:val="0"/>
          <w:bCs w:val="0"/>
          <w:i/>
          <w:u w:val="none"/>
        </w:rPr>
        <w:t>Contracted Capacity Range</w:t>
      </w:r>
      <w:r>
        <w:rPr>
          <w:b w:val="0"/>
          <w:bCs w:val="0"/>
          <w:u w:val="none"/>
        </w:rPr>
        <w:t>).</w:t>
      </w:r>
      <w:r>
        <w:t xml:space="preserve"> </w:t>
      </w:r>
    </w:p>
    <w:p w:rsidRPr="00F10071" w:rsidR="00960870" w:rsidP="00DE7CC7" w:rsidRDefault="00960870" w14:paraId="5C7A83A4" w14:textId="63B6E0A9">
      <w:pPr>
        <w:pStyle w:val="Heading3"/>
      </w:pPr>
      <w:r>
        <w:t>Contracted Supplemental Capacity Cap</w:t>
      </w:r>
      <w:r>
        <w:rPr>
          <w:u w:val="none"/>
        </w:rPr>
        <w:t xml:space="preserve">: </w:t>
      </w:r>
      <w:r>
        <w:rPr>
          <w:b w:val="0"/>
          <w:bCs w:val="0"/>
          <w:u w:val="none"/>
        </w:rPr>
        <w:t>(i) With respect to the Standard Seasonal Performance Periods, the Standard Supplemental Capacity Cap; and (ii) with respect to the Winter Seasonal Performance Period, the Winter Supplemental Capacity Cap.</w:t>
      </w:r>
    </w:p>
    <w:p w:rsidRPr="00E42722" w:rsidR="39B680DB" w:rsidP="00DE7CC7" w:rsidRDefault="39B680DB" w14:paraId="65F8A54D" w14:textId="7F2EB754">
      <w:pPr>
        <w:pStyle w:val="Heading3"/>
        <w:rPr>
          <w:u w:val="none"/>
        </w:rPr>
      </w:pPr>
      <w:r>
        <w:rPr>
          <w:iCs/>
        </w:rPr>
        <w:t>Costs</w:t>
      </w:r>
      <w:r>
        <w:rPr>
          <w:iCs/>
          <w:u w:val="none"/>
        </w:rPr>
        <w:t xml:space="preserve">: </w:t>
      </w:r>
      <w:r>
        <w:rPr>
          <w:b w:val="0"/>
          <w:bCs w:val="0"/>
          <w:iCs/>
          <w:u w:val="none"/>
        </w:rPr>
        <w:t>Defined in Section 16.3.3 (</w:t>
      </w:r>
      <w:r>
        <w:rPr>
          <w:b w:val="0"/>
          <w:bCs w:val="0"/>
          <w:i/>
          <w:u w:val="none"/>
        </w:rPr>
        <w:t>Determining Gains, Losses, and Costs</w:t>
      </w:r>
      <w:r>
        <w:rPr>
          <w:b w:val="0"/>
          <w:bCs w:val="0"/>
          <w:iCs/>
          <w:u w:val="none"/>
        </w:rPr>
        <w:t>).</w:t>
      </w:r>
    </w:p>
    <w:p w:rsidRPr="00F10071" w:rsidR="00960870" w:rsidP="00DE7CC7" w:rsidRDefault="00960870" w14:paraId="5620DC9F" w14:textId="0D95DA47">
      <w:pPr>
        <w:pStyle w:val="Heading3"/>
      </w:pPr>
      <w:r>
        <w:t>CPT</w:t>
      </w:r>
      <w:r>
        <w:rPr>
          <w:u w:val="none"/>
        </w:rPr>
        <w:t xml:space="preserve">: </w:t>
      </w:r>
      <w:r>
        <w:rPr>
          <w:b w:val="0"/>
          <w:bCs w:val="0"/>
          <w:u w:val="none"/>
        </w:rPr>
        <w:t>See Central Prevailing Time.</w:t>
      </w:r>
    </w:p>
    <w:p w:rsidRPr="00F10071" w:rsidR="00960870" w:rsidP="00DE7CC7" w:rsidRDefault="00960870" w14:paraId="45BCADAE" w14:textId="6BBC31CB">
      <w:pPr>
        <w:pStyle w:val="Heading3"/>
      </w:pPr>
      <w:r>
        <w:t>Creditworthy or Creditworthiness</w:t>
      </w:r>
      <w:r>
        <w:rPr>
          <w:rFonts w:eastAsia="Calibri"/>
          <w:u w:val="none"/>
        </w:rPr>
        <w:t xml:space="preserve">: </w:t>
      </w:r>
      <w:r w:rsidRPr="00C22089" w:rsidR="00C22089">
        <w:rPr>
          <w:b w:val="0"/>
          <w:bCs w:val="0"/>
          <w:u w:val="none"/>
        </w:rPr>
        <w:t>With respect to a Person, the Person has (i) a senior unsecured debt rating, or if the Person has no senior unsecured debt rating, an issuer rating from two of the Rating Agencies above: (a) BBB+ by S&amp;P, if rated by S&amp;P; (b) Baa1 by Moody’s, if rated by Moody’s; and (c) BBB+ by Fitch, if rated by Fitch, respectively; or (ii) (1) a senior unsecured debt rating or, if the Person has no senior unsecured debt rating, an issuer rating from two of the Rating Agencies of at least: (x) BBB- by S&amp;P, if rated by S&amp;P; (y) Baa3 by Moody’s, if rated by Moody’s; and (z) BBB- by Fitch, if rated by Fitch, respectively; and (2) satisfactory and verifiable creditworthiness determined in GPC’s reasonable discretion.</w:t>
      </w:r>
      <w:r w:rsidRPr="001776EF" w:rsidR="00C22089">
        <w:rPr>
          <w:rFonts w:eastAsia="Times New Roman"/>
          <w:color w:val="000000" w:themeColor="text1"/>
        </w:rPr>
        <w:t xml:space="preserve"> </w:t>
      </w:r>
    </w:p>
    <w:p w:rsidRPr="00F10071" w:rsidR="00960870" w:rsidP="00DE7CC7" w:rsidRDefault="00960870" w14:paraId="725FD7F4" w14:textId="1F88CDB1">
      <w:pPr>
        <w:pStyle w:val="Heading3"/>
      </w:pPr>
      <w:r>
        <w:t>CT</w:t>
      </w:r>
      <w:r>
        <w:rPr>
          <w:u w:val="none"/>
        </w:rPr>
        <w:t xml:space="preserve">: </w:t>
      </w:r>
      <w:r>
        <w:rPr>
          <w:b w:val="0"/>
          <w:bCs w:val="0"/>
          <w:u w:val="none"/>
        </w:rPr>
        <w:t>Combustion turbine.</w:t>
      </w:r>
      <w:r>
        <w:rPr>
          <w:highlight w:val="yellow"/>
        </w:rPr>
        <w:t xml:space="preserve"> </w:t>
      </w:r>
    </w:p>
    <w:p w:rsidRPr="00196A91" w:rsidR="16BD4DF6" w:rsidP="00DE7CC7" w:rsidRDefault="16BD4DF6" w14:paraId="58877617" w14:textId="589A9C10">
      <w:pPr>
        <w:pStyle w:val="Heading3"/>
      </w:pPr>
      <w:r>
        <w:rPr>
          <w:iCs/>
        </w:rPr>
        <w:t>Cure Period</w:t>
      </w:r>
      <w:r>
        <w:rPr>
          <w:iCs/>
          <w:u w:val="none"/>
        </w:rPr>
        <w:t xml:space="preserve">: </w:t>
      </w:r>
      <w:r>
        <w:rPr>
          <w:b w:val="0"/>
          <w:bCs w:val="0"/>
          <w:iCs/>
          <w:u w:val="none"/>
        </w:rPr>
        <w:t>Defined in Section 16.1.9 (</w:t>
      </w:r>
      <w:r>
        <w:rPr>
          <w:b w:val="0"/>
          <w:bCs w:val="0"/>
          <w:i/>
          <w:iCs/>
          <w:u w:val="none"/>
        </w:rPr>
        <w:t>Inadequate Tested Reliable Capacity; Curing</w:t>
      </w:r>
      <w:r>
        <w:rPr>
          <w:b w:val="0"/>
          <w:bCs w:val="0"/>
          <w:iCs/>
          <w:u w:val="none"/>
        </w:rPr>
        <w:t>).</w:t>
      </w:r>
    </w:p>
    <w:p w:rsidRPr="00E42722" w:rsidR="00960870" w:rsidP="00DE7CC7" w:rsidRDefault="00960870" w14:paraId="50AE8206" w14:textId="51F58B6A">
      <w:pPr>
        <w:pStyle w:val="Heading3"/>
        <w:rPr>
          <w:b w:val="0"/>
          <w:bCs w:val="0"/>
          <w:u w:val="none"/>
        </w:rPr>
      </w:pPr>
      <w:r>
        <w:t>Current Unit</w:t>
      </w:r>
      <w:r>
        <w:rPr>
          <w:u w:val="none"/>
        </w:rPr>
        <w:t xml:space="preserve">: </w:t>
      </w:r>
      <w:r>
        <w:rPr>
          <w:b w:val="0"/>
          <w:bCs w:val="0"/>
          <w:u w:val="none"/>
        </w:rPr>
        <w:t>Defined in Section 4.4.1 (</w:t>
      </w:r>
      <w:r>
        <w:rPr>
          <w:b w:val="0"/>
          <w:bCs w:val="0"/>
          <w:i/>
          <w:iCs/>
          <w:u w:val="none"/>
        </w:rPr>
        <w:t>Current Unit Replacement with Substitute Unit</w:t>
      </w:r>
      <w:r>
        <w:rPr>
          <w:b w:val="0"/>
          <w:bCs w:val="0"/>
          <w:u w:val="none"/>
        </w:rPr>
        <w:t>).</w:t>
      </w:r>
    </w:p>
    <w:p w:rsidRPr="00196A91" w:rsidR="65D57657" w:rsidP="00DE7CC7" w:rsidRDefault="65D57657" w14:paraId="02163BF0" w14:textId="18F41594">
      <w:pPr>
        <w:pStyle w:val="Heading3"/>
      </w:pPr>
      <w:r>
        <w:t>Cyber Security Incident</w:t>
      </w:r>
      <w:r>
        <w:rPr>
          <w:u w:val="none"/>
        </w:rPr>
        <w:t xml:space="preserve">: </w:t>
      </w:r>
      <w:r>
        <w:rPr>
          <w:b w:val="0"/>
          <w:bCs w:val="0"/>
          <w:u w:val="none"/>
        </w:rPr>
        <w:t>Defined in Section 10.8 (</w:t>
      </w:r>
      <w:r>
        <w:rPr>
          <w:b w:val="0"/>
          <w:bCs w:val="0"/>
          <w:i/>
          <w:u w:val="none"/>
        </w:rPr>
        <w:t>Cyber Security</w:t>
      </w:r>
      <w:r>
        <w:rPr>
          <w:b w:val="0"/>
          <w:bCs w:val="0"/>
          <w:u w:val="none"/>
        </w:rPr>
        <w:t>).</w:t>
      </w:r>
    </w:p>
    <w:p w:rsidRPr="00E42722" w:rsidR="00960870" w:rsidP="00DE7CC7" w:rsidRDefault="00960870" w14:paraId="51BF022F" w14:textId="1ECB0643">
      <w:pPr>
        <w:pStyle w:val="Heading3"/>
        <w:rPr>
          <w:b w:val="0"/>
          <w:bCs w:val="0"/>
          <w:u w:val="none"/>
        </w:rPr>
      </w:pPr>
      <w:r>
        <w:t>Day</w:t>
      </w:r>
      <w:r>
        <w:rPr>
          <w:u w:val="none"/>
        </w:rPr>
        <w:t xml:space="preserve">: </w:t>
      </w:r>
      <w:r>
        <w:rPr>
          <w:b w:val="0"/>
          <w:bCs w:val="0"/>
          <w:u w:val="none"/>
        </w:rPr>
        <w:t>Any calendar day, including Saturday, Sunday, or a holiday.</w:t>
      </w:r>
    </w:p>
    <w:p w:rsidRPr="00F10071" w:rsidR="0021220C" w:rsidP="00DE7CC7" w:rsidRDefault="0021220C" w14:paraId="06020627" w14:textId="2CB914C7">
      <w:pPr>
        <w:pStyle w:val="Heading3"/>
      </w:pPr>
      <w:r>
        <w:t>Declared Base Capacity</w:t>
      </w:r>
      <w:r>
        <w:rPr>
          <w:u w:val="none"/>
        </w:rPr>
        <w:t xml:space="preserve">: </w:t>
      </w:r>
      <w:r>
        <w:rPr>
          <w:b w:val="0"/>
          <w:bCs w:val="0"/>
          <w:u w:val="none"/>
        </w:rPr>
        <w:t>(i) With respect to the Standard Seasonal Performance Periods, the Declared Standard Base Capacity; and (ii) with respect to the Winter Seasonal Performance Period, the Declared Standard Winter Capacity.</w:t>
      </w:r>
    </w:p>
    <w:p w:rsidRPr="00E42722" w:rsidR="0021220C" w:rsidP="00DE7CC7" w:rsidRDefault="0021220C" w14:paraId="7D65E576" w14:textId="2C0E6140">
      <w:pPr>
        <w:pStyle w:val="Heading3"/>
        <w:rPr>
          <w:u w:val="none"/>
        </w:rPr>
      </w:pPr>
      <w:r>
        <w:t>Declared Capacity</w:t>
      </w:r>
      <w:r>
        <w:rPr>
          <w:u w:val="none"/>
        </w:rPr>
        <w:t xml:space="preserve">: </w:t>
      </w:r>
      <w:r>
        <w:rPr>
          <w:b w:val="0"/>
          <w:bCs w:val="0"/>
          <w:u w:val="none"/>
        </w:rPr>
        <w:t>(i) With respect to the Standard Seasonal Performance Periods, the Declared Standard Capacity; and (ii) with respect to the Winter Seasonal Performance Period, the Declared Winter Capacity.</w:t>
      </w:r>
    </w:p>
    <w:p w:rsidRPr="00E42722" w:rsidR="0021220C" w:rsidP="00DE7CC7" w:rsidRDefault="461BBAEA" w14:paraId="77A0C5E2" w14:textId="39ED6FDF">
      <w:pPr>
        <w:pStyle w:val="Heading3"/>
        <w:rPr>
          <w:b w:val="0"/>
          <w:bCs w:val="0"/>
        </w:rPr>
      </w:pPr>
      <w:r>
        <w:t>Declared Capacity Values</w:t>
      </w:r>
      <w:r>
        <w:rPr>
          <w:u w:val="none"/>
        </w:rPr>
        <w:t>:</w:t>
      </w:r>
      <w:r>
        <w:rPr>
          <w:b w:val="0"/>
          <w:bCs w:val="0"/>
          <w:u w:val="none"/>
        </w:rPr>
        <w:t xml:space="preserve"> (i) Declared Standard Base Capacity, (ii) Declared Standard Supplemental Capacity, (iii) Declared Standard Capacity, (iv) Declared Winter Base Capacity, (v) Declared Winter Supplemental Capacity, and (vi) Declared Winter Capacity.</w:t>
      </w:r>
    </w:p>
    <w:p w:rsidRPr="00F10071" w:rsidR="0021220C" w:rsidP="00DE7CC7" w:rsidRDefault="0021220C" w14:paraId="61C7FDC4" w14:textId="7BE2D224">
      <w:pPr>
        <w:pStyle w:val="Heading3"/>
      </w:pPr>
      <w:r>
        <w:t>Declared Mode Adjustment Factor</w:t>
      </w:r>
      <w:r>
        <w:rPr>
          <w:u w:val="none"/>
        </w:rPr>
        <w:t xml:space="preserve">: </w:t>
      </w:r>
      <w:r>
        <w:rPr>
          <w:b w:val="0"/>
          <w:bCs w:val="0"/>
          <w:u w:val="none"/>
        </w:rPr>
        <w:t>Defined in, and determined in accordance with, Exhibit B (</w:t>
      </w:r>
      <w:r>
        <w:rPr>
          <w:b w:val="0"/>
          <w:bCs w:val="0"/>
          <w:i/>
          <w:u w:val="none"/>
        </w:rPr>
        <w:t>Capacity; Capacity Payments and Payment Reductions; Buydown</w:t>
      </w:r>
      <w:r>
        <w:rPr>
          <w:b w:val="0"/>
          <w:bCs w:val="0"/>
          <w:u w:val="none"/>
        </w:rPr>
        <w:t>), Section 1.5 (</w:t>
      </w:r>
      <w:r>
        <w:rPr>
          <w:b w:val="0"/>
          <w:bCs w:val="0"/>
          <w:i/>
          <w:u w:val="none"/>
        </w:rPr>
        <w:t>Capacity Pricing</w:t>
      </w:r>
      <w:r>
        <w:rPr>
          <w:b w:val="0"/>
          <w:bCs w:val="0"/>
          <w:u w:val="none"/>
        </w:rPr>
        <w:t>).</w:t>
      </w:r>
    </w:p>
    <w:p w:rsidR="6C27DFDF" w:rsidP="00DE7CC7" w:rsidRDefault="1DA9F692" w14:paraId="2D62990A" w14:textId="669B57B6">
      <w:pPr>
        <w:pStyle w:val="Heading3"/>
      </w:pPr>
      <w:r>
        <w:t>Declared Standard Base Capacity</w:t>
      </w:r>
      <w:r>
        <w:rPr>
          <w:u w:val="none"/>
        </w:rPr>
        <w:t>:</w:t>
      </w:r>
      <w:r>
        <w:rPr>
          <w:b w:val="0"/>
          <w:bCs w:val="0"/>
          <w:u w:val="none"/>
        </w:rPr>
        <w:t xml:space="preserve"> Defined in, and determined in accordance with, Exhibit B (</w:t>
      </w:r>
      <w:r>
        <w:rPr>
          <w:b w:val="0"/>
          <w:bCs w:val="0"/>
          <w:i/>
          <w:u w:val="none"/>
        </w:rPr>
        <w:t>Capacity; Capacity Payments and Payment Reductions; Buydown</w:t>
      </w:r>
      <w:r>
        <w:rPr>
          <w:b w:val="0"/>
          <w:bCs w:val="0"/>
          <w:u w:val="none"/>
        </w:rPr>
        <w:t>), Section 1.3 (</w:t>
      </w:r>
      <w:r>
        <w:rPr>
          <w:b w:val="0"/>
          <w:bCs w:val="0"/>
          <w:i/>
          <w:u w:val="none"/>
        </w:rPr>
        <w:t>Declared Capacity</w:t>
      </w:r>
      <w:r>
        <w:rPr>
          <w:b w:val="0"/>
          <w:bCs w:val="0"/>
          <w:u w:val="none"/>
        </w:rPr>
        <w:t>).</w:t>
      </w:r>
    </w:p>
    <w:p w:rsidR="2ADA1A12" w:rsidP="00DE7CC7" w:rsidRDefault="70FAF3CB" w14:paraId="7E99434A" w14:textId="79C54AF0">
      <w:pPr>
        <w:pStyle w:val="Heading3"/>
      </w:pPr>
      <w:r>
        <w:t>Declared Standard Capacity</w:t>
      </w:r>
      <w:r>
        <w:rPr>
          <w:u w:val="none"/>
        </w:rPr>
        <w:t>:</w:t>
      </w:r>
      <w:r>
        <w:rPr>
          <w:b w:val="0"/>
          <w:bCs w:val="0"/>
          <w:u w:val="none"/>
        </w:rPr>
        <w:t xml:space="preserve"> Defined in, and determined in accordance with, Exhibit B (</w:t>
      </w:r>
      <w:r>
        <w:rPr>
          <w:b w:val="0"/>
          <w:bCs w:val="0"/>
          <w:i/>
          <w:u w:val="none"/>
        </w:rPr>
        <w:t>Capacity; Capacity Payments and Payment Reductions; Buydown</w:t>
      </w:r>
      <w:r>
        <w:rPr>
          <w:b w:val="0"/>
          <w:bCs w:val="0"/>
          <w:u w:val="none"/>
        </w:rPr>
        <w:t>), Section 1.3 (</w:t>
      </w:r>
      <w:r>
        <w:rPr>
          <w:b w:val="0"/>
          <w:bCs w:val="0"/>
          <w:i/>
          <w:u w:val="none"/>
        </w:rPr>
        <w:t>Declared Capacity</w:t>
      </w:r>
      <w:r>
        <w:rPr>
          <w:b w:val="0"/>
          <w:bCs w:val="0"/>
          <w:u w:val="none"/>
        </w:rPr>
        <w:t>).</w:t>
      </w:r>
    </w:p>
    <w:p w:rsidRPr="00877157" w:rsidR="5803529F" w:rsidP="00DE7CC7" w:rsidRDefault="5803529F" w14:paraId="60E66EFB" w14:textId="3D6D4062">
      <w:pPr>
        <w:pStyle w:val="Heading3"/>
        <w:rPr>
          <w:u w:val="none"/>
        </w:rPr>
      </w:pPr>
      <w:r>
        <w:t>Declared Standard Supplemental Capacity</w:t>
      </w:r>
      <w:r>
        <w:rPr>
          <w:u w:val="none"/>
        </w:rPr>
        <w:t xml:space="preserve">: </w:t>
      </w:r>
      <w:r>
        <w:rPr>
          <w:b w:val="0"/>
          <w:bCs w:val="0"/>
          <w:u w:val="none"/>
        </w:rPr>
        <w:t>Defined in, and determined in accordance with, Exhibit B (</w:t>
      </w:r>
      <w:r>
        <w:rPr>
          <w:b w:val="0"/>
          <w:bCs w:val="0"/>
          <w:i/>
          <w:u w:val="none"/>
        </w:rPr>
        <w:t>Capacity; Capacity Payments and Payment Reductions; Buydown</w:t>
      </w:r>
      <w:r>
        <w:rPr>
          <w:b w:val="0"/>
          <w:bCs w:val="0"/>
          <w:u w:val="none"/>
        </w:rPr>
        <w:t>), Section 1.3 (</w:t>
      </w:r>
      <w:r>
        <w:rPr>
          <w:b w:val="0"/>
          <w:bCs w:val="0"/>
          <w:i/>
          <w:u w:val="none"/>
        </w:rPr>
        <w:t>Declared Capacity</w:t>
      </w:r>
      <w:r>
        <w:rPr>
          <w:b w:val="0"/>
          <w:bCs w:val="0"/>
          <w:u w:val="none"/>
        </w:rPr>
        <w:t>).</w:t>
      </w:r>
    </w:p>
    <w:p w:rsidR="5803529F" w:rsidP="00DE7CC7" w:rsidRDefault="5803529F" w14:paraId="6ABF1680" w14:textId="16AF6062">
      <w:pPr>
        <w:pStyle w:val="Heading3"/>
      </w:pPr>
      <w:r>
        <w:t>Declared Supplemental Capacity</w:t>
      </w:r>
      <w:r>
        <w:rPr>
          <w:u w:val="none"/>
        </w:rPr>
        <w:t>:</w:t>
      </w:r>
      <w:r>
        <w:rPr>
          <w:b w:val="0"/>
          <w:bCs w:val="0"/>
          <w:u w:val="none"/>
        </w:rPr>
        <w:t xml:space="preserve"> (i) With respect to the Standard Seasonal Performance Periods, the Declared Standard Supplemental Capacity; and (ii) with respect to the Winter Seasonal Performance Period, the Declared Supplemental Winter Capacity.</w:t>
      </w:r>
    </w:p>
    <w:p w:rsidR="3A3C358C" w:rsidP="00DE7CC7" w:rsidRDefault="3A3C358C" w14:paraId="17916205" w14:textId="490A1648">
      <w:pPr>
        <w:pStyle w:val="Heading3"/>
      </w:pPr>
      <w:r>
        <w:t>Declared Winter Base Capacity</w:t>
      </w:r>
      <w:r>
        <w:rPr>
          <w:u w:val="none"/>
        </w:rPr>
        <w:t xml:space="preserve">: </w:t>
      </w:r>
      <w:r>
        <w:rPr>
          <w:b w:val="0"/>
          <w:bCs w:val="0"/>
          <w:u w:val="none"/>
        </w:rPr>
        <w:t>Defined in, and determined in accordance with, Exhibit B (</w:t>
      </w:r>
      <w:r>
        <w:rPr>
          <w:b w:val="0"/>
          <w:bCs w:val="0"/>
          <w:i/>
          <w:u w:val="none"/>
        </w:rPr>
        <w:t xml:space="preserve">Capacity; Capacity </w:t>
      </w:r>
      <w:r>
        <w:rPr>
          <w:b w:val="0"/>
          <w:bCs w:val="0"/>
          <w:i/>
          <w:u w:val="none"/>
        </w:rPr>
        <w:lastRenderedPageBreak/>
        <w:t>Payments and Payment Reductions; Buydown</w:t>
      </w:r>
      <w:r>
        <w:rPr>
          <w:b w:val="0"/>
          <w:bCs w:val="0"/>
          <w:u w:val="none"/>
        </w:rPr>
        <w:t>), Section 1.3 (</w:t>
      </w:r>
      <w:r>
        <w:rPr>
          <w:b w:val="0"/>
          <w:bCs w:val="0"/>
          <w:i/>
          <w:u w:val="none"/>
        </w:rPr>
        <w:t>Declared Capacity</w:t>
      </w:r>
      <w:r>
        <w:rPr>
          <w:b w:val="0"/>
          <w:bCs w:val="0"/>
          <w:u w:val="none"/>
        </w:rPr>
        <w:t>).</w:t>
      </w:r>
    </w:p>
    <w:p w:rsidRPr="00877157" w:rsidR="70FAF3CB" w:rsidP="00DE7CC7" w:rsidRDefault="70FAF3CB" w14:paraId="408EF0E4" w14:textId="24557D40">
      <w:pPr>
        <w:pStyle w:val="Heading3"/>
        <w:rPr>
          <w:b w:val="0"/>
          <w:bCs w:val="0"/>
        </w:rPr>
      </w:pPr>
      <w:r>
        <w:t>Declared Winter Capacity</w:t>
      </w:r>
      <w:r>
        <w:rPr>
          <w:u w:val="none"/>
        </w:rPr>
        <w:t xml:space="preserve">: </w:t>
      </w:r>
      <w:r>
        <w:rPr>
          <w:b w:val="0"/>
          <w:bCs w:val="0"/>
          <w:u w:val="none"/>
        </w:rPr>
        <w:t>Defined in, and determined in accordance with, Exhibit B (</w:t>
      </w:r>
      <w:r>
        <w:rPr>
          <w:b w:val="0"/>
          <w:bCs w:val="0"/>
          <w:i/>
          <w:u w:val="none"/>
        </w:rPr>
        <w:t>Capacity; Capacity Payments and Payment Reductions; Buydown</w:t>
      </w:r>
      <w:r>
        <w:rPr>
          <w:b w:val="0"/>
          <w:bCs w:val="0"/>
          <w:u w:val="none"/>
        </w:rPr>
        <w:t>), Section 1.3 (</w:t>
      </w:r>
      <w:r>
        <w:rPr>
          <w:b w:val="0"/>
          <w:bCs w:val="0"/>
          <w:i/>
          <w:u w:val="none"/>
        </w:rPr>
        <w:t>Declared Capacity</w:t>
      </w:r>
      <w:r>
        <w:rPr>
          <w:b w:val="0"/>
          <w:bCs w:val="0"/>
          <w:u w:val="none"/>
        </w:rPr>
        <w:t>).</w:t>
      </w:r>
    </w:p>
    <w:p w:rsidRPr="00877157" w:rsidR="650CE4A9" w:rsidP="00DE7CC7" w:rsidRDefault="1C7EFB1B" w14:paraId="5C6C4763" w14:textId="5E487CAE">
      <w:pPr>
        <w:pStyle w:val="Heading3"/>
        <w:rPr>
          <w:b w:val="0"/>
          <w:bCs w:val="0"/>
        </w:rPr>
      </w:pPr>
      <w:r>
        <w:t>Declared Winter Supplemental Capacity</w:t>
      </w:r>
      <w:r>
        <w:rPr>
          <w:u w:val="none"/>
        </w:rPr>
        <w:t xml:space="preserve">: </w:t>
      </w:r>
      <w:r>
        <w:rPr>
          <w:b w:val="0"/>
          <w:bCs w:val="0"/>
          <w:u w:val="none"/>
        </w:rPr>
        <w:t>Defined in, and determined in accordance with, Exhibit B (</w:t>
      </w:r>
      <w:r>
        <w:rPr>
          <w:b w:val="0"/>
          <w:bCs w:val="0"/>
          <w:i/>
          <w:u w:val="none"/>
        </w:rPr>
        <w:t>Capacity; Capacity Payments and Payment Reductions; Buydown</w:t>
      </w:r>
      <w:r>
        <w:rPr>
          <w:b w:val="0"/>
          <w:bCs w:val="0"/>
          <w:u w:val="none"/>
        </w:rPr>
        <w:t>), Section 1.3 (</w:t>
      </w:r>
      <w:r>
        <w:rPr>
          <w:b w:val="0"/>
          <w:bCs w:val="0"/>
          <w:i/>
          <w:u w:val="none"/>
        </w:rPr>
        <w:t>Declared Capacity</w:t>
      </w:r>
      <w:r>
        <w:rPr>
          <w:b w:val="0"/>
          <w:bCs w:val="0"/>
          <w:u w:val="none"/>
        </w:rPr>
        <w:t>).</w:t>
      </w:r>
    </w:p>
    <w:p w:rsidR="00E10A25" w:rsidP="00DE7CC7" w:rsidRDefault="0021220C" w14:paraId="6A3AD2A4" w14:textId="3F38F48D">
      <w:pPr>
        <w:pStyle w:val="Heading3"/>
      </w:pPr>
      <w:r>
        <w:t>Declared Tier 1 Supplemental Capacity</w:t>
      </w:r>
      <w:r>
        <w:rPr>
          <w:u w:val="none"/>
        </w:rPr>
        <w:t xml:space="preserve">: </w:t>
      </w:r>
      <w:r>
        <w:rPr>
          <w:b w:val="0"/>
          <w:bCs w:val="0"/>
          <w:u w:val="none"/>
        </w:rPr>
        <w:t>(i) With respect to the Standard Seasonal Performance Periods, the Declared Tier 1 Standard Supplemental Capacity; and (ii) with respect to the Winter Seasonal Performance Period, the Declared Tier 1 Winter Supplemental Capacity.</w:t>
      </w:r>
    </w:p>
    <w:p w:rsidRPr="00877157" w:rsidR="0021220C" w:rsidP="00DE7CC7" w:rsidRDefault="00E10A25" w14:paraId="21E1C386" w14:textId="7D223E92">
      <w:pPr>
        <w:pStyle w:val="Heading3"/>
        <w:rPr>
          <w:b w:val="0"/>
          <w:bCs w:val="0"/>
          <w:u w:val="none"/>
        </w:rPr>
      </w:pPr>
      <w:r>
        <w:t>Declared Tier 1 Standard Supplemental Capacity</w:t>
      </w:r>
      <w:r>
        <w:rPr>
          <w:u w:val="none"/>
        </w:rPr>
        <w:t xml:space="preserve">: </w:t>
      </w:r>
      <w:r>
        <w:rPr>
          <w:b w:val="0"/>
          <w:bCs w:val="0"/>
          <w:u w:val="none"/>
        </w:rPr>
        <w:t>Defined in, and determined in accordance with, Exhibit B (</w:t>
      </w:r>
      <w:r>
        <w:rPr>
          <w:b w:val="0"/>
          <w:bCs w:val="0"/>
          <w:i/>
          <w:u w:val="none"/>
        </w:rPr>
        <w:t>Capacity; Capacity Payments and Payment Reductions; Buydown</w:t>
      </w:r>
      <w:r>
        <w:rPr>
          <w:b w:val="0"/>
          <w:bCs w:val="0"/>
          <w:u w:val="none"/>
        </w:rPr>
        <w:t>), Section 1.3 (</w:t>
      </w:r>
      <w:r>
        <w:rPr>
          <w:b w:val="0"/>
          <w:bCs w:val="0"/>
          <w:i/>
          <w:u w:val="none"/>
        </w:rPr>
        <w:t>Declared Capacity</w:t>
      </w:r>
      <w:r>
        <w:rPr>
          <w:b w:val="0"/>
          <w:bCs w:val="0"/>
          <w:u w:val="none"/>
        </w:rPr>
        <w:t>).</w:t>
      </w:r>
    </w:p>
    <w:p w:rsidRPr="00F10071" w:rsidR="00E10A25" w:rsidP="00DE7CC7" w:rsidRDefault="00E10A25" w14:paraId="6AB16B38" w14:textId="607301D6">
      <w:pPr>
        <w:pStyle w:val="Heading3"/>
      </w:pPr>
      <w:r>
        <w:t>Declared Tier 1 Winter Supplemental Capacity</w:t>
      </w:r>
      <w:r>
        <w:rPr>
          <w:u w:val="none"/>
        </w:rPr>
        <w:t xml:space="preserve">: </w:t>
      </w:r>
      <w:r>
        <w:rPr>
          <w:b w:val="0"/>
          <w:bCs w:val="0"/>
          <w:u w:val="none"/>
        </w:rPr>
        <w:t>Defined in, and determined in accordance with, Exhibit B (</w:t>
      </w:r>
      <w:r>
        <w:rPr>
          <w:b w:val="0"/>
          <w:bCs w:val="0"/>
          <w:i/>
          <w:u w:val="none"/>
        </w:rPr>
        <w:t>Capacity; Capacity Payments and Payment Reductions; Buydown</w:t>
      </w:r>
      <w:r>
        <w:rPr>
          <w:b w:val="0"/>
          <w:bCs w:val="0"/>
          <w:u w:val="none"/>
        </w:rPr>
        <w:t>), Section 1.3 (</w:t>
      </w:r>
      <w:r>
        <w:rPr>
          <w:b w:val="0"/>
          <w:bCs w:val="0"/>
          <w:i/>
          <w:u w:val="none"/>
        </w:rPr>
        <w:t>Declared Capacity</w:t>
      </w:r>
      <w:r>
        <w:rPr>
          <w:b w:val="0"/>
          <w:bCs w:val="0"/>
          <w:u w:val="none"/>
        </w:rPr>
        <w:t>).</w:t>
      </w:r>
    </w:p>
    <w:p w:rsidR="00E10A25" w:rsidP="00DE7CC7" w:rsidRDefault="0021220C" w14:paraId="3B8271A2" w14:textId="3DBD1209">
      <w:pPr>
        <w:pStyle w:val="Heading3"/>
      </w:pPr>
      <w:r>
        <w:t>Declared Tier 2 Supplemental Capacity</w:t>
      </w:r>
      <w:r>
        <w:rPr>
          <w:u w:val="none"/>
        </w:rPr>
        <w:t xml:space="preserve">: </w:t>
      </w:r>
      <w:r>
        <w:rPr>
          <w:b w:val="0"/>
          <w:bCs w:val="0"/>
          <w:u w:val="none"/>
        </w:rPr>
        <w:t>(i) With respect to the Standard Seasonal Performance Periods, the Declared Tier 2 Standard Supplemental Capacity; and (ii) with respect to the Winter Seasonal Performance Period, the Declared Tier 2 Winter Supplemental Capacity.</w:t>
      </w:r>
    </w:p>
    <w:p w:rsidRPr="00F10071" w:rsidR="0021220C" w:rsidP="00DE7CC7" w:rsidRDefault="00E10A25" w14:paraId="4C9ABB79" w14:textId="4E64990C">
      <w:pPr>
        <w:pStyle w:val="Heading3"/>
      </w:pPr>
      <w:r>
        <w:t>Declared Tier 2 Standard Supplemental Capacity</w:t>
      </w:r>
      <w:r>
        <w:rPr>
          <w:u w:val="none"/>
        </w:rPr>
        <w:t xml:space="preserve">: </w:t>
      </w:r>
      <w:r>
        <w:rPr>
          <w:b w:val="0"/>
          <w:bCs w:val="0"/>
          <w:u w:val="none"/>
        </w:rPr>
        <w:t>Defined in, and determined in accordance with, Exhibit B (</w:t>
      </w:r>
      <w:r>
        <w:rPr>
          <w:b w:val="0"/>
          <w:bCs w:val="0"/>
          <w:i/>
          <w:u w:val="none"/>
        </w:rPr>
        <w:t>Capacity; Capacity Payments and Payment Reductions; Buydown</w:t>
      </w:r>
      <w:r>
        <w:rPr>
          <w:b w:val="0"/>
          <w:bCs w:val="0"/>
          <w:u w:val="none"/>
        </w:rPr>
        <w:t>), Section 1.3 (</w:t>
      </w:r>
      <w:r>
        <w:rPr>
          <w:b w:val="0"/>
          <w:bCs w:val="0"/>
          <w:i/>
          <w:u w:val="none"/>
        </w:rPr>
        <w:t>Declared Capacity</w:t>
      </w:r>
      <w:r>
        <w:rPr>
          <w:b w:val="0"/>
          <w:bCs w:val="0"/>
          <w:u w:val="none"/>
        </w:rPr>
        <w:t>).</w:t>
      </w:r>
    </w:p>
    <w:p w:rsidRPr="00877157" w:rsidR="00E10A25" w:rsidP="00DE7CC7" w:rsidRDefault="00E10A25" w14:paraId="1623F7E2" w14:textId="1FC73B88">
      <w:pPr>
        <w:pStyle w:val="Heading3"/>
        <w:rPr>
          <w:u w:val="none"/>
        </w:rPr>
      </w:pPr>
      <w:r>
        <w:t>Declared Tier 2 Winter Supplemental Capacity</w:t>
      </w:r>
      <w:r>
        <w:rPr>
          <w:u w:val="none"/>
        </w:rPr>
        <w:t xml:space="preserve">: </w:t>
      </w:r>
      <w:r>
        <w:rPr>
          <w:b w:val="0"/>
          <w:bCs w:val="0"/>
          <w:u w:val="none"/>
        </w:rPr>
        <w:t>Defined in, and determined in accordance with, Exhibit B (</w:t>
      </w:r>
      <w:r>
        <w:rPr>
          <w:b w:val="0"/>
          <w:bCs w:val="0"/>
          <w:i/>
          <w:u w:val="none"/>
        </w:rPr>
        <w:t>Capacity; Capacity Payments and Payment Reductions; Buydown</w:t>
      </w:r>
      <w:r>
        <w:rPr>
          <w:b w:val="0"/>
          <w:bCs w:val="0"/>
          <w:u w:val="none"/>
        </w:rPr>
        <w:t>), Section 1.3 (</w:t>
      </w:r>
      <w:r>
        <w:rPr>
          <w:b w:val="0"/>
          <w:bCs w:val="0"/>
          <w:i/>
          <w:u w:val="none"/>
        </w:rPr>
        <w:t>Declared Capacity</w:t>
      </w:r>
      <w:r>
        <w:rPr>
          <w:b w:val="0"/>
          <w:bCs w:val="0"/>
          <w:u w:val="none"/>
        </w:rPr>
        <w:t>).</w:t>
      </w:r>
    </w:p>
    <w:p w:rsidRPr="00196A91" w:rsidR="76F5A91C" w:rsidP="00DE7CC7" w:rsidRDefault="76F5A91C" w14:paraId="27D8F370" w14:textId="4BDE86AC">
      <w:pPr>
        <w:pStyle w:val="Heading3"/>
      </w:pPr>
      <w:r>
        <w:t>Defaulting Party</w:t>
      </w:r>
      <w:r>
        <w:rPr>
          <w:u w:val="none"/>
        </w:rPr>
        <w:t xml:space="preserve">: </w:t>
      </w:r>
      <w:r>
        <w:rPr>
          <w:b w:val="0"/>
          <w:bCs w:val="0"/>
          <w:u w:val="none"/>
        </w:rPr>
        <w:t>Defined in Section 16.3.1 (</w:t>
      </w:r>
      <w:r>
        <w:rPr>
          <w:b w:val="0"/>
          <w:bCs w:val="0"/>
          <w:i/>
          <w:u w:val="none"/>
        </w:rPr>
        <w:t>Remedies for Event of Default</w:t>
      </w:r>
      <w:r>
        <w:rPr>
          <w:b w:val="0"/>
          <w:bCs w:val="0"/>
          <w:u w:val="none"/>
        </w:rPr>
        <w:t>).</w:t>
      </w:r>
    </w:p>
    <w:p w:rsidRPr="00877157" w:rsidR="00960870" w:rsidP="00DE7CC7" w:rsidRDefault="00960870" w14:paraId="1A12A1E2" w14:textId="5BE74F77">
      <w:pPr>
        <w:pStyle w:val="Heading3"/>
        <w:rPr>
          <w:u w:val="none"/>
        </w:rPr>
      </w:pPr>
      <w:r>
        <w:t>Delivered Energy</w:t>
      </w:r>
      <w:r>
        <w:rPr>
          <w:u w:val="none"/>
        </w:rPr>
        <w:t xml:space="preserve">: </w:t>
      </w:r>
      <w:r>
        <w:rPr>
          <w:rFonts w:eastAsia="Times New Roman"/>
          <w:b w:val="0"/>
          <w:bCs w:val="0"/>
          <w:u w:val="none"/>
        </w:rPr>
        <w:t>For any Hour, the quantity of energy (expressed in MWh) delivered by Seller to the Point of Delivery in accordance with GPC’s Schedule, excluding test energy and including ramp energy delivered to GPC at the Point of Delivery</w:t>
      </w:r>
      <w:r>
        <w:rPr>
          <w:b w:val="0"/>
          <w:bCs w:val="0"/>
          <w:u w:val="none"/>
        </w:rPr>
        <w:t>.</w:t>
      </w:r>
    </w:p>
    <w:p w:rsidR="00960870" w:rsidP="00DE7CC7" w:rsidRDefault="00960870" w14:paraId="57D92BCC" w14:textId="28E6F482">
      <w:pPr>
        <w:pStyle w:val="Heading3"/>
      </w:pPr>
      <w:r>
        <w:t>Delivery Commencement Date</w:t>
      </w:r>
      <w:r>
        <w:rPr>
          <w:u w:val="none"/>
        </w:rPr>
        <w:t xml:space="preserve">: </w:t>
      </w:r>
      <w:r>
        <w:rPr>
          <w:b w:val="0"/>
          <w:bCs w:val="0"/>
          <w:u w:val="none"/>
        </w:rPr>
        <w:t>The Commercial Operation Date, except that the Delivery Commencement Date may not be more than nine Months before the Required Commercial Operation Date. If Commercial Operation occurs more than nine Months before the Required Commercial Operation Date, the Delivery Commencement Date will be the date that is nine months before RCOD.</w:t>
      </w:r>
      <w:r>
        <w:rPr>
          <w:b w:val="0"/>
          <w:bCs w:val="0"/>
          <w:highlight w:val="cyan"/>
          <w:u w:val="none"/>
        </w:rPr>
        <w:t>[</w:t>
      </w:r>
      <w:r>
        <w:rPr>
          <w:i/>
          <w:iCs/>
          <w:highlight w:val="cyan"/>
          <w:u w:val="none"/>
        </w:rPr>
        <w:t>Note to Bidders: For any Month before the Delivery Commencement Date, Exhibit B (Capacity; Capacity Payments and Payment Reductions; Buydown) provides that Monthly Capacity Payments are not owed to Seller, and Monthly Energy Payments are as set forth in Exhibit C (Energy Payment Calculation).</w:t>
      </w:r>
      <w:r>
        <w:rPr>
          <w:iCs/>
          <w:highlight w:val="cyan"/>
          <w:u w:val="none"/>
        </w:rPr>
        <w:t>]</w:t>
      </w:r>
      <w:r>
        <w:t xml:space="preserve"> </w:t>
      </w:r>
    </w:p>
    <w:p w:rsidR="00960870" w:rsidP="00DE7CC7" w:rsidRDefault="00960870" w14:paraId="6CD3E4A7" w14:textId="525D7C53">
      <w:pPr>
        <w:pStyle w:val="Heading3"/>
      </w:pPr>
      <w:r>
        <w:t>Dispatch Hours (DH)</w:t>
      </w:r>
      <w:r>
        <w:rPr>
          <w:u w:val="none"/>
        </w:rPr>
        <w:t xml:space="preserve">: </w:t>
      </w:r>
      <w:r>
        <w:rPr>
          <w:b w:val="0"/>
          <w:bCs w:val="0"/>
          <w:u w:val="none"/>
        </w:rPr>
        <w:t>Defined in, and determined in accordance with, Exhibit B (</w:t>
      </w:r>
      <w:r>
        <w:rPr>
          <w:b w:val="0"/>
          <w:bCs w:val="0"/>
          <w:i/>
          <w:u w:val="none"/>
        </w:rPr>
        <w:t>Capacity; Capacity Payments and Payment Reductions; Buydown</w:t>
      </w:r>
      <w:r>
        <w:rPr>
          <w:b w:val="0"/>
          <w:bCs w:val="0"/>
          <w:u w:val="none"/>
        </w:rPr>
        <w:t>), Section 3.2 (</w:t>
      </w:r>
      <w:r>
        <w:rPr>
          <w:b w:val="0"/>
          <w:bCs w:val="0"/>
          <w:i/>
          <w:u w:val="none"/>
        </w:rPr>
        <w:t>Calculation of Monthly Availability Percentage)</w:t>
      </w:r>
      <w:r>
        <w:rPr>
          <w:b w:val="0"/>
          <w:bCs w:val="0"/>
          <w:u w:val="none"/>
        </w:rPr>
        <w:t>.</w:t>
      </w:r>
    </w:p>
    <w:p w:rsidRPr="00877157" w:rsidR="3A6459D6" w:rsidP="00DE7CC7" w:rsidRDefault="3A6459D6" w14:paraId="3890F9FA" w14:textId="5BC8BCC7">
      <w:pPr>
        <w:pStyle w:val="Heading3"/>
        <w:rPr>
          <w:b w:val="0"/>
          <w:bCs w:val="0"/>
          <w:u w:val="none"/>
        </w:rPr>
      </w:pPr>
      <w:r>
        <w:rPr>
          <w:iCs/>
        </w:rPr>
        <w:t>Dispute Response</w:t>
      </w:r>
      <w:r>
        <w:rPr>
          <w:iCs/>
          <w:u w:val="none"/>
        </w:rPr>
        <w:t xml:space="preserve">: </w:t>
      </w:r>
      <w:r>
        <w:rPr>
          <w:b w:val="0"/>
          <w:bCs w:val="0"/>
          <w:iCs/>
          <w:u w:val="none"/>
        </w:rPr>
        <w:t>Defined in Section 19.1 (</w:t>
      </w:r>
      <w:r>
        <w:rPr>
          <w:b w:val="0"/>
          <w:bCs w:val="0"/>
          <w:i/>
          <w:u w:val="none"/>
        </w:rPr>
        <w:t>Notice of Dispute; Dispute Resolution Process</w:t>
      </w:r>
      <w:r>
        <w:rPr>
          <w:b w:val="0"/>
          <w:bCs w:val="0"/>
          <w:iCs/>
          <w:u w:val="none"/>
        </w:rPr>
        <w:t>).</w:t>
      </w:r>
    </w:p>
    <w:p w:rsidRPr="00877157" w:rsidR="3A6459D6" w:rsidP="00DE7CC7" w:rsidRDefault="3A6459D6" w14:paraId="6FAD8C62" w14:textId="2EF5F3D4">
      <w:pPr>
        <w:pStyle w:val="Heading3"/>
        <w:rPr>
          <w:u w:val="none"/>
        </w:rPr>
      </w:pPr>
      <w:r>
        <w:rPr>
          <w:iCs/>
        </w:rPr>
        <w:t>Disputing Party</w:t>
      </w:r>
      <w:r>
        <w:rPr>
          <w:iCs/>
          <w:u w:val="none"/>
        </w:rPr>
        <w:t xml:space="preserve">: </w:t>
      </w:r>
      <w:r>
        <w:rPr>
          <w:b w:val="0"/>
          <w:bCs w:val="0"/>
          <w:iCs/>
          <w:u w:val="none"/>
        </w:rPr>
        <w:t>Defined in Section 19.1 (</w:t>
      </w:r>
      <w:r>
        <w:rPr>
          <w:b w:val="0"/>
          <w:bCs w:val="0"/>
          <w:i/>
          <w:iCs/>
          <w:u w:val="none"/>
        </w:rPr>
        <w:t>Notice of Dispute; Dispute Resolution Process</w:t>
      </w:r>
      <w:r>
        <w:rPr>
          <w:b w:val="0"/>
          <w:bCs w:val="0"/>
          <w:iCs/>
          <w:u w:val="none"/>
        </w:rPr>
        <w:t>).</w:t>
      </w:r>
    </w:p>
    <w:p w:rsidRPr="00196A91" w:rsidR="3A6459D6" w:rsidP="00DE7CC7" w:rsidRDefault="3A6459D6" w14:paraId="60990D8D" w14:textId="128D0797">
      <w:pPr>
        <w:pStyle w:val="Heading3"/>
      </w:pPr>
      <w:r>
        <w:t>Early Termination Date</w:t>
      </w:r>
      <w:r>
        <w:rPr>
          <w:u w:val="none"/>
        </w:rPr>
        <w:t xml:space="preserve">: </w:t>
      </w:r>
      <w:r>
        <w:rPr>
          <w:b w:val="0"/>
          <w:bCs w:val="0"/>
          <w:u w:val="none"/>
        </w:rPr>
        <w:t>Defined in Section 16.3.1 (</w:t>
      </w:r>
      <w:r>
        <w:rPr>
          <w:b w:val="0"/>
          <w:bCs w:val="0"/>
          <w:i/>
          <w:u w:val="none"/>
        </w:rPr>
        <w:t>Remedies for Event of Default</w:t>
      </w:r>
      <w:r>
        <w:rPr>
          <w:b w:val="0"/>
          <w:bCs w:val="0"/>
          <w:u w:val="none"/>
        </w:rPr>
        <w:t>).</w:t>
      </w:r>
    </w:p>
    <w:p w:rsidR="001951CC" w:rsidP="00DE7CC7" w:rsidRDefault="001951CC" w14:paraId="039AFCBC" w14:textId="0B99EAE7">
      <w:pPr>
        <w:pStyle w:val="Heading3"/>
      </w:pPr>
      <w:r>
        <w:t>Eastern Time (ET)</w:t>
      </w:r>
      <w:r>
        <w:rPr>
          <w:u w:val="none"/>
        </w:rPr>
        <w:t xml:space="preserve">: </w:t>
      </w:r>
      <w:r>
        <w:rPr>
          <w:b w:val="0"/>
          <w:bCs w:val="0"/>
          <w:u w:val="none"/>
        </w:rPr>
        <w:t>The time in the easternmost time zone of the United States, considering daylight savings time if it is in effect (i.e., Eastern Standard Time (EST) or Eastern Daylight Time (EDT), as applicable).</w:t>
      </w:r>
    </w:p>
    <w:p w:rsidR="00CB483D" w:rsidP="00DE7CC7" w:rsidRDefault="00CB483D" w14:paraId="4B8245E9" w14:textId="105CB873">
      <w:pPr>
        <w:pStyle w:val="Heading3"/>
      </w:pPr>
      <w:r>
        <w:t>Effective Date</w:t>
      </w:r>
      <w:r>
        <w:rPr>
          <w:u w:val="none"/>
        </w:rPr>
        <w:t xml:space="preserve">: </w:t>
      </w:r>
      <w:r>
        <w:rPr>
          <w:b w:val="0"/>
          <w:bCs w:val="0"/>
          <w:u w:val="none"/>
        </w:rPr>
        <w:t>The date of full execution of this PPA, which will be the date on which GPC signs this PPA, as shown on the signature page.</w:t>
      </w:r>
    </w:p>
    <w:p w:rsidRPr="00877157" w:rsidR="5B7B1342" w:rsidP="00DE7CC7" w:rsidRDefault="5B7B1342" w14:paraId="676200B3" w14:textId="3E634C9E">
      <w:pPr>
        <w:pStyle w:val="Heading3"/>
        <w:rPr>
          <w:b w:val="0"/>
          <w:bCs w:val="0"/>
          <w:u w:val="none"/>
        </w:rPr>
      </w:pPr>
      <w:r>
        <w:t>Effective Date Accounting Standards</w:t>
      </w:r>
      <w:r>
        <w:rPr>
          <w:u w:val="none"/>
        </w:rPr>
        <w:t xml:space="preserve">: </w:t>
      </w:r>
      <w:r>
        <w:rPr>
          <w:b w:val="0"/>
          <w:bCs w:val="0"/>
          <w:u w:val="none"/>
        </w:rPr>
        <w:t>Defined in Section 2.1.8(i) (</w:t>
      </w:r>
      <w:r>
        <w:rPr>
          <w:b w:val="0"/>
          <w:bCs w:val="0"/>
          <w:i/>
          <w:u w:val="none"/>
        </w:rPr>
        <w:t>VIE Certification</w:t>
      </w:r>
      <w:r>
        <w:rPr>
          <w:b w:val="0"/>
          <w:bCs w:val="0"/>
          <w:u w:val="none"/>
        </w:rPr>
        <w:t>).</w:t>
      </w:r>
    </w:p>
    <w:p w:rsidRPr="00023F37" w:rsidR="00230E03" w:rsidP="00DE7CC7" w:rsidRDefault="00230E03" w14:paraId="59288CCC" w14:textId="44331825">
      <w:pPr>
        <w:pStyle w:val="Heading3"/>
      </w:pPr>
      <w:r>
        <w:t>Electric System</w:t>
      </w:r>
      <w:r>
        <w:rPr>
          <w:u w:val="none"/>
        </w:rPr>
        <w:t xml:space="preserve">: </w:t>
      </w:r>
      <w:r>
        <w:rPr>
          <w:b w:val="0"/>
          <w:bCs w:val="0"/>
          <w:u w:val="none"/>
        </w:rPr>
        <w:t>The network of electric generation, transmission, or distribution facilities owned or operated by GPC or other electric utilities.</w:t>
      </w:r>
    </w:p>
    <w:p w:rsidRPr="00877157" w:rsidR="00960870" w:rsidP="00DE7CC7" w:rsidRDefault="00960870" w14:paraId="2BE07851" w14:textId="42B8597C">
      <w:pPr>
        <w:pStyle w:val="Heading3"/>
        <w:rPr>
          <w:b w:val="0"/>
          <w:bCs w:val="0"/>
        </w:rPr>
      </w:pPr>
      <w:r>
        <w:t>Electrical Products</w:t>
      </w:r>
      <w:r>
        <w:rPr>
          <w:u w:val="none"/>
        </w:rPr>
        <w:t xml:space="preserve">: </w:t>
      </w:r>
      <w:r>
        <w:rPr>
          <w:b w:val="0"/>
          <w:bCs w:val="0"/>
          <w:u w:val="none"/>
        </w:rPr>
        <w:t xml:space="preserve">All electrical products produced by or related to the Facility, including spinning reserves, operating reserves, black start capability, balancing energy, regulation service, ramping capability, reactive power and voltage control, frequency control, and other ancillary or essential reliability service products. Electrical Products also include any benefit GPC otherwise would have realized from or related to the Facility if GPC, rather than Seller, had constructed, owned, or operated the Facility, it being the Parties’ intent that all those benefits and entitlements, in addition to electrical output, that flow from construction, ownership, or operation of the Facility, whether existing as of the Effective Date or at any time during the Term, will belong to GPC, at no additional cost </w:t>
      </w:r>
      <w:r>
        <w:rPr>
          <w:b w:val="0"/>
          <w:bCs w:val="0"/>
          <w:u w:val="none"/>
        </w:rPr>
        <w:lastRenderedPageBreak/>
        <w:t>to GPC. Electrical Products do not include: (i) any federal, state, or local tax attribute arising from ownership of the Facility, including any investment tax credit (ITC), production tax credit (PTC), or depreciation deduction; (ii) any grant in lieu of ITC or any similar financial payment or grant regarding the Facility; or (iii) the metered electric energy produced by the Facility.</w:t>
      </w:r>
    </w:p>
    <w:p w:rsidRPr="00B823E9" w:rsidR="00960870" w:rsidP="00DE7CC7" w:rsidRDefault="00960870" w14:paraId="5D7486A7" w14:textId="1C23EBED">
      <w:pPr>
        <w:pStyle w:val="Heading3"/>
      </w:pPr>
      <w:r>
        <w:t>Eligible Collateral</w:t>
      </w:r>
      <w:r>
        <w:rPr>
          <w:u w:val="none"/>
        </w:rPr>
        <w:t xml:space="preserve">: </w:t>
      </w:r>
      <w:r>
        <w:rPr>
          <w:b w:val="0"/>
          <w:bCs w:val="0"/>
          <w:u w:val="none"/>
        </w:rPr>
        <w:t xml:space="preserve">Either: (i) a Letter of Credit, (ii) cash deposited into a GPC Security Account by Seller, or (iii) a Seller Guaranty. However, at least 50% of any Eligible Collateral required under any provision of this PPA must be in the form of either a Letter of Credit or cash deposited into a GPC Security Account whenever a Seller Guarantor supplying a Seller Guaranty under this PPA has an investment grade rating such that its senior unsecured debt (or issuer rating if such Person has no senior unsecured debt rating) is not rated at least: (a) BBB by S&amp;P, if rated by S&amp;P, (b) Baa2 by Moody’s, if rated by Moody’s, and (c) BBB by Fitch, if rated by Fitch. For the purposes of the immediately preceding sentence, a Person is not required to have a senior unsecured debt rating (or issuer rating if such Person has no senior unsecured debt rating) from each of S&amp;P, Moody’s and Fitch, but must have the requisite senior unsecured debt rating (or issuer rating if such Person has no senior unsecured debt rating) as set forth above from </w:t>
      </w:r>
      <w:r>
        <w:rPr>
          <w:rFonts w:eastAsia="Calibri"/>
          <w:b w:val="0"/>
          <w:bCs w:val="0"/>
          <w:u w:val="none"/>
        </w:rPr>
        <w:t>at least two of the three Rating Agencies</w:t>
      </w:r>
      <w:r>
        <w:rPr>
          <w:b w:val="0"/>
          <w:bCs w:val="0"/>
          <w:u w:val="none"/>
        </w:rPr>
        <w:t>.</w:t>
      </w:r>
    </w:p>
    <w:p w:rsidRPr="00B823E9" w:rsidR="00960870" w:rsidP="00DE7CC7" w:rsidRDefault="00960870" w14:paraId="5A5E9C98" w14:textId="0538569C">
      <w:pPr>
        <w:pStyle w:val="Heading3"/>
      </w:pPr>
      <w:r>
        <w:t>Energy Price</w:t>
      </w:r>
      <w:r>
        <w:rPr>
          <w:u w:val="none"/>
        </w:rPr>
        <w:t xml:space="preserve">: </w:t>
      </w:r>
      <w:r>
        <w:rPr>
          <w:b w:val="0"/>
          <w:bCs w:val="0"/>
          <w:u w:val="none"/>
        </w:rPr>
        <w:t>Defined in, and determined in accordance with, Exhibit B (</w:t>
      </w:r>
      <w:r>
        <w:rPr>
          <w:b w:val="0"/>
          <w:bCs w:val="0"/>
          <w:i/>
          <w:iCs/>
          <w:u w:val="none"/>
        </w:rPr>
        <w:t>Capacity; Capacity Payments and Payment Reductions; Buydown</w:t>
      </w:r>
      <w:r>
        <w:rPr>
          <w:b w:val="0"/>
          <w:bCs w:val="0"/>
          <w:u w:val="none"/>
        </w:rPr>
        <w:t>), Section 4.1 (</w:t>
      </w:r>
      <w:r>
        <w:rPr>
          <w:b w:val="0"/>
          <w:bCs w:val="0"/>
          <w:i/>
          <w:iCs/>
          <w:u w:val="none"/>
        </w:rPr>
        <w:t>Calculation of Replacement Costs</w:t>
      </w:r>
      <w:r>
        <w:rPr>
          <w:b w:val="0"/>
          <w:bCs w:val="0"/>
          <w:u w:val="none"/>
        </w:rPr>
        <w:t>).</w:t>
      </w:r>
    </w:p>
    <w:p w:rsidRPr="00F10071" w:rsidR="00960870" w:rsidP="00DE7CC7" w:rsidRDefault="00960870" w14:paraId="7AAA4A95" w14:textId="5641C14C">
      <w:pPr>
        <w:pStyle w:val="Heading3"/>
      </w:pPr>
      <w:r>
        <w:t>Environmental Attributes</w:t>
      </w:r>
      <w:r>
        <w:rPr>
          <w:u w:val="none"/>
        </w:rPr>
        <w:t xml:space="preserve">: </w:t>
      </w:r>
      <w:r>
        <w:rPr>
          <w:b w:val="0"/>
          <w:bCs w:val="0"/>
          <w:u w:val="none"/>
        </w:rPr>
        <w:t>Either: (i) all fuel-related, emissions-related, air quality-related, or other environmental-related aspects, claims, characteristics, benefits, credits (including RECs), reductions, offsets, savings, allowances, efficiencies, certificates, tags, attributes, demand reductions, or similar products or rights (including all of those relating to greenhouse gases and all green certificates, green tags, renewable certificates, RECs, CO2 credits, and emission reduction credits, and all those that otherwise arise or result from the generation of energy from the Facility, and all those arising or resulting from the existence of the Facility): (a) howsoever titled and whether known or unknown; (b) whether existing as of the Effective Date or at any time during the Term; and (c) whether the Environmental Attributes have been certified or verified under any renewable standard, including all those that could qualify or do qualify for application toward compliance with any local, state, federal or international renewable energy portfolio standard, green pricing program, renewable energy program, carbon reduction or greenhouse gas reduction initiative, electricity savings program, or other environmental program, incentive, mandate, or objective, in each case whether voluntary or mandatory; or (ii) all environmental benefits GPC otherwise would have realized from or related to the Facility if GPC rather than Seller had constructed, owned, or operated the Facility, as applicable. Environmental Attributes do not include: (I) any federal, state, or local tax attribute arising from ownership of the Facility, including any investment tax credit (ITC), production tax credit (PTC), or depreciation deduction; (II) any grant in lieu of ITC or any similar financial payment or grant regarding the Facility; or (III) the metered electric energy produced by the Facility.</w:t>
      </w:r>
    </w:p>
    <w:p w:rsidR="00636E8C" w:rsidP="00DE7CC7" w:rsidRDefault="00636E8C" w14:paraId="206EE9B7" w14:textId="790FD88E">
      <w:pPr>
        <w:pStyle w:val="Heading3"/>
        <w:rPr>
          <w:b w:val="0"/>
          <w:bCs w:val="0"/>
          <w:u w:val="none" w:color="0000FF"/>
        </w:rPr>
      </w:pPr>
      <w:r>
        <w:t>Environmental Law</w:t>
      </w:r>
      <w:r>
        <w:rPr>
          <w:u w:val="none"/>
        </w:rPr>
        <w:t xml:space="preserve">: </w:t>
      </w:r>
      <w:r>
        <w:rPr>
          <w:b w:val="0"/>
          <w:bCs w:val="0"/>
          <w:u w:val="none" w:color="0000FF"/>
        </w:rPr>
        <w:t>Any applicable law that relates to pollution, occupational safety, protection of occupational health, or the protection of the environment, including; (a) the Comprehensive Environmental Response, Compensation and Liability Act, 42 U.S.C. § 9601 et seq; (b) the Resource Conservation and Recovery Act, 42 U.S.C. § 6901 et seq.; (c) the Federal Water Pollution Control Act, 33 U.S.C. § 1251 et seq.; (d) the Clean Air Act, 42 U.S.C. § 7401 et seq.; (e) the Hazardous Materials Transportation Authorization Act of 1994, 49 U.S.C. § 5101 et seq.; (f) the Toxic Substances Control Act, 15 U.S.C. §§ 2601 through 2629; (g) the Oil Pollution Act, 33 U.S.C. § 2701 et seq.; (h) the Emergency Planning and Community Right-to-Know Act, 42 U.S.C. § 11001 et seq.; (i) the Safe Drinking Water Act, 42 U.S.C. §§ 300f through 300j; (j) the Federal Insecticide, Fungicide, &amp; Rodenticide Act, 7 U.S.C. § 136 et seq.; (k) the Endangered Species Act, 16 U.S.C. § 1531 et seq.; (l) the Clean Water Act, 33 U.S.C. § 1251 et seq.; (m) National Environmental Policy Act, 42 U.S.C. § 55 et seq.; (n) the Migratory Bird Treaty Act, 16 U.S.C. § 703 et seq.; (o) the Bald and Golden Eagle Protection Act; (p) Archeological Resources Protection Act, 16 U.S.C. § 470aa et seq.; (q) National Historic Preservation Act, 54 U.S.C. § 300101 et seq.; and (r) state or local equivalents to items (a) through (q). However, the term “Environmental Law” does not include any law relating to worker health or safety matters to the extent not related to human exposure to hazardous or toxic materials, wastes, or substances.</w:t>
      </w:r>
    </w:p>
    <w:p w:rsidRPr="001056D5" w:rsidR="009C7902" w:rsidP="00DE7CC7" w:rsidRDefault="009C7902" w14:paraId="29B7D75E" w14:textId="2FC366E9">
      <w:pPr>
        <w:pStyle w:val="Heading3"/>
      </w:pPr>
      <w:r w:rsidRPr="009C7902">
        <w:t>Environmental Recommendations</w:t>
      </w:r>
      <w:r>
        <w:rPr>
          <w:b w:val="0"/>
          <w:bCs w:val="0"/>
          <w:u w:val="none" w:color="0000FF"/>
        </w:rPr>
        <w:t>: Defined in Section 17.5.2 (</w:t>
      </w:r>
      <w:r w:rsidRPr="009C7902">
        <w:rPr>
          <w:b w:val="0"/>
          <w:bCs w:val="0"/>
          <w:i/>
          <w:iCs/>
          <w:u w:val="none" w:color="0000FF"/>
        </w:rPr>
        <w:t>Environmental Recommendations</w:t>
      </w:r>
      <w:r>
        <w:rPr>
          <w:b w:val="0"/>
          <w:bCs w:val="0"/>
          <w:u w:val="none" w:color="0000FF"/>
        </w:rPr>
        <w:t xml:space="preserve">). </w:t>
      </w:r>
    </w:p>
    <w:p w:rsidRPr="00877157" w:rsidR="00960870" w:rsidP="00DE7CC7" w:rsidRDefault="00960870" w14:paraId="71FC2E63" w14:textId="75DD5688">
      <w:pPr>
        <w:pStyle w:val="Heading3"/>
        <w:rPr>
          <w:b w:val="0"/>
          <w:bCs w:val="0"/>
          <w:u w:val="none"/>
        </w:rPr>
      </w:pPr>
      <w:r>
        <w:t>EPA</w:t>
      </w:r>
      <w:r>
        <w:rPr>
          <w:u w:val="none"/>
        </w:rPr>
        <w:t xml:space="preserve">: </w:t>
      </w:r>
      <w:r>
        <w:rPr>
          <w:b w:val="0"/>
          <w:bCs w:val="0"/>
          <w:u w:val="none"/>
        </w:rPr>
        <w:t>The U.S. Environmental Protection Agency.</w:t>
      </w:r>
    </w:p>
    <w:p w:rsidRPr="00F10071" w:rsidR="00352CE3" w:rsidP="00DE7CC7" w:rsidRDefault="00352CE3" w14:paraId="039BD23D" w14:textId="2DCF22D9">
      <w:pPr>
        <w:pStyle w:val="Heading3"/>
      </w:pPr>
      <w:r>
        <w:t>Equivalent Unplanned (Forced) Derated Hours (EFDH)</w:t>
      </w:r>
      <w:r>
        <w:rPr>
          <w:b w:val="0"/>
          <w:bCs w:val="0"/>
          <w:u w:val="none"/>
        </w:rPr>
        <w:t xml:space="preserve">: The Hours during which the </w:t>
      </w:r>
      <w:r w:rsidR="002123DD">
        <w:rPr>
          <w:b w:val="0"/>
          <w:bCs w:val="0"/>
          <w:u w:val="none"/>
        </w:rPr>
        <w:t>u</w:t>
      </w:r>
      <w:r>
        <w:rPr>
          <w:b w:val="0"/>
          <w:bCs w:val="0"/>
          <w:u w:val="none"/>
        </w:rPr>
        <w:t>nit experiences a Forced Derate, as further described in, and determined in accordance with, Exhibit B (</w:t>
      </w:r>
      <w:r>
        <w:rPr>
          <w:b w:val="0"/>
          <w:bCs w:val="0"/>
          <w:i/>
          <w:u w:val="none"/>
        </w:rPr>
        <w:t>Capacity; Capacity Payments and Payment Reductions; Buydown</w:t>
      </w:r>
      <w:r>
        <w:rPr>
          <w:b w:val="0"/>
          <w:bCs w:val="0"/>
          <w:u w:val="none"/>
        </w:rPr>
        <w:t>), Section 3.2 (</w:t>
      </w:r>
      <w:r>
        <w:rPr>
          <w:b w:val="0"/>
          <w:bCs w:val="0"/>
          <w:i/>
          <w:u w:val="none"/>
        </w:rPr>
        <w:t>Calculation of Monthly Availability Percentage</w:t>
      </w:r>
      <w:r>
        <w:rPr>
          <w:b w:val="0"/>
          <w:bCs w:val="0"/>
          <w:u w:val="none"/>
        </w:rPr>
        <w:t>).</w:t>
      </w:r>
    </w:p>
    <w:p w:rsidRPr="00877157" w:rsidR="001951CC" w:rsidP="00DE7CC7" w:rsidRDefault="001951CC" w14:paraId="359B4D6B" w14:textId="43997682">
      <w:pPr>
        <w:pStyle w:val="Heading3"/>
        <w:rPr>
          <w:u w:val="none"/>
        </w:rPr>
      </w:pPr>
      <w:r>
        <w:t>ET</w:t>
      </w:r>
      <w:r>
        <w:rPr>
          <w:u w:val="none"/>
        </w:rPr>
        <w:t xml:space="preserve">: </w:t>
      </w:r>
      <w:r>
        <w:rPr>
          <w:b w:val="0"/>
          <w:bCs w:val="0"/>
          <w:u w:val="none"/>
        </w:rPr>
        <w:t>See Eastern Time.</w:t>
      </w:r>
      <w:r>
        <w:rPr>
          <w:u w:val="none"/>
        </w:rPr>
        <w:t xml:space="preserve"> </w:t>
      </w:r>
    </w:p>
    <w:p w:rsidR="00960870" w:rsidP="00DE7CC7" w:rsidRDefault="00960870" w14:paraId="123DFE27" w14:textId="2CA8D38F">
      <w:pPr>
        <w:pStyle w:val="Heading3"/>
        <w:rPr>
          <w:b w:val="0"/>
          <w:bCs w:val="0"/>
          <w:u w:val="none"/>
        </w:rPr>
      </w:pPr>
      <w:r>
        <w:t>Event of Default</w:t>
      </w:r>
      <w:r>
        <w:rPr>
          <w:u w:val="none"/>
        </w:rPr>
        <w:t xml:space="preserve">: </w:t>
      </w:r>
      <w:r>
        <w:rPr>
          <w:b w:val="0"/>
          <w:bCs w:val="0"/>
          <w:u w:val="none"/>
        </w:rPr>
        <w:t xml:space="preserve">A Party’s failure to perform or comply with a material PPA term or condition, as further described </w:t>
      </w:r>
      <w:r>
        <w:rPr>
          <w:b w:val="0"/>
          <w:bCs w:val="0"/>
          <w:u w:val="none"/>
        </w:rPr>
        <w:lastRenderedPageBreak/>
        <w:t>in Section 16.1 (</w:t>
      </w:r>
      <w:r>
        <w:rPr>
          <w:b w:val="0"/>
          <w:bCs w:val="0"/>
          <w:i/>
          <w:u w:val="none"/>
        </w:rPr>
        <w:t>Default by Seller</w:t>
      </w:r>
      <w:r>
        <w:rPr>
          <w:b w:val="0"/>
          <w:bCs w:val="0"/>
          <w:u w:val="none"/>
        </w:rPr>
        <w:t>) for Seller and in Section 16.2 (</w:t>
      </w:r>
      <w:r>
        <w:rPr>
          <w:b w:val="0"/>
          <w:bCs w:val="0"/>
          <w:i/>
          <w:u w:val="none"/>
        </w:rPr>
        <w:t>Default by GPC</w:t>
      </w:r>
      <w:r>
        <w:rPr>
          <w:b w:val="0"/>
          <w:bCs w:val="0"/>
          <w:u w:val="none"/>
        </w:rPr>
        <w:t>) for GPC.</w:t>
      </w:r>
    </w:p>
    <w:p w:rsidRPr="00877157" w:rsidR="0045506D" w:rsidP="00DE7CC7" w:rsidRDefault="0045506D" w14:paraId="6B6D7600" w14:textId="7A8CB5DC">
      <w:pPr>
        <w:pStyle w:val="Heading3"/>
        <w:rPr>
          <w:b w:val="0"/>
          <w:bCs w:val="0"/>
          <w:u w:val="none"/>
        </w:rPr>
      </w:pPr>
      <w:r w:rsidRPr="00341121">
        <w:t>Excess Expenditures</w:t>
      </w:r>
      <w:r w:rsidRPr="0045506D">
        <w:rPr>
          <w:u w:val="none"/>
        </w:rPr>
        <w:t>:</w:t>
      </w:r>
      <w:r w:rsidRPr="0045506D">
        <w:rPr>
          <w:b w:val="0"/>
          <w:bCs w:val="0"/>
          <w:u w:val="none"/>
        </w:rPr>
        <w:t xml:space="preserve"> The portion of Change of Law Expenditures that exceeds the Threshold Amount, as calculated by subtracting the Threshold Amount (expressed in dollars) from the total Change of Law Expenditures for an applicable Change of Law.</w:t>
      </w:r>
    </w:p>
    <w:p w:rsidRPr="00DF7347" w:rsidR="004A01A3" w:rsidP="00DE7CC7" w:rsidRDefault="004A01A3" w14:paraId="39556C73" w14:textId="270FC4AF">
      <w:pPr>
        <w:pStyle w:val="Heading3"/>
      </w:pPr>
      <w:r>
        <w:t>Excess Expenditures Notice</w:t>
      </w:r>
      <w:r>
        <w:rPr>
          <w:u w:val="none"/>
        </w:rPr>
        <w:t xml:space="preserve">: </w:t>
      </w:r>
      <w:r w:rsidRPr="00B705BF" w:rsidR="00B705BF">
        <w:rPr>
          <w:b w:val="0"/>
          <w:bCs w:val="0"/>
          <w:u w:val="none"/>
        </w:rPr>
        <w:t>Written notice from Seller to GPC requesting recovery of Excess Expenditures</w:t>
      </w:r>
      <w:r w:rsidRPr="006D04B1" w:rsidR="006D04B1">
        <w:rPr>
          <w:b w:val="0"/>
          <w:bCs w:val="0"/>
          <w:u w:val="none"/>
        </w:rPr>
        <w:t xml:space="preserve"> or approval of an Operational Alternative</w:t>
      </w:r>
      <w:r>
        <w:rPr>
          <w:b w:val="0"/>
          <w:bCs w:val="0"/>
          <w:u w:val="none"/>
        </w:rPr>
        <w:t>.</w:t>
      </w:r>
    </w:p>
    <w:p w:rsidRPr="00877157" w:rsidR="00960870" w:rsidP="00DE7CC7" w:rsidRDefault="00960870" w14:paraId="1C628B14" w14:textId="7874B004">
      <w:pPr>
        <w:pStyle w:val="Heading3"/>
        <w:rPr>
          <w:u w:val="none"/>
        </w:rPr>
      </w:pPr>
      <w:r>
        <w:t>Extended FME</w:t>
      </w:r>
      <w:r>
        <w:rPr>
          <w:u w:val="none"/>
        </w:rPr>
        <w:t xml:space="preserve">: </w:t>
      </w:r>
      <w:r>
        <w:rPr>
          <w:b w:val="0"/>
          <w:bCs w:val="0"/>
          <w:u w:val="none"/>
        </w:rPr>
        <w:t>Defined in Section 15.7.1 (</w:t>
      </w:r>
      <w:r>
        <w:rPr>
          <w:b w:val="0"/>
          <w:bCs w:val="0"/>
          <w:i/>
          <w:u w:val="none"/>
        </w:rPr>
        <w:t>Notice and Remedy Plan for Extended FME</w:t>
      </w:r>
      <w:r>
        <w:rPr>
          <w:b w:val="0"/>
          <w:bCs w:val="0"/>
          <w:u w:val="none"/>
        </w:rPr>
        <w:t>).</w:t>
      </w:r>
    </w:p>
    <w:p w:rsidR="00067A46" w:rsidP="00DE7CC7" w:rsidRDefault="00960870" w14:paraId="19816419" w14:textId="63F87307">
      <w:pPr>
        <w:pStyle w:val="Heading3"/>
        <w:rPr>
          <w:i/>
        </w:rPr>
      </w:pPr>
      <w:r>
        <w:rPr>
          <w:snapToGrid w:val="0"/>
        </w:rPr>
        <w:t>Facility</w:t>
      </w:r>
      <w:r>
        <w:rPr>
          <w:u w:val="none"/>
        </w:rPr>
        <w:t xml:space="preserve">: </w:t>
      </w:r>
      <w:r>
        <w:rPr>
          <w:b w:val="0"/>
          <w:bCs w:val="0"/>
          <w:u w:val="none"/>
        </w:rPr>
        <w:t>The combined cycle</w:t>
      </w:r>
      <w:r>
        <w:rPr>
          <w:b w:val="0"/>
          <w:bCs w:val="0"/>
          <w:i/>
          <w:u w:val="none"/>
        </w:rPr>
        <w:t xml:space="preserve"> </w:t>
      </w:r>
      <w:r>
        <w:rPr>
          <w:b w:val="0"/>
          <w:bCs w:val="0"/>
          <w:u w:val="none"/>
        </w:rPr>
        <w:t>electric generating facility as further described in Exhibit A (</w:t>
      </w:r>
      <w:r>
        <w:rPr>
          <w:b w:val="0"/>
          <w:bCs w:val="0"/>
          <w:i/>
          <w:u w:val="none"/>
        </w:rPr>
        <w:t>Facility Description and Additional Details</w:t>
      </w:r>
      <w:r>
        <w:rPr>
          <w:b w:val="0"/>
          <w:bCs w:val="0"/>
          <w:u w:val="none"/>
        </w:rPr>
        <w:t xml:space="preserve">). However, a Current Unit </w:t>
      </w:r>
      <w:r w:rsidR="00184729">
        <w:rPr>
          <w:b w:val="0"/>
          <w:bCs w:val="0"/>
          <w:u w:val="none"/>
        </w:rPr>
        <w:t xml:space="preserve">can </w:t>
      </w:r>
      <w:r>
        <w:rPr>
          <w:b w:val="0"/>
          <w:bCs w:val="0"/>
          <w:u w:val="none"/>
        </w:rPr>
        <w:t xml:space="preserve">be substituted </w:t>
      </w:r>
      <w:r w:rsidR="00164B2C">
        <w:rPr>
          <w:b w:val="0"/>
          <w:bCs w:val="0"/>
          <w:u w:val="none"/>
        </w:rPr>
        <w:t xml:space="preserve">by </w:t>
      </w:r>
      <w:r>
        <w:rPr>
          <w:b w:val="0"/>
          <w:bCs w:val="0"/>
          <w:u w:val="none"/>
        </w:rPr>
        <w:t>a Substitute Unit</w:t>
      </w:r>
      <w:r w:rsidR="00D34B4B">
        <w:rPr>
          <w:b w:val="0"/>
          <w:bCs w:val="0"/>
          <w:u w:val="none"/>
        </w:rPr>
        <w:t xml:space="preserve"> if the </w:t>
      </w:r>
      <w:r w:rsidR="00AE320E">
        <w:rPr>
          <w:b w:val="0"/>
          <w:bCs w:val="0"/>
          <w:u w:val="none"/>
        </w:rPr>
        <w:t>requirements of Section 4.4 (</w:t>
      </w:r>
      <w:r w:rsidRPr="00AE320E" w:rsidR="00AE320E">
        <w:rPr>
          <w:b w:val="0"/>
          <w:bCs w:val="0"/>
          <w:i/>
          <w:iCs/>
          <w:u w:val="none"/>
        </w:rPr>
        <w:t>Substitut</w:t>
      </w:r>
      <w:r w:rsidR="00DF07B1">
        <w:rPr>
          <w:b w:val="0"/>
          <w:bCs w:val="0"/>
          <w:i/>
          <w:iCs/>
          <w:u w:val="none"/>
        </w:rPr>
        <w:t>ion</w:t>
      </w:r>
      <w:r w:rsidRPr="00AE320E" w:rsidR="00AE320E">
        <w:rPr>
          <w:b w:val="0"/>
          <w:bCs w:val="0"/>
          <w:i/>
          <w:iCs/>
          <w:u w:val="none"/>
        </w:rPr>
        <w:t xml:space="preserve"> of a Unit at the Site</w:t>
      </w:r>
      <w:r w:rsidR="00AE320E">
        <w:rPr>
          <w:b w:val="0"/>
          <w:bCs w:val="0"/>
          <w:u w:val="none"/>
        </w:rPr>
        <w:t>) are satisfied</w:t>
      </w:r>
      <w:r>
        <w:rPr>
          <w:b w:val="0"/>
          <w:bCs w:val="0"/>
          <w:u w:val="none"/>
        </w:rPr>
        <w:t>.</w:t>
      </w:r>
      <w:r>
        <w:t xml:space="preserve"> </w:t>
      </w:r>
    </w:p>
    <w:p w:rsidRPr="00877157" w:rsidR="00960870" w:rsidP="00DE7CC7" w:rsidRDefault="00960870" w14:paraId="5625C73E" w14:textId="0FB62BCF">
      <w:pPr>
        <w:pStyle w:val="Heading3"/>
        <w:rPr>
          <w:u w:val="none"/>
        </w:rPr>
      </w:pPr>
      <w:r>
        <w:t>FASB</w:t>
      </w:r>
      <w:r>
        <w:rPr>
          <w:u w:val="none"/>
        </w:rPr>
        <w:t xml:space="preserve">: </w:t>
      </w:r>
      <w:r>
        <w:rPr>
          <w:b w:val="0"/>
          <w:bCs w:val="0"/>
          <w:u w:val="none"/>
        </w:rPr>
        <w:t>Financial Accounting Standards Board.</w:t>
      </w:r>
    </w:p>
    <w:p w:rsidRPr="00F10071" w:rsidR="00960870" w:rsidP="00DE7CC7" w:rsidRDefault="00960870" w14:paraId="02598C4A" w14:textId="417746B2">
      <w:pPr>
        <w:pStyle w:val="Heading3"/>
      </w:pPr>
      <w:r>
        <w:t>Federal Power Act</w:t>
      </w:r>
      <w:r>
        <w:rPr>
          <w:u w:val="none"/>
        </w:rPr>
        <w:t xml:space="preserve">: </w:t>
      </w:r>
      <w:r>
        <w:rPr>
          <w:b w:val="0"/>
          <w:bCs w:val="0"/>
          <w:u w:val="none"/>
        </w:rPr>
        <w:t xml:space="preserve">The Federal Power Act, 16 U.S.C. § § 791a </w:t>
      </w:r>
      <w:r>
        <w:rPr>
          <w:b w:val="0"/>
          <w:bCs w:val="0"/>
          <w:i/>
          <w:u w:val="none"/>
        </w:rPr>
        <w:t>et seq.</w:t>
      </w:r>
      <w:r>
        <w:rPr>
          <w:b w:val="0"/>
          <w:bCs w:val="0"/>
          <w:u w:val="none"/>
        </w:rPr>
        <w:t xml:space="preserve"> (1994), as amended from time to time, and any successor statute of similar import.</w:t>
      </w:r>
    </w:p>
    <w:p w:rsidRPr="00877157" w:rsidR="00960870" w:rsidP="00DE7CC7" w:rsidRDefault="00960870" w14:paraId="4067A28A" w14:textId="18434976">
      <w:pPr>
        <w:pStyle w:val="Heading3"/>
        <w:rPr>
          <w:u w:val="none"/>
        </w:rPr>
      </w:pPr>
      <w:r>
        <w:t>FERC</w:t>
      </w:r>
      <w:r>
        <w:rPr>
          <w:u w:val="none"/>
        </w:rPr>
        <w:t xml:space="preserve">: </w:t>
      </w:r>
      <w:r>
        <w:rPr>
          <w:b w:val="0"/>
          <w:bCs w:val="0"/>
          <w:u w:val="none"/>
        </w:rPr>
        <w:t>The Federal Energy Regulatory Commission, or any Governmental Authority succeeding to the powers or functions of FERC.</w:t>
      </w:r>
    </w:p>
    <w:p w:rsidRPr="00DE7CC7" w:rsidR="2ABD149E" w:rsidP="00DE7CC7" w:rsidRDefault="2ABD149E" w14:paraId="55219AE8" w14:textId="3A4CA183">
      <w:pPr>
        <w:pStyle w:val="Heading3"/>
      </w:pPr>
      <w:r>
        <w:t>Financing Assignment</w:t>
      </w:r>
      <w:r>
        <w:rPr>
          <w:u w:val="none"/>
        </w:rPr>
        <w:t xml:space="preserve">: </w:t>
      </w:r>
      <w:r>
        <w:rPr>
          <w:b w:val="0"/>
          <w:bCs w:val="0"/>
          <w:u w:val="none"/>
        </w:rPr>
        <w:t>An assignment of this PPA or interest in the Facility for collateral security purposes in connection with any financing or refinancing relating to the Facility.</w:t>
      </w:r>
    </w:p>
    <w:p w:rsidRPr="00877157" w:rsidR="00890AB1" w:rsidP="00DE7CC7" w:rsidRDefault="00890AB1" w14:paraId="40564CC9" w14:textId="6236DBA6">
      <w:pPr>
        <w:pStyle w:val="Heading3"/>
        <w:rPr>
          <w:b w:val="0"/>
          <w:bCs w:val="0"/>
        </w:rPr>
      </w:pPr>
      <w:r>
        <w:t>Firm Transmission Service</w:t>
      </w:r>
      <w:r>
        <w:rPr>
          <w:u w:val="none"/>
        </w:rPr>
        <w:t xml:space="preserve">: </w:t>
      </w:r>
      <w:r>
        <w:rPr>
          <w:rFonts w:eastAsia="PMingLiU"/>
          <w:b w:val="0"/>
          <w:bCs w:val="0"/>
          <w:u w:val="none"/>
        </w:rPr>
        <w:t>Transmission service that has: (i) been procured and is held by Seller under the applicable open access transmission tariff on each applicable Electric System for the delivery of energy from the Facility or Alternate Resource to the POD; and (ii) a priority equal to the highest level of firm transmission service available to any Person on that Electric System from the COD and through the Term.</w:t>
      </w:r>
    </w:p>
    <w:p w:rsidRPr="00877157" w:rsidR="00960870" w:rsidP="00DE7CC7" w:rsidRDefault="00960870" w14:paraId="5FA515B0" w14:textId="10A7EAF0">
      <w:pPr>
        <w:pStyle w:val="Heading3"/>
        <w:rPr>
          <w:u w:val="none"/>
        </w:rPr>
      </w:pPr>
      <w:r>
        <w:t>Fitch</w:t>
      </w:r>
      <w:r>
        <w:rPr>
          <w:u w:val="none"/>
        </w:rPr>
        <w:t xml:space="preserve">: </w:t>
      </w:r>
      <w:r>
        <w:rPr>
          <w:b w:val="0"/>
          <w:bCs w:val="0"/>
          <w:u w:val="none"/>
        </w:rPr>
        <w:t>Fitch Ratings Ltd. or its successor. If Fitch ceases to exist or publish ratings, Fitch will mean a nationally recognized rating agency mutually agreed upon by the Parties.</w:t>
      </w:r>
    </w:p>
    <w:p w:rsidRPr="00F10071" w:rsidR="005759AB" w:rsidP="00DE7CC7" w:rsidRDefault="005759AB" w14:paraId="3DFF0944" w14:textId="77FE685E">
      <w:pPr>
        <w:pStyle w:val="Heading3"/>
      </w:pPr>
      <w:r>
        <w:t>FME</w:t>
      </w:r>
      <w:r>
        <w:rPr>
          <w:u w:val="none"/>
        </w:rPr>
        <w:t xml:space="preserve">: </w:t>
      </w:r>
      <w:r>
        <w:rPr>
          <w:b w:val="0"/>
          <w:bCs w:val="0"/>
          <w:u w:val="none"/>
        </w:rPr>
        <w:t>See Force Majeure Event.</w:t>
      </w:r>
    </w:p>
    <w:p w:rsidRPr="00877157" w:rsidR="21CA14C4" w:rsidP="00DE7CC7" w:rsidRDefault="21CA14C4" w14:paraId="2F8EE057" w14:textId="4D4283D0">
      <w:pPr>
        <w:pStyle w:val="Heading3"/>
        <w:rPr>
          <w:u w:val="none"/>
        </w:rPr>
      </w:pPr>
      <w:r>
        <w:t>FME Remedy Plan</w:t>
      </w:r>
      <w:r>
        <w:rPr>
          <w:u w:val="none"/>
        </w:rPr>
        <w:t xml:space="preserve">: </w:t>
      </w:r>
      <w:r>
        <w:rPr>
          <w:b w:val="0"/>
          <w:bCs w:val="0"/>
          <w:u w:val="none"/>
        </w:rPr>
        <w:t>Defined in Section 15.7.1 (</w:t>
      </w:r>
      <w:r>
        <w:rPr>
          <w:b w:val="0"/>
          <w:bCs w:val="0"/>
          <w:i/>
          <w:u w:val="none"/>
        </w:rPr>
        <w:t>Notice and Remedy Plan for</w:t>
      </w:r>
      <w:r>
        <w:rPr>
          <w:b w:val="0"/>
          <w:bCs w:val="0"/>
          <w:u w:val="none"/>
        </w:rPr>
        <w:t xml:space="preserve"> </w:t>
      </w:r>
      <w:r>
        <w:rPr>
          <w:b w:val="0"/>
          <w:bCs w:val="0"/>
          <w:i/>
          <w:u w:val="none"/>
        </w:rPr>
        <w:t>Extended FME</w:t>
      </w:r>
      <w:r>
        <w:rPr>
          <w:b w:val="0"/>
          <w:bCs w:val="0"/>
          <w:u w:val="none"/>
        </w:rPr>
        <w:t>).</w:t>
      </w:r>
    </w:p>
    <w:p w:rsidRPr="00F10071" w:rsidR="00960870" w:rsidP="00DE7CC7" w:rsidRDefault="00960870" w14:paraId="5B3DD95A" w14:textId="44AC205A">
      <w:pPr>
        <w:pStyle w:val="Heading3"/>
      </w:pPr>
      <w:r>
        <w:t>Force Majeure Event (FME)</w:t>
      </w:r>
      <w:r>
        <w:rPr>
          <w:u w:val="none"/>
        </w:rPr>
        <w:t xml:space="preserve">: </w:t>
      </w:r>
      <w:r>
        <w:rPr>
          <w:b w:val="0"/>
          <w:bCs w:val="0"/>
          <w:u w:val="none"/>
        </w:rPr>
        <w:t>Defined in Section 15.1 (</w:t>
      </w:r>
      <w:r>
        <w:rPr>
          <w:b w:val="0"/>
          <w:bCs w:val="0"/>
          <w:i/>
          <w:u w:val="none"/>
        </w:rPr>
        <w:t>Definition of Force Majeure Event</w:t>
      </w:r>
      <w:r>
        <w:rPr>
          <w:b w:val="0"/>
          <w:bCs w:val="0"/>
          <w:u w:val="none"/>
        </w:rPr>
        <w:t>).</w:t>
      </w:r>
      <w:r>
        <w:rPr>
          <w:u w:val="none"/>
        </w:rPr>
        <w:t xml:space="preserve"> </w:t>
      </w:r>
    </w:p>
    <w:p w:rsidRPr="00F10071" w:rsidR="00960870" w:rsidP="00DE7CC7" w:rsidRDefault="00960870" w14:paraId="12296233" w14:textId="13B86E03">
      <w:pPr>
        <w:pStyle w:val="Heading3"/>
      </w:pPr>
      <w:r>
        <w:t>Forced Derate</w:t>
      </w:r>
      <w:r>
        <w:rPr>
          <w:u w:val="none"/>
        </w:rPr>
        <w:t xml:space="preserve">: </w:t>
      </w:r>
      <w:r>
        <w:rPr>
          <w:b w:val="0"/>
          <w:bCs w:val="0"/>
          <w:u w:val="none"/>
        </w:rPr>
        <w:t>A time during which the generating capability of the Facility is reduced below the applicable Declared Capacity for reasons other than a Force Majeure Event and that is not a Scheduled Outage, Maintenance Outage, or Forced Outage.</w:t>
      </w:r>
    </w:p>
    <w:p w:rsidRPr="00877157" w:rsidR="00960870" w:rsidP="00DE7CC7" w:rsidRDefault="00960870" w14:paraId="58A905C8" w14:textId="64C67822">
      <w:pPr>
        <w:pStyle w:val="Heading3"/>
        <w:rPr>
          <w:b w:val="0"/>
          <w:bCs w:val="0"/>
          <w:u w:val="none"/>
        </w:rPr>
      </w:pPr>
      <w:r>
        <w:t>Forced Outage</w:t>
      </w:r>
      <w:r>
        <w:rPr>
          <w:u w:val="none"/>
        </w:rPr>
        <w:t xml:space="preserve">: </w:t>
      </w:r>
      <w:r>
        <w:rPr>
          <w:b w:val="0"/>
          <w:bCs w:val="0"/>
          <w:u w:val="none"/>
        </w:rPr>
        <w:t>A time during which the Facility is wholly Unavailable for reasons other than a Force Majeure Event and that is not a Scheduled Outage or a Maintenance Outage.</w:t>
      </w:r>
    </w:p>
    <w:p w:rsidRPr="00877157" w:rsidR="00960870" w:rsidP="00DE7CC7" w:rsidRDefault="00960870" w14:paraId="674FBFE4" w14:textId="4D61B7DF">
      <w:pPr>
        <w:pStyle w:val="Heading3"/>
        <w:rPr>
          <w:b w:val="0"/>
          <w:bCs w:val="0"/>
        </w:rPr>
      </w:pPr>
      <w:r>
        <w:t>GAAP</w:t>
      </w:r>
      <w:r>
        <w:rPr>
          <w:u w:val="none"/>
        </w:rPr>
        <w:t xml:space="preserve">: </w:t>
      </w:r>
      <w:r>
        <w:rPr>
          <w:b w:val="0"/>
          <w:bCs w:val="0"/>
          <w:u w:val="none"/>
        </w:rPr>
        <w:t>Generally accepted accounting principles issued by the Financial Accounting Standards Board (FASB), as</w:t>
      </w:r>
      <w:r w:rsidR="00AF72AB">
        <w:rPr>
          <w:b w:val="0"/>
          <w:bCs w:val="0"/>
          <w:u w:val="none"/>
        </w:rPr>
        <w:t xml:space="preserve"> may be</w:t>
      </w:r>
      <w:r>
        <w:rPr>
          <w:b w:val="0"/>
          <w:bCs w:val="0"/>
          <w:u w:val="none"/>
        </w:rPr>
        <w:t xml:space="preserve"> modified.</w:t>
      </w:r>
    </w:p>
    <w:p w:rsidRPr="00877157" w:rsidR="55EACEA5" w:rsidP="00DE7CC7" w:rsidRDefault="55EACEA5" w14:paraId="4BE22C65" w14:textId="3B1B9462">
      <w:pPr>
        <w:pStyle w:val="Heading3"/>
        <w:rPr>
          <w:u w:val="none"/>
        </w:rPr>
      </w:pPr>
      <w:r>
        <w:rPr>
          <w:iCs/>
        </w:rPr>
        <w:t>Gains</w:t>
      </w:r>
      <w:r>
        <w:rPr>
          <w:iCs/>
          <w:u w:val="none"/>
        </w:rPr>
        <w:t xml:space="preserve">: </w:t>
      </w:r>
      <w:r>
        <w:rPr>
          <w:b w:val="0"/>
          <w:bCs w:val="0"/>
          <w:iCs/>
          <w:u w:val="none"/>
        </w:rPr>
        <w:t>Defined in Section 16.3.3 (</w:t>
      </w:r>
      <w:r>
        <w:rPr>
          <w:b w:val="0"/>
          <w:bCs w:val="0"/>
          <w:i/>
          <w:u w:val="none"/>
        </w:rPr>
        <w:t>Determining Gains, Losses, and Costs</w:t>
      </w:r>
      <w:r>
        <w:rPr>
          <w:b w:val="0"/>
          <w:bCs w:val="0"/>
          <w:iCs/>
          <w:u w:val="none"/>
        </w:rPr>
        <w:t>).</w:t>
      </w:r>
    </w:p>
    <w:p w:rsidR="00960870" w:rsidP="00DE7CC7" w:rsidRDefault="00960870" w14:paraId="78107326" w14:textId="32B0D88C">
      <w:pPr>
        <w:pStyle w:val="Heading3"/>
      </w:pPr>
      <w:r>
        <w:rPr>
          <w:rStyle w:val="DeltaViewInsertion"/>
          <w:bCs w:val="0"/>
          <w:color w:val="auto"/>
          <w:u w:val="single"/>
        </w:rPr>
        <w:t>Gas Day</w:t>
      </w:r>
      <w:r>
        <w:rPr>
          <w:rStyle w:val="DeltaViewInsertion"/>
          <w:bCs w:val="0"/>
          <w:color w:val="auto"/>
          <w:u w:val="none"/>
        </w:rPr>
        <w:t>:</w:t>
      </w:r>
      <w:r>
        <w:rPr>
          <w:rStyle w:val="DeltaViewInsertion"/>
          <w:color w:val="auto"/>
          <w:u w:val="none"/>
        </w:rPr>
        <w:t xml:space="preserve"> </w:t>
      </w:r>
      <w:r>
        <w:rPr>
          <w:b w:val="0"/>
          <w:bCs w:val="0"/>
          <w:u w:val="none"/>
        </w:rPr>
        <w:t>The time period established by the applicable standards of the North American Energy Standards Board (“NAESB”) (or successor standards) for a “gas day”, which as of the Effective Date is from 9:00 a.m. CPT on one Day until 9:00 a.m. CPT the next Day as set forth in NAESB Wholesale Gas Quadrant Standard No. 1.3.1, as the same may change from time to time.</w:t>
      </w:r>
    </w:p>
    <w:p w:rsidR="00ED41BB" w:rsidP="00DE7CC7" w:rsidRDefault="008C4B68" w14:paraId="63458767" w14:textId="7CC391A0">
      <w:pPr>
        <w:pStyle w:val="Heading3"/>
        <w:rPr>
          <w:b w:val="0"/>
          <w:bCs w:val="0"/>
          <w:u w:val="none"/>
        </w:rPr>
      </w:pPr>
      <w:r>
        <w:t>Gas Delivery Point</w:t>
      </w:r>
      <w:r>
        <w:rPr>
          <w:u w:val="none"/>
        </w:rPr>
        <w:t xml:space="preserve">: </w:t>
      </w:r>
      <w:r>
        <w:rPr>
          <w:b w:val="0"/>
          <w:bCs w:val="0"/>
          <w:u w:val="none"/>
        </w:rPr>
        <w:t>The point of interconnection between the Facility and the pipeline serving the Facility, as specified in Exhibit A (</w:t>
      </w:r>
      <w:r>
        <w:rPr>
          <w:b w:val="0"/>
          <w:bCs w:val="0"/>
          <w:i/>
          <w:u w:val="none"/>
        </w:rPr>
        <w:t>Facility Description and Additional Details</w:t>
      </w:r>
      <w:r>
        <w:rPr>
          <w:b w:val="0"/>
          <w:bCs w:val="0"/>
          <w:u w:val="none"/>
        </w:rPr>
        <w:t>).</w:t>
      </w:r>
    </w:p>
    <w:p w:rsidRPr="00C072B1" w:rsidR="00834A73" w:rsidP="00DE7CC7" w:rsidRDefault="00834A73" w14:paraId="3615BC1B" w14:textId="17509A1D">
      <w:pPr>
        <w:pStyle w:val="Heading3"/>
        <w:rPr>
          <w:b w:val="0"/>
          <w:bCs w:val="0"/>
          <w:u w:val="none"/>
        </w:rPr>
      </w:pPr>
      <w:r>
        <w:t xml:space="preserve">Gas Quality </w:t>
      </w:r>
      <w:r w:rsidR="00C072B1">
        <w:t>Standards</w:t>
      </w:r>
      <w:r w:rsidR="00C072B1">
        <w:rPr>
          <w:u w:val="none"/>
        </w:rPr>
        <w:t>:</w:t>
      </w:r>
      <w:r w:rsidR="00C072B1">
        <w:rPr>
          <w:b w:val="0"/>
          <w:bCs w:val="0"/>
          <w:u w:val="none"/>
        </w:rPr>
        <w:t xml:space="preserve"> </w:t>
      </w:r>
      <w:r w:rsidR="009D3439">
        <w:rPr>
          <w:b w:val="0"/>
          <w:bCs w:val="0"/>
          <w:u w:val="none"/>
        </w:rPr>
        <w:t>T</w:t>
      </w:r>
      <w:r w:rsidRPr="009D3439" w:rsidR="009D3439">
        <w:rPr>
          <w:b w:val="0"/>
          <w:bCs w:val="0"/>
          <w:u w:val="none"/>
        </w:rPr>
        <w:t>he gas standards for delivered Natural Gas under the applicable gas transportation provider’s FERC gas tariff and the applicable transportation agreement(s).</w:t>
      </w:r>
    </w:p>
    <w:p w:rsidRPr="00AE180A" w:rsidR="00960870" w:rsidP="00DE7CC7" w:rsidRDefault="00960870" w14:paraId="2A1E61EE" w14:textId="79A3B85A">
      <w:pPr>
        <w:pStyle w:val="Heading3"/>
        <w:rPr>
          <w:rStyle w:val="DeltaViewInsertion"/>
          <w:color w:val="auto"/>
        </w:rPr>
      </w:pPr>
      <w:r>
        <w:rPr>
          <w:rStyle w:val="DeltaViewInsertion"/>
          <w:bCs w:val="0"/>
          <w:color w:val="auto"/>
          <w:u w:val="single"/>
        </w:rPr>
        <w:t>Gas Supply Plan</w:t>
      </w:r>
      <w:r>
        <w:rPr>
          <w:rStyle w:val="DeltaViewInsertion"/>
          <w:bCs w:val="0"/>
          <w:color w:val="auto"/>
          <w:u w:val="none"/>
        </w:rPr>
        <w:t>:</w:t>
      </w:r>
      <w:r>
        <w:rPr>
          <w:rStyle w:val="DeltaViewInsertion"/>
          <w:color w:val="auto"/>
          <w:u w:val="none"/>
        </w:rPr>
        <w:t xml:space="preserve"> </w:t>
      </w:r>
      <w:r>
        <w:rPr>
          <w:b w:val="0"/>
          <w:bCs w:val="0"/>
          <w:u w:val="none"/>
        </w:rPr>
        <w:t>A gas supply plan for procuring and making available at the Gas Delivery Point the quantities of Natural Gas at the rates of delivery and at an allowable pressure as specified in Exhibit D (</w:t>
      </w:r>
      <w:r>
        <w:rPr>
          <w:b w:val="0"/>
          <w:bCs w:val="0"/>
          <w:i/>
          <w:u w:val="none"/>
        </w:rPr>
        <w:t>Technical Limits and Schedule Procedures</w:t>
      </w:r>
      <w:r>
        <w:rPr>
          <w:b w:val="0"/>
          <w:bCs w:val="0"/>
          <w:u w:val="none"/>
        </w:rPr>
        <w:t>) required to accommodate GPC’s Scheduling Instructions</w:t>
      </w:r>
      <w:r>
        <w:rPr>
          <w:rStyle w:val="DeltaViewInsertion"/>
          <w:b w:val="0"/>
          <w:bCs w:val="0"/>
          <w:color w:val="auto"/>
          <w:u w:val="none"/>
        </w:rPr>
        <w:t xml:space="preserve">. </w:t>
      </w:r>
    </w:p>
    <w:p w:rsidRPr="003911C4" w:rsidR="00960870" w:rsidP="00DE7CC7" w:rsidRDefault="00960870" w14:paraId="6A9FBB4E" w14:textId="23964838">
      <w:pPr>
        <w:pStyle w:val="Heading3"/>
      </w:pPr>
      <w:r>
        <w:t>GDPIPD</w:t>
      </w:r>
      <w:r>
        <w:rPr>
          <w:u w:val="none"/>
        </w:rPr>
        <w:t xml:space="preserve">: </w:t>
      </w:r>
      <w:r>
        <w:rPr>
          <w:b w:val="0"/>
          <w:bCs w:val="0"/>
          <w:u w:val="none"/>
        </w:rPr>
        <w:t xml:space="preserve">The Gross Domestic Product Implicit Price Deflator as reported in the </w:t>
      </w:r>
      <w:r>
        <w:rPr>
          <w:b w:val="0"/>
          <w:bCs w:val="0"/>
          <w:i/>
          <w:u w:val="none"/>
        </w:rPr>
        <w:t>Survey of Current Business</w:t>
      </w:r>
      <w:r>
        <w:rPr>
          <w:b w:val="0"/>
          <w:bCs w:val="0"/>
          <w:u w:val="none"/>
        </w:rPr>
        <w:t xml:space="preserve"> published in January of each year </w:t>
      </w:r>
      <w:r>
        <w:rPr>
          <w:rStyle w:val="DeltaViewInsertion"/>
          <w:b w:val="0"/>
          <w:bCs w:val="0"/>
          <w:color w:val="auto"/>
          <w:w w:val="0"/>
          <w:u w:val="none"/>
        </w:rPr>
        <w:t>for the annual escalation or de-escalation of the previous year</w:t>
      </w:r>
      <w:r>
        <w:rPr>
          <w:b w:val="0"/>
          <w:bCs w:val="0"/>
          <w:u w:val="none"/>
        </w:rPr>
        <w:t>, and subsequently revised, by the Bureau of Economic Analysis, United States Department of Commerce.</w:t>
      </w:r>
    </w:p>
    <w:p w:rsidR="00960870" w:rsidP="00DE7CC7" w:rsidRDefault="00960870" w14:paraId="0CE182FE" w14:textId="0F83E148">
      <w:pPr>
        <w:pStyle w:val="Heading3"/>
      </w:pPr>
      <w:r>
        <w:lastRenderedPageBreak/>
        <w:t>Georgia Integrated Transmission System (Georgia ITS)</w:t>
      </w:r>
      <w:r>
        <w:rPr>
          <w:u w:val="none"/>
        </w:rPr>
        <w:t xml:space="preserve">: </w:t>
      </w:r>
      <w:r>
        <w:rPr>
          <w:b w:val="0"/>
          <w:bCs w:val="0"/>
          <w:u w:val="none"/>
        </w:rPr>
        <w:t>The Georgia Integrated Transmission System, which is owned individually by GPC, Georgia Transmission Corporation, Municipal Electric Authority of Georgia, or Dalton Utilities, and operated as an integrated transmission system for transmitting, receiving, or distributing electric energy or capacity.</w:t>
      </w:r>
    </w:p>
    <w:p w:rsidRPr="00D72DA5" w:rsidR="00474F23" w:rsidP="00DE7CC7" w:rsidRDefault="00474F23" w14:paraId="6163CBB3" w14:textId="4898B13E">
      <w:pPr>
        <w:pStyle w:val="Heading3"/>
        <w:rPr>
          <w:b w:val="0"/>
          <w:bCs w:val="0"/>
        </w:rPr>
      </w:pPr>
      <w:r>
        <w:t>GHG</w:t>
      </w:r>
      <w:r>
        <w:rPr>
          <w:u w:val="none"/>
        </w:rPr>
        <w:t xml:space="preserve">: </w:t>
      </w:r>
      <w:r>
        <w:rPr>
          <w:b w:val="0"/>
          <w:bCs w:val="0"/>
          <w:u w:val="none"/>
        </w:rPr>
        <w:t>See Greenhouse Gas.</w:t>
      </w:r>
    </w:p>
    <w:p w:rsidRPr="00F10071" w:rsidR="00960870" w:rsidP="00DE7CC7" w:rsidRDefault="00960870" w14:paraId="426B1414" w14:textId="5FB92F3D">
      <w:pPr>
        <w:pStyle w:val="Heading3"/>
      </w:pPr>
      <w:r>
        <w:t>GHG Cap</w:t>
      </w:r>
      <w:r>
        <w:rPr>
          <w:u w:val="none"/>
        </w:rPr>
        <w:t xml:space="preserve">: </w:t>
      </w:r>
      <w:r>
        <w:rPr>
          <w:b w:val="0"/>
          <w:bCs w:val="0"/>
          <w:u w:val="none"/>
        </w:rPr>
        <w:t xml:space="preserve">The product of: (i) GHG Rate; </w:t>
      </w:r>
      <w:r>
        <w:rPr>
          <w:b w:val="0"/>
          <w:bCs w:val="0"/>
          <w:i/>
          <w:u w:val="none"/>
        </w:rPr>
        <w:t>times</w:t>
      </w:r>
      <w:r>
        <w:rPr>
          <w:b w:val="0"/>
          <w:bCs w:val="0"/>
          <w:u w:val="none"/>
        </w:rPr>
        <w:t xml:space="preserve"> (ii) the quantity of fuel required to comply with GPC’s Scheduling Instructions.</w:t>
      </w:r>
    </w:p>
    <w:p w:rsidRPr="00F10071" w:rsidR="00960870" w:rsidP="00DE7CC7" w:rsidRDefault="00960870" w14:paraId="20EE19E3" w14:textId="3BD63FFE">
      <w:pPr>
        <w:pStyle w:val="Heading3"/>
      </w:pPr>
      <w:r>
        <w:t>GHG Charges</w:t>
      </w:r>
      <w:r>
        <w:rPr>
          <w:u w:val="none"/>
        </w:rPr>
        <w:t xml:space="preserve">: </w:t>
      </w:r>
      <w:r>
        <w:rPr>
          <w:b w:val="0"/>
          <w:bCs w:val="0"/>
          <w:u w:val="none"/>
        </w:rPr>
        <w:t xml:space="preserve">Any Taxes imposed on the Facility or Seller by a Governmental Authority under a New GHG Law for Greenhouse Gas emitted by and attributable to the Facility after the Delivery Commencement Date and </w:t>
      </w:r>
      <w:r w:rsidR="00FC41DB">
        <w:rPr>
          <w:b w:val="0"/>
          <w:bCs w:val="0"/>
          <w:u w:val="none"/>
        </w:rPr>
        <w:t>before</w:t>
      </w:r>
      <w:r>
        <w:rPr>
          <w:b w:val="0"/>
          <w:bCs w:val="0"/>
          <w:u w:val="none"/>
        </w:rPr>
        <w:t xml:space="preserve"> the end of the Term.</w:t>
      </w:r>
    </w:p>
    <w:p w:rsidRPr="00F10071" w:rsidR="00960870" w:rsidP="00DE7CC7" w:rsidRDefault="00960870" w14:paraId="6963CC0A" w14:textId="24AD0D4C">
      <w:pPr>
        <w:pStyle w:val="Heading3"/>
      </w:pPr>
      <w:r>
        <w:t>GHG Credits</w:t>
      </w:r>
      <w:r>
        <w:rPr>
          <w:u w:val="none"/>
        </w:rPr>
        <w:t xml:space="preserve">: </w:t>
      </w:r>
      <w:r>
        <w:rPr>
          <w:b w:val="0"/>
          <w:bCs w:val="0"/>
          <w:u w:val="none"/>
        </w:rPr>
        <w:t>Any instrument, credit, offset, allowance, or similar right to emit Greenhouse Gas issued by a Governmental Authority in accordance with applicable laws or any revenues that are allocated to or received by any Person or generating facility associated with any GHG emissions or the avoidance of or reduction in the production of GHG emissions.</w:t>
      </w:r>
    </w:p>
    <w:p w:rsidRPr="00F10071" w:rsidR="00960870" w:rsidP="00DE7CC7" w:rsidRDefault="00960870" w14:paraId="34978CC7" w14:textId="039E1451">
      <w:pPr>
        <w:pStyle w:val="Heading3"/>
      </w:pPr>
      <w:r>
        <w:t>GHG Rate</w:t>
      </w:r>
      <w:r>
        <w:rPr>
          <w:u w:val="none"/>
        </w:rPr>
        <w:t xml:space="preserve">: </w:t>
      </w:r>
      <w:r>
        <w:rPr>
          <w:b w:val="0"/>
          <w:bCs w:val="0"/>
          <w:u w:val="none"/>
        </w:rPr>
        <w:t>The GHG rates specified in Exhibit A (</w:t>
      </w:r>
      <w:r>
        <w:rPr>
          <w:b w:val="0"/>
          <w:bCs w:val="0"/>
          <w:i/>
          <w:u w:val="none"/>
        </w:rPr>
        <w:t>Facility Description and Additional Details</w:t>
      </w:r>
      <w:r>
        <w:rPr>
          <w:b w:val="0"/>
          <w:bCs w:val="0"/>
          <w:u w:val="none"/>
        </w:rPr>
        <w:t>).</w:t>
      </w:r>
    </w:p>
    <w:p w:rsidRPr="00196A91" w:rsidR="5288D3F5" w:rsidP="00DE7CC7" w:rsidRDefault="5288D3F5" w14:paraId="31964012" w14:textId="259B7406">
      <w:pPr>
        <w:pStyle w:val="Heading3"/>
      </w:pPr>
      <w:r>
        <w:t>Governmental Approvals</w:t>
      </w:r>
      <w:r>
        <w:rPr>
          <w:u w:val="none"/>
        </w:rPr>
        <w:t xml:space="preserve">: </w:t>
      </w:r>
      <w:r>
        <w:rPr>
          <w:b w:val="0"/>
          <w:bCs w:val="0"/>
          <w:u w:val="none"/>
        </w:rPr>
        <w:t>Defined in Section 7.1.3(v) (</w:t>
      </w:r>
      <w:r>
        <w:rPr>
          <w:b w:val="0"/>
          <w:bCs w:val="0"/>
          <w:i/>
          <w:u w:val="none"/>
        </w:rPr>
        <w:t>Commercial Operation</w:t>
      </w:r>
      <w:r>
        <w:rPr>
          <w:b w:val="0"/>
          <w:bCs w:val="0"/>
          <w:u w:val="none"/>
        </w:rPr>
        <w:t>).</w:t>
      </w:r>
    </w:p>
    <w:p w:rsidRPr="00D72DA5" w:rsidR="00960870" w:rsidP="00DE7CC7" w:rsidRDefault="00960870" w14:paraId="6C4BC1DF" w14:textId="36F13545">
      <w:pPr>
        <w:pStyle w:val="Heading3"/>
        <w:rPr>
          <w:b w:val="0"/>
          <w:bCs w:val="0"/>
          <w:u w:val="none"/>
        </w:rPr>
      </w:pPr>
      <w:r>
        <w:t>Governmental Authority</w:t>
      </w:r>
      <w:r>
        <w:rPr>
          <w:u w:val="none"/>
        </w:rPr>
        <w:t xml:space="preserve">: </w:t>
      </w:r>
      <w:r>
        <w:rPr>
          <w:b w:val="0"/>
          <w:bCs w:val="0"/>
          <w:u w:val="none"/>
        </w:rPr>
        <w:t>As applicable to the specific Party, facility, or event, any federal, state, or local governmental or regulatory authority, administrative agency, commission, department, board, or court that has jurisdiction over that Party, the Facility, or the subject matter of this PPA, but excluding any federal, state, or local governmental or regulatory authority, administrative agency, commission, department, board, or other such entity acting in a capacity as lender, guarantor, or mortgagee.</w:t>
      </w:r>
    </w:p>
    <w:p w:rsidRPr="00D72DA5" w:rsidR="2389D2A6" w:rsidP="002734EC" w:rsidRDefault="2389D2A6" w14:paraId="608B6A49" w14:textId="04B2576D">
      <w:pPr>
        <w:pStyle w:val="Heading3"/>
        <w:rPr>
          <w:b w:val="0"/>
          <w:bCs w:val="0"/>
        </w:rPr>
      </w:pPr>
      <w:r>
        <w:t>GPC</w:t>
      </w:r>
      <w:r>
        <w:rPr>
          <w:u w:val="none"/>
        </w:rPr>
        <w:t xml:space="preserve">: </w:t>
      </w:r>
      <w:r>
        <w:rPr>
          <w:b w:val="0"/>
          <w:bCs w:val="0"/>
          <w:u w:val="none"/>
        </w:rPr>
        <w:t>Georgia Power Company, a Georgia corporation, as specified in the preamble.</w:t>
      </w:r>
    </w:p>
    <w:p w:rsidR="6AE64125" w:rsidP="00DE7CC7" w:rsidRDefault="6AE64125" w14:paraId="39D38C9C" w14:textId="643F3C84">
      <w:pPr>
        <w:pStyle w:val="Heading3"/>
        <w:rPr>
          <w:b w:val="0"/>
          <w:bCs w:val="0"/>
          <w:u w:val="none"/>
        </w:rPr>
      </w:pPr>
      <w:r>
        <w:t>GPC Consolidation</w:t>
      </w:r>
      <w:r>
        <w:rPr>
          <w:u w:val="none"/>
        </w:rPr>
        <w:t xml:space="preserve">: </w:t>
      </w:r>
      <w:r>
        <w:rPr>
          <w:b w:val="0"/>
          <w:bCs w:val="0"/>
          <w:u w:val="none"/>
        </w:rPr>
        <w:t>Defined in Section 2.1.8(i) (</w:t>
      </w:r>
      <w:r>
        <w:rPr>
          <w:b w:val="0"/>
          <w:bCs w:val="0"/>
          <w:i/>
          <w:u w:val="none"/>
        </w:rPr>
        <w:t>VIE Certification</w:t>
      </w:r>
      <w:r>
        <w:rPr>
          <w:b w:val="0"/>
          <w:bCs w:val="0"/>
          <w:u w:val="none"/>
        </w:rPr>
        <w:t>).</w:t>
      </w:r>
    </w:p>
    <w:p w:rsidR="00C87FAE" w:rsidP="00DE7CC7" w:rsidRDefault="00C87FAE" w14:paraId="200E36E2" w14:textId="7733EC40">
      <w:pPr>
        <w:pStyle w:val="Heading3"/>
      </w:pPr>
      <w:r w:rsidRPr="00C3495F">
        <w:t>GPC Election Deadline</w:t>
      </w:r>
      <w:r w:rsidRPr="00C3495F">
        <w:rPr>
          <w:b w:val="0"/>
          <w:bCs w:val="0"/>
          <w:u w:val="none"/>
        </w:rPr>
        <w:t>: (i) with respect to an Excess Expenditures Notice concerning capital expenditures, Taxes, or operating costs, the date that is 180 Days after GPC’s receipt of the Excess Expenditures Notice; and (ii) with respect to an Initial Tariff Notice, the date that is 90 Days after GPC’s receipt of the Initial Tariff Notice.</w:t>
      </w:r>
    </w:p>
    <w:p w:rsidR="005218DA" w:rsidP="00DE7CC7" w:rsidRDefault="00F01632" w14:paraId="08637900" w14:textId="760C0AE6">
      <w:pPr>
        <w:pStyle w:val="Heading3"/>
      </w:pPr>
      <w:r>
        <w:t>GPC Election Notice</w:t>
      </w:r>
      <w:r>
        <w:rPr>
          <w:u w:val="none"/>
        </w:rPr>
        <w:t xml:space="preserve">: </w:t>
      </w:r>
      <w:r w:rsidRPr="004B70AD" w:rsidR="004B70AD">
        <w:rPr>
          <w:b w:val="0"/>
          <w:bCs w:val="0"/>
          <w:u w:val="none"/>
        </w:rPr>
        <w:t>Written notice from GPC to Seller of GPC’s election to pay an ACP Adjustment, implement Operational Alternatives, or terminate the PPA</w:t>
      </w:r>
      <w:r>
        <w:rPr>
          <w:b w:val="0"/>
          <w:bCs w:val="0"/>
          <w:u w:val="none"/>
        </w:rPr>
        <w:t>.</w:t>
      </w:r>
    </w:p>
    <w:p w:rsidRPr="008E5B88" w:rsidR="008E5B88" w:rsidP="00DE7CC7" w:rsidRDefault="00072577" w14:paraId="2872ABBB" w14:textId="39E4013D">
      <w:pPr>
        <w:pStyle w:val="Heading3"/>
        <w:rPr>
          <w:rStyle w:val="zGNormalChar"/>
          <w:b w:val="0"/>
          <w:bCs w:val="0"/>
        </w:rPr>
      </w:pPr>
      <w:r>
        <w:t>GPC-Related Party</w:t>
      </w:r>
      <w:r>
        <w:rPr>
          <w:u w:val="none"/>
        </w:rPr>
        <w:t xml:space="preserve">: </w:t>
      </w:r>
      <w:r>
        <w:rPr>
          <w:b w:val="0"/>
          <w:bCs w:val="0"/>
          <w:u w:val="none"/>
        </w:rPr>
        <w:t>Each of GPC, Southern Company, and their Affiliates, and the officers, directors, employees, representatives, and agents of each of them.</w:t>
      </w:r>
    </w:p>
    <w:p w:rsidRPr="00F10071" w:rsidR="0008799A" w:rsidP="00DE7CC7" w:rsidRDefault="0008799A" w14:paraId="3E40EADF" w14:textId="6B6AA06B">
      <w:pPr>
        <w:pStyle w:val="Heading3"/>
      </w:pPr>
      <w:r>
        <w:t>GPC Security Account</w:t>
      </w:r>
      <w:r>
        <w:rPr>
          <w:u w:val="none"/>
        </w:rPr>
        <w:t xml:space="preserve">: </w:t>
      </w:r>
      <w:r>
        <w:rPr>
          <w:b w:val="0"/>
          <w:bCs w:val="0"/>
          <w:u w:val="none"/>
        </w:rPr>
        <w:t>An account designated by GPC for the benefit of GPC, under the exclusive control of GPC and free of any lien (including the lien of any lender) of any Person or entity other than GPC. Any GPC Security Account will be established and maintained at the expense of Seller and held by a depositary bank acceptable to GPC under a control agreement in form and substance acceptable to GPC.</w:t>
      </w:r>
    </w:p>
    <w:p w:rsidRPr="00D72DA5" w:rsidR="0008799A" w:rsidP="00DE7CC7" w:rsidRDefault="0008799A" w14:paraId="5B7F3371" w14:textId="0F62F9F0">
      <w:pPr>
        <w:pStyle w:val="Heading3"/>
        <w:rPr>
          <w:b w:val="0"/>
          <w:bCs w:val="0"/>
          <w:u w:val="none"/>
        </w:rPr>
      </w:pPr>
      <w:r>
        <w:t>GPC System Incremental Cost</w:t>
      </w:r>
      <w:r>
        <w:rPr>
          <w:u w:val="none"/>
        </w:rPr>
        <w:t xml:space="preserve">: </w:t>
      </w:r>
      <w:r>
        <w:rPr>
          <w:b w:val="0"/>
          <w:bCs w:val="0"/>
          <w:u w:val="none"/>
        </w:rPr>
        <w:t>Defined in Exhibit B (</w:t>
      </w:r>
      <w:r>
        <w:rPr>
          <w:b w:val="0"/>
          <w:bCs w:val="0"/>
          <w:i/>
          <w:iCs/>
          <w:u w:val="none"/>
        </w:rPr>
        <w:t>Capacity; Capacity Payments and Payment Reductions; Buydown</w:t>
      </w:r>
      <w:r>
        <w:rPr>
          <w:b w:val="0"/>
          <w:bCs w:val="0"/>
          <w:u w:val="none"/>
        </w:rPr>
        <w:t>), Section 4.1 (</w:t>
      </w:r>
      <w:r>
        <w:rPr>
          <w:b w:val="0"/>
          <w:bCs w:val="0"/>
          <w:i/>
          <w:iCs/>
          <w:u w:val="none"/>
        </w:rPr>
        <w:t>Calculation of Replacement Costs</w:t>
      </w:r>
      <w:r>
        <w:rPr>
          <w:b w:val="0"/>
          <w:bCs w:val="0"/>
          <w:u w:val="none"/>
        </w:rPr>
        <w:t>).</w:t>
      </w:r>
    </w:p>
    <w:p w:rsidRPr="00F10071" w:rsidR="00960870" w:rsidP="00DE7CC7" w:rsidRDefault="00960870" w14:paraId="4668AAFD" w14:textId="3A5E3D2A">
      <w:pPr>
        <w:pStyle w:val="Heading3"/>
      </w:pPr>
      <w:r>
        <w:t>Greenhouse Gas (GHG)</w:t>
      </w:r>
      <w:r>
        <w:rPr>
          <w:u w:val="none"/>
        </w:rPr>
        <w:t xml:space="preserve">: </w:t>
      </w:r>
      <w:r>
        <w:rPr>
          <w:b w:val="0"/>
          <w:bCs w:val="0"/>
          <w:u w:val="none"/>
        </w:rPr>
        <w:t>Carbon dioxide (CO</w:t>
      </w:r>
      <w:r>
        <w:rPr>
          <w:b w:val="0"/>
          <w:bCs w:val="0"/>
          <w:u w:val="none"/>
          <w:vertAlign w:val="subscript"/>
        </w:rPr>
        <w:t>2</w:t>
      </w:r>
      <w:r>
        <w:rPr>
          <w:b w:val="0"/>
          <w:bCs w:val="0"/>
          <w:u w:val="none"/>
        </w:rPr>
        <w:t>), methane (CH</w:t>
      </w:r>
      <w:r>
        <w:rPr>
          <w:b w:val="0"/>
          <w:bCs w:val="0"/>
          <w:u w:val="none"/>
          <w:vertAlign w:val="subscript"/>
        </w:rPr>
        <w:t>4</w:t>
      </w:r>
      <w:r>
        <w:rPr>
          <w:b w:val="0"/>
          <w:bCs w:val="0"/>
          <w:u w:val="none"/>
        </w:rPr>
        <w:t>), nitrous oxide (N</w:t>
      </w:r>
      <w:r>
        <w:rPr>
          <w:b w:val="0"/>
          <w:bCs w:val="0"/>
          <w:u w:val="none"/>
          <w:vertAlign w:val="subscript"/>
        </w:rPr>
        <w:t>2</w:t>
      </w:r>
      <w:r>
        <w:rPr>
          <w:b w:val="0"/>
          <w:bCs w:val="0"/>
          <w:u w:val="none"/>
        </w:rPr>
        <w:t>O), sulfur hexafluoride (SF</w:t>
      </w:r>
      <w:r>
        <w:rPr>
          <w:b w:val="0"/>
          <w:bCs w:val="0"/>
          <w:u w:val="none"/>
          <w:vertAlign w:val="subscript"/>
        </w:rPr>
        <w:t>6</w:t>
      </w:r>
      <w:r>
        <w:rPr>
          <w:b w:val="0"/>
          <w:bCs w:val="0"/>
          <w:u w:val="none"/>
        </w:rPr>
        <w:t>), hydrofluorocarbons (HFCs), perfluorocarbons (PFCs), or other gases or emissions classified as a greenhouse gas contributing to the greenhouse effect.</w:t>
      </w:r>
    </w:p>
    <w:p w:rsidRPr="00F10071" w:rsidR="00960870" w:rsidP="00DE7CC7" w:rsidRDefault="00960870" w14:paraId="38748A9F" w14:textId="477D7B6D">
      <w:pPr>
        <w:pStyle w:val="Heading3"/>
      </w:pPr>
      <w:r>
        <w:t>Grid Emergency</w:t>
      </w:r>
      <w:r>
        <w:rPr>
          <w:u w:val="none"/>
        </w:rPr>
        <w:t xml:space="preserve">: </w:t>
      </w:r>
      <w:r>
        <w:rPr>
          <w:b w:val="0"/>
          <w:bCs w:val="0"/>
          <w:u w:val="none"/>
        </w:rPr>
        <w:t>Defined in the IA.</w:t>
      </w:r>
    </w:p>
    <w:p w:rsidRPr="00F10071" w:rsidR="00960870" w:rsidP="00DE7CC7" w:rsidRDefault="00960870" w14:paraId="69F6C003" w14:textId="1809620E">
      <w:pPr>
        <w:pStyle w:val="Heading3"/>
      </w:pPr>
      <w:r>
        <w:t>Guaranteed Heat Rates</w:t>
      </w:r>
      <w:r>
        <w:rPr>
          <w:u w:val="none"/>
        </w:rPr>
        <w:t xml:space="preserve">: </w:t>
      </w:r>
      <w:r>
        <w:rPr>
          <w:b w:val="0"/>
          <w:bCs w:val="0"/>
          <w:u w:val="none"/>
        </w:rPr>
        <w:t>Guaranteed heat rates set forth in Exhibit F (</w:t>
      </w:r>
      <w:r>
        <w:rPr>
          <w:b w:val="0"/>
          <w:bCs w:val="0"/>
          <w:i/>
          <w:u w:val="none"/>
        </w:rPr>
        <w:t>Guaranteed Heat Rates</w:t>
      </w:r>
      <w:r>
        <w:rPr>
          <w:b w:val="0"/>
          <w:bCs w:val="0"/>
          <w:u w:val="none"/>
        </w:rPr>
        <w:t>).</w:t>
      </w:r>
    </w:p>
    <w:p w:rsidR="00960870" w:rsidP="00DE7CC7" w:rsidRDefault="00960870" w14:paraId="3A313385" w14:textId="0454E4B2">
      <w:pPr>
        <w:pStyle w:val="Heading3"/>
      </w:pPr>
      <w:r>
        <w:t>Hot Gas Path Inspection</w:t>
      </w:r>
      <w:r>
        <w:rPr>
          <w:u w:val="none"/>
        </w:rPr>
        <w:t xml:space="preserve">: </w:t>
      </w:r>
      <w:r>
        <w:rPr>
          <w:b w:val="0"/>
          <w:bCs w:val="0"/>
          <w:u w:val="none"/>
        </w:rPr>
        <w:t>The hot gas path inspection as defined by the maintenance documents of the original equipment manufacturer.</w:t>
      </w:r>
    </w:p>
    <w:p w:rsidRPr="00D72DA5" w:rsidR="00EC5F0D" w:rsidP="00DE7CC7" w:rsidRDefault="002E6338" w14:paraId="15269EF7" w14:textId="7743BDA0">
      <w:pPr>
        <w:pStyle w:val="Heading3"/>
        <w:rPr>
          <w:b w:val="0"/>
          <w:bCs w:val="0"/>
        </w:rPr>
      </w:pPr>
      <w:r>
        <w:t>Hour</w:t>
      </w:r>
      <w:r>
        <w:rPr>
          <w:u w:val="none"/>
        </w:rPr>
        <w:t xml:space="preserve">: </w:t>
      </w:r>
      <w:r>
        <w:rPr>
          <w:b w:val="0"/>
          <w:bCs w:val="0"/>
          <w:u w:val="none"/>
        </w:rPr>
        <w:t>One of the 24 clock-hours of a Day. “</w:t>
      </w:r>
      <w:r>
        <w:rPr>
          <w:u w:val="none"/>
        </w:rPr>
        <w:t>Hourly</w:t>
      </w:r>
      <w:r>
        <w:rPr>
          <w:b w:val="0"/>
          <w:bCs w:val="0"/>
          <w:u w:val="none"/>
        </w:rPr>
        <w:t>” has a meaning correlative to that of Hour.</w:t>
      </w:r>
      <w:r>
        <w:rPr>
          <w:b w:val="0"/>
          <w:bCs w:val="0"/>
        </w:rPr>
        <w:t xml:space="preserve"> </w:t>
      </w:r>
    </w:p>
    <w:p w:rsidRPr="00D72DA5" w:rsidR="00960870" w:rsidP="00DE7CC7" w:rsidRDefault="00960870" w14:paraId="0C923589" w14:textId="392AAB4C">
      <w:pPr>
        <w:pStyle w:val="Heading3"/>
        <w:rPr>
          <w:u w:val="none"/>
        </w:rPr>
      </w:pPr>
      <w:r>
        <w:t>HRSG</w:t>
      </w:r>
      <w:r>
        <w:rPr>
          <w:u w:val="none"/>
        </w:rPr>
        <w:t xml:space="preserve">: </w:t>
      </w:r>
      <w:r>
        <w:rPr>
          <w:b w:val="0"/>
          <w:bCs w:val="0"/>
          <w:u w:val="none"/>
        </w:rPr>
        <w:t>Heat recovery steam generator.</w:t>
      </w:r>
    </w:p>
    <w:p w:rsidRPr="00074882" w:rsidR="00074882" w:rsidP="00DE7CC7" w:rsidRDefault="00074882" w14:paraId="346B3833" w14:textId="77777777">
      <w:pPr>
        <w:pStyle w:val="Heading3"/>
      </w:pPr>
      <w:r>
        <w:t>IA</w:t>
      </w:r>
      <w:r>
        <w:rPr>
          <w:u w:val="none"/>
        </w:rPr>
        <w:t xml:space="preserve">: </w:t>
      </w:r>
      <w:r>
        <w:rPr>
          <w:b w:val="0"/>
          <w:bCs w:val="0"/>
          <w:u w:val="none"/>
        </w:rPr>
        <w:t>See Interconnection Agreement.</w:t>
      </w:r>
    </w:p>
    <w:p w:rsidRPr="00F10071" w:rsidR="00960870" w:rsidP="00DE7CC7" w:rsidRDefault="00960870" w14:paraId="601C6F6E" w14:textId="0EC3CBEF">
      <w:pPr>
        <w:pStyle w:val="Heading3"/>
      </w:pPr>
      <w:r>
        <w:t>Imbalance Charges</w:t>
      </w:r>
      <w:r>
        <w:rPr>
          <w:u w:val="none"/>
        </w:rPr>
        <w:t xml:space="preserve">: </w:t>
      </w:r>
      <w:r>
        <w:rPr>
          <w:b w:val="0"/>
          <w:bCs w:val="0"/>
          <w:u w:val="none"/>
        </w:rPr>
        <w:t>Any imbalances or other penalties or charges from transporters or suppliers of Natural Gas delivered to the Facility.</w:t>
      </w:r>
    </w:p>
    <w:p w:rsidRPr="00D72DA5" w:rsidR="63E81C5B" w:rsidP="00DE7CC7" w:rsidRDefault="63E81C5B" w14:paraId="52036A0E" w14:textId="52420992">
      <w:pPr>
        <w:pStyle w:val="Heading3"/>
        <w:rPr>
          <w:b w:val="0"/>
          <w:bCs w:val="0"/>
          <w:u w:val="none"/>
        </w:rPr>
      </w:pPr>
      <w:r>
        <w:rPr>
          <w:iCs/>
        </w:rPr>
        <w:lastRenderedPageBreak/>
        <w:t>Impasse Notice</w:t>
      </w:r>
      <w:r>
        <w:rPr>
          <w:iCs/>
          <w:u w:val="none"/>
        </w:rPr>
        <w:t xml:space="preserve">: </w:t>
      </w:r>
      <w:r>
        <w:rPr>
          <w:b w:val="0"/>
          <w:bCs w:val="0"/>
          <w:iCs/>
          <w:u w:val="none"/>
        </w:rPr>
        <w:t>Defined in Section 19.1 (</w:t>
      </w:r>
      <w:r>
        <w:rPr>
          <w:b w:val="0"/>
          <w:bCs w:val="0"/>
          <w:i/>
          <w:iCs/>
          <w:u w:val="none"/>
        </w:rPr>
        <w:t>Notice of Dispute; Dispute Resolution Process</w:t>
      </w:r>
      <w:r>
        <w:rPr>
          <w:b w:val="0"/>
          <w:bCs w:val="0"/>
          <w:iCs/>
          <w:u w:val="none"/>
        </w:rPr>
        <w:t>).</w:t>
      </w:r>
    </w:p>
    <w:p w:rsidR="00960870" w:rsidP="00DE7CC7" w:rsidRDefault="00960870" w14:paraId="18E4E20A" w14:textId="74CA7DB4">
      <w:pPr>
        <w:pStyle w:val="Heading3"/>
        <w:rPr>
          <w:b w:val="0"/>
          <w:bCs w:val="0"/>
          <w:u w:val="none"/>
        </w:rPr>
      </w:pPr>
      <w:r>
        <w:rPr>
          <w:w w:val="0"/>
        </w:rPr>
        <w:t>Indebtedness</w:t>
      </w:r>
      <w:r>
        <w:rPr>
          <w:u w:val="none"/>
        </w:rPr>
        <w:t xml:space="preserve">: </w:t>
      </w:r>
      <w:r>
        <w:rPr>
          <w:b w:val="0"/>
          <w:bCs w:val="0"/>
          <w:u w:val="none"/>
        </w:rPr>
        <w:t xml:space="preserve">For any Person, each of the following without duplication: (i) obligations of the Person for borrowed money evidenced by bonds, debentures, notes, loan agreements, or other similar instruments; (ii) purchase money indebtedness of the Person constituting an obligation to pay the </w:t>
      </w:r>
      <w:r>
        <w:rPr>
          <w:b w:val="0"/>
          <w:bCs w:val="0"/>
          <w:w w:val="0"/>
          <w:u w:val="none"/>
        </w:rPr>
        <w:t>deferred</w:t>
      </w:r>
      <w:r>
        <w:rPr>
          <w:b w:val="0"/>
          <w:bCs w:val="0"/>
          <w:u w:val="none"/>
        </w:rPr>
        <w:t xml:space="preserve"> purchase price of property or services, other than trade payables incurred in the ordinary course of business; (iii) lease obligations of the Person that are capitalized on the balance sheet of the Person in accordance with GAAP; (iv) liabilities of a second Person secured by any lien on any property of the first Person, whether or not the liabilities have been assumed by the first Person; (v) liabilities of the Person regarding letters of credit, applications, or reimbursement agreements for the liabilities; (vi) net obligations of the Person under any swap or hedging agreement; or (vii) indebtedness of the Person owing under direct or indirect guarantees of indebtedness of any other Person or constituting obligations to purchase, acquire, or otherwise protect or insure a creditor against loss regarding indebtedness of any other Person, excluding endorsements of negotiable instruments for deposit or collection in the ordinary course of business.</w:t>
      </w:r>
    </w:p>
    <w:p w:rsidRPr="00B50890" w:rsidR="00B50890" w:rsidP="00DE7CC7" w:rsidRDefault="00442F37" w14:paraId="02895419" w14:textId="715C2540">
      <w:pPr>
        <w:pStyle w:val="Heading3"/>
        <w:rPr>
          <w:b w:val="0"/>
          <w:bCs w:val="0"/>
          <w:w w:val="0"/>
          <w:u w:val="none"/>
        </w:rPr>
      </w:pPr>
      <w:r w:rsidRPr="00341121">
        <w:t>Initial Capital Expenditures Notice</w:t>
      </w:r>
      <w:r w:rsidRPr="00442F37">
        <w:rPr>
          <w:u w:val="none"/>
        </w:rPr>
        <w:t>:</w:t>
      </w:r>
      <w:r w:rsidRPr="00442F37">
        <w:rPr>
          <w:b w:val="0"/>
          <w:bCs w:val="0"/>
          <w:u w:val="none"/>
        </w:rPr>
        <w:t xml:space="preserve"> A preliminary Excess Expenditures Notice solely concerning additional capital costs that Seller must incur because of a Change of Law.</w:t>
      </w:r>
    </w:p>
    <w:p w:rsidR="00960870" w:rsidP="00DE7CC7" w:rsidRDefault="00960870" w14:paraId="2F833B09" w14:textId="22D2BD8F">
      <w:pPr>
        <w:pStyle w:val="Heading3"/>
        <w:rPr>
          <w:b w:val="0"/>
          <w:bCs w:val="0"/>
          <w:u w:val="none"/>
        </w:rPr>
      </w:pPr>
      <w:r>
        <w:t>Initial Synchronization Date</w:t>
      </w:r>
      <w:r>
        <w:rPr>
          <w:u w:val="none"/>
        </w:rPr>
        <w:t xml:space="preserve">: </w:t>
      </w:r>
      <w:r>
        <w:rPr>
          <w:b w:val="0"/>
          <w:bCs w:val="0"/>
          <w:u w:val="none"/>
        </w:rPr>
        <w:t>The date that includes the first instant in time when energy generated by the Facility is delivered to the POD in accordance with the IA.</w:t>
      </w:r>
    </w:p>
    <w:p w:rsidRPr="00F10071" w:rsidR="003466E7" w:rsidP="00DE7CC7" w:rsidRDefault="003466E7" w14:paraId="4645637C" w14:textId="00C69D8B">
      <w:pPr>
        <w:pStyle w:val="Heading3"/>
      </w:pPr>
      <w:r w:rsidRPr="00341121">
        <w:t>Initial Tariff Notice</w:t>
      </w:r>
      <w:r w:rsidRPr="003466E7">
        <w:rPr>
          <w:u w:val="none"/>
        </w:rPr>
        <w:t>:</w:t>
      </w:r>
      <w:r w:rsidRPr="003466E7">
        <w:rPr>
          <w:b w:val="0"/>
          <w:bCs w:val="0"/>
          <w:u w:val="none"/>
        </w:rPr>
        <w:t xml:space="preserve"> A preliminary Excess Expenditures Notice solely concerning </w:t>
      </w:r>
      <w:r w:rsidR="001B4416">
        <w:rPr>
          <w:b w:val="0"/>
          <w:bCs w:val="0"/>
          <w:u w:val="none"/>
        </w:rPr>
        <w:t>T</w:t>
      </w:r>
      <w:r w:rsidRPr="003466E7">
        <w:rPr>
          <w:b w:val="0"/>
          <w:bCs w:val="0"/>
          <w:u w:val="none"/>
        </w:rPr>
        <w:t>ariffs.</w:t>
      </w:r>
    </w:p>
    <w:p w:rsidRPr="00F10071" w:rsidR="00960870" w:rsidP="00DE7CC7" w:rsidRDefault="00791D8E" w14:paraId="587C8E54" w14:textId="5C93B106">
      <w:pPr>
        <w:pStyle w:val="Heading3"/>
      </w:pPr>
      <w:r>
        <w:t>Interconnection Agreement (IA)</w:t>
      </w:r>
      <w:r>
        <w:rPr>
          <w:u w:val="none"/>
        </w:rPr>
        <w:t xml:space="preserve">: </w:t>
      </w:r>
      <w:r>
        <w:rPr>
          <w:b w:val="0"/>
          <w:bCs w:val="0"/>
          <w:u w:val="none"/>
        </w:rPr>
        <w:t xml:space="preserve">The agreement, entered into </w:t>
      </w:r>
      <w:r>
        <w:rPr>
          <w:b w:val="0"/>
          <w:bCs w:val="0"/>
          <w:highlight w:val="yellow"/>
          <w:u w:val="none"/>
        </w:rPr>
        <w:t>[or to be entered into]</w:t>
      </w:r>
      <w:r>
        <w:rPr>
          <w:b w:val="0"/>
          <w:bCs w:val="0"/>
          <w:u w:val="none"/>
        </w:rPr>
        <w:t xml:space="preserve"> between Seller and Interconnection Provider, in accordance with Section 8.1 (</w:t>
      </w:r>
      <w:r>
        <w:rPr>
          <w:b w:val="0"/>
          <w:bCs w:val="0"/>
          <w:i/>
          <w:iCs/>
          <w:u w:val="none"/>
        </w:rPr>
        <w:t>Interconnection</w:t>
      </w:r>
      <w:r>
        <w:rPr>
          <w:b w:val="0"/>
          <w:bCs w:val="0"/>
          <w:u w:val="none"/>
        </w:rPr>
        <w:t xml:space="preserve">), that provides for construction and operation of Interconnection Facilities and governs the interconnection and parallel operation of the Facility with the </w:t>
      </w:r>
      <w:r>
        <w:rPr>
          <w:rFonts w:eastAsia="PMingLiU"/>
          <w:b w:val="0"/>
          <w:bCs w:val="0"/>
          <w:u w:val="none"/>
        </w:rPr>
        <w:t>Electric</w:t>
      </w:r>
      <w:r>
        <w:rPr>
          <w:b w:val="0"/>
          <w:bCs w:val="0"/>
          <w:u w:val="none"/>
        </w:rPr>
        <w:t xml:space="preserve"> System.</w:t>
      </w:r>
    </w:p>
    <w:p w:rsidR="00960870" w:rsidP="00DE7CC7" w:rsidRDefault="00960870" w14:paraId="3D6CFFFC" w14:textId="64623D18">
      <w:pPr>
        <w:pStyle w:val="Heading3"/>
      </w:pPr>
      <w:r>
        <w:t>Interconnection Facilities</w:t>
      </w:r>
      <w:r>
        <w:rPr>
          <w:u w:val="none"/>
        </w:rPr>
        <w:t xml:space="preserve">: </w:t>
      </w:r>
      <w:r>
        <w:rPr>
          <w:b w:val="0"/>
          <w:bCs w:val="0"/>
          <w:u w:val="none"/>
        </w:rPr>
        <w:t>The facilities described in the IA that: (i) must be installed or modified to enable the Facility to deliver capacity within the Contracted Capacity Range and associated energy; (ii) are owned by the Interconnection Provider; and (iii) are necessary to provide the physical electrical connection between the Facility and the Electric System.</w:t>
      </w:r>
    </w:p>
    <w:p w:rsidRPr="00D72DA5" w:rsidR="00E405AB" w:rsidDel="00E405AB" w:rsidP="00DE7CC7" w:rsidRDefault="00B34788" w14:paraId="444B6525" w14:textId="13CC61AB">
      <w:pPr>
        <w:pStyle w:val="Heading3"/>
        <w:rPr>
          <w:u w:val="none"/>
        </w:rPr>
      </w:pPr>
      <w:r>
        <w:t>Interconnection Limit</w:t>
      </w:r>
      <w:r>
        <w:rPr>
          <w:u w:val="none"/>
        </w:rPr>
        <w:t xml:space="preserve">: </w:t>
      </w:r>
      <w:r>
        <w:rPr>
          <w:b w:val="0"/>
          <w:bCs w:val="0"/>
          <w:u w:val="none"/>
        </w:rPr>
        <w:t>The maximum output amount of power allowed by the IA.</w:t>
      </w:r>
    </w:p>
    <w:p w:rsidR="00266AAD" w:rsidP="00DE7CC7" w:rsidRDefault="00266AAD" w14:paraId="37DFD2DC" w14:textId="28C71946">
      <w:pPr>
        <w:pStyle w:val="Heading3"/>
      </w:pPr>
      <w:r>
        <w:t>Interconnection Provider</w:t>
      </w:r>
      <w:r>
        <w:rPr>
          <w:u w:val="none"/>
        </w:rPr>
        <w:t xml:space="preserve">: </w:t>
      </w:r>
      <w:r>
        <w:rPr>
          <w:b w:val="0"/>
          <w:bCs w:val="0"/>
          <w:u w:val="none"/>
        </w:rPr>
        <w:t>The owner or operator of the Electric System responsible for providing transmission interconnection service to the Facility.</w:t>
      </w:r>
    </w:p>
    <w:p w:rsidRPr="000155A3" w:rsidR="00834498" w:rsidP="00834498" w:rsidRDefault="00834498" w14:paraId="45295D62" w14:textId="6C4A3E72">
      <w:pPr>
        <w:pStyle w:val="zGNormal6"/>
        <w:widowControl w:val="0"/>
        <w:rPr>
          <w:b/>
          <w:bCs/>
        </w:rPr>
      </w:pPr>
      <w:r>
        <w:rPr>
          <w:b/>
          <w:bCs/>
          <w:u w:val="single"/>
        </w:rPr>
        <w:t>Interconnection Study</w:t>
      </w:r>
      <w:r>
        <w:rPr>
          <w:b/>
          <w:bCs/>
        </w:rPr>
        <w:t>:</w:t>
      </w:r>
      <w:r>
        <w:t xml:space="preserve"> A study by the Facility’s Interconnection Provider in which the provider studies the Facility’s potential impact on the </w:t>
      </w:r>
      <w:r>
        <w:rPr>
          <w:rFonts w:eastAsia="PMingLiU"/>
        </w:rPr>
        <w:t>Electric</w:t>
      </w:r>
      <w:r>
        <w:t xml:space="preserve"> System to determine necessary Interconnection Facilities and Electric System improvements or Affected System upgrades, the estimated related costs, and the schedule of construction, for purposes of entering into an IA or amending an existing IA.</w:t>
      </w:r>
    </w:p>
    <w:p w:rsidRPr="000155A3" w:rsidR="000C235A" w:rsidP="00DE7CC7" w:rsidRDefault="00960870" w14:paraId="1E72A401" w14:textId="2C62698F">
      <w:pPr>
        <w:pStyle w:val="Heading3"/>
      </w:pPr>
      <w:r>
        <w:t>Interconnection Study Agreement</w:t>
      </w:r>
      <w:r>
        <w:rPr>
          <w:u w:val="none"/>
        </w:rPr>
        <w:t xml:space="preserve">: </w:t>
      </w:r>
      <w:r>
        <w:rPr>
          <w:b w:val="0"/>
          <w:bCs w:val="0"/>
          <w:u w:val="none"/>
        </w:rPr>
        <w:t>An agreement between Seller and the Facility’s Interconnection Provider under which the Interconnection Provider performs the Interconnection Study.</w:t>
      </w:r>
      <w:r>
        <w:t xml:space="preserve"> </w:t>
      </w:r>
    </w:p>
    <w:p w:rsidRPr="00D72DA5" w:rsidR="00960870" w:rsidP="00DE7CC7" w:rsidRDefault="00960870" w14:paraId="75A3909D" w14:textId="0CDD6172">
      <w:pPr>
        <w:pStyle w:val="Heading3"/>
        <w:rPr>
          <w:u w:val="none"/>
        </w:rPr>
      </w:pPr>
      <w:r>
        <w:t>Interest Rate</w:t>
      </w:r>
      <w:r>
        <w:rPr>
          <w:u w:val="none"/>
        </w:rPr>
        <w:t xml:space="preserve">: </w:t>
      </w:r>
      <w:r>
        <w:rPr>
          <w:b w:val="0"/>
          <w:bCs w:val="0"/>
          <w:u w:val="none"/>
        </w:rPr>
        <w:t xml:space="preserve">Interest per annum equal to the prime rate as published in </w:t>
      </w:r>
      <w:r>
        <w:rPr>
          <w:b w:val="0"/>
          <w:bCs w:val="0"/>
          <w:i/>
          <w:u w:val="none"/>
        </w:rPr>
        <w:t>The Wall Street Journal</w:t>
      </w:r>
      <w:r>
        <w:rPr>
          <w:b w:val="0"/>
          <w:bCs w:val="0"/>
          <w:u w:val="none"/>
        </w:rPr>
        <w:t>, or comparable successor publication, under “Money Rates,” as applied daily and compounded quarterly.</w:t>
      </w:r>
    </w:p>
    <w:p w:rsidRPr="00D72DA5" w:rsidR="003368DF" w:rsidP="00DE7CC7" w:rsidRDefault="00E853AE" w14:paraId="5183CB65" w14:textId="0A05552C">
      <w:pPr>
        <w:pStyle w:val="Heading3"/>
        <w:rPr>
          <w:u w:val="none"/>
        </w:rPr>
      </w:pPr>
      <w:r>
        <w:t>ITS Participant</w:t>
      </w:r>
      <w:r>
        <w:rPr>
          <w:u w:val="none"/>
        </w:rPr>
        <w:t xml:space="preserve">: </w:t>
      </w:r>
      <w:r>
        <w:rPr>
          <w:b w:val="0"/>
          <w:bCs w:val="0"/>
          <w:u w:val="none"/>
        </w:rPr>
        <w:t>Any of Dalton Utilities, Georgia Transmission Corporation, or the Municipal Electric Authority of Georgia. As used in this PPA, ITS Participant excludes GPC.</w:t>
      </w:r>
      <w:r>
        <w:rPr>
          <w:u w:val="none"/>
        </w:rPr>
        <w:t xml:space="preserve"> </w:t>
      </w:r>
    </w:p>
    <w:p w:rsidRPr="00D72DA5" w:rsidR="00CC5BF9" w:rsidP="00DE7CC7" w:rsidRDefault="00CC5BF9" w14:paraId="0246BC4F" w14:textId="740D0161">
      <w:pPr>
        <w:pStyle w:val="Heading3"/>
        <w:rPr>
          <w:u w:val="none"/>
        </w:rPr>
      </w:pPr>
      <w:r>
        <w:t>JAMS</w:t>
      </w:r>
      <w:r>
        <w:rPr>
          <w:u w:val="none"/>
        </w:rPr>
        <w:t xml:space="preserve">: </w:t>
      </w:r>
      <w:r>
        <w:rPr>
          <w:b w:val="0"/>
          <w:bCs w:val="0"/>
          <w:u w:val="none"/>
        </w:rPr>
        <w:t>Defined in Section 19.3.1 (</w:t>
      </w:r>
      <w:r>
        <w:rPr>
          <w:b w:val="0"/>
          <w:bCs w:val="0"/>
          <w:i/>
          <w:u w:val="none"/>
        </w:rPr>
        <w:t>JAMS</w:t>
      </w:r>
      <w:r>
        <w:rPr>
          <w:b w:val="0"/>
          <w:bCs w:val="0"/>
          <w:u w:val="none"/>
        </w:rPr>
        <w:t>).</w:t>
      </w:r>
      <w:r>
        <w:rPr>
          <w:u w:val="none"/>
        </w:rPr>
        <w:t> </w:t>
      </w:r>
    </w:p>
    <w:p w:rsidRPr="00CB273E" w:rsidR="00D84E21" w:rsidP="00DE7CC7" w:rsidRDefault="00D84E21" w14:paraId="03954F3B" w14:textId="0C7275CE">
      <w:pPr>
        <w:pStyle w:val="Heading3"/>
      </w:pPr>
      <w:r>
        <w:t>Key Milestones</w:t>
      </w:r>
      <w:r>
        <w:rPr>
          <w:u w:val="none"/>
        </w:rPr>
        <w:t xml:space="preserve">: </w:t>
      </w:r>
      <w:r>
        <w:rPr>
          <w:b w:val="0"/>
          <w:bCs w:val="0"/>
          <w:u w:val="none"/>
        </w:rPr>
        <w:t>Each of the milestones identified in Exhibit A-1 (</w:t>
      </w:r>
      <w:r>
        <w:rPr>
          <w:b w:val="0"/>
          <w:bCs w:val="0"/>
          <w:i/>
          <w:u w:val="none"/>
        </w:rPr>
        <w:t>Key Milestones and Required Key Milestone Dates</w:t>
      </w:r>
      <w:r>
        <w:rPr>
          <w:b w:val="0"/>
          <w:bCs w:val="0"/>
          <w:u w:val="none"/>
        </w:rPr>
        <w:t>).</w:t>
      </w:r>
    </w:p>
    <w:p w:rsidRPr="00CB273E" w:rsidR="00C83C7F" w:rsidP="00DE7CC7" w:rsidRDefault="00C83C7F" w14:paraId="6C281B85" w14:textId="242BE974">
      <w:pPr>
        <w:pStyle w:val="Heading3"/>
      </w:pPr>
      <w:r>
        <w:t>Key Milestone Date</w:t>
      </w:r>
      <w:r>
        <w:rPr>
          <w:u w:val="none"/>
        </w:rPr>
        <w:t xml:space="preserve">: </w:t>
      </w:r>
      <w:r>
        <w:rPr>
          <w:b w:val="0"/>
          <w:bCs w:val="0"/>
          <w:u w:val="none"/>
        </w:rPr>
        <w:t>Each of the dates identified in Exhibit A-1 (</w:t>
      </w:r>
      <w:r>
        <w:rPr>
          <w:b w:val="0"/>
          <w:bCs w:val="0"/>
          <w:i/>
          <w:iCs/>
          <w:u w:val="none"/>
        </w:rPr>
        <w:t>Key Milestones and Required Key Milestone Dates</w:t>
      </w:r>
      <w:r>
        <w:rPr>
          <w:b w:val="0"/>
          <w:bCs w:val="0"/>
          <w:u w:val="none"/>
        </w:rPr>
        <w:t>) as the date by which Seller guarantees the corresponding Key Milestone will be achieved.</w:t>
      </w:r>
    </w:p>
    <w:p w:rsidRPr="00CB273E" w:rsidR="00960870" w:rsidP="00DE7CC7" w:rsidRDefault="00960870" w14:paraId="715D99B3" w14:textId="4F4F29BC">
      <w:pPr>
        <w:pStyle w:val="Heading3"/>
      </w:pPr>
      <w:r>
        <w:t>kV</w:t>
      </w:r>
      <w:r>
        <w:rPr>
          <w:u w:val="none"/>
        </w:rPr>
        <w:t xml:space="preserve">: </w:t>
      </w:r>
      <w:r>
        <w:rPr>
          <w:b w:val="0"/>
          <w:bCs w:val="0"/>
          <w:u w:val="none"/>
        </w:rPr>
        <w:t>Kilovolt(s).</w:t>
      </w:r>
    </w:p>
    <w:p w:rsidRPr="000155A3" w:rsidR="00960870" w:rsidP="00DE7CC7" w:rsidRDefault="00960870" w14:paraId="2EDE5413" w14:textId="05D004BE">
      <w:pPr>
        <w:pStyle w:val="Heading3"/>
      </w:pPr>
      <w:r>
        <w:t>kW</w:t>
      </w:r>
      <w:r>
        <w:rPr>
          <w:u w:val="none"/>
        </w:rPr>
        <w:t xml:space="preserve">: </w:t>
      </w:r>
      <w:r>
        <w:rPr>
          <w:b w:val="0"/>
          <w:bCs w:val="0"/>
          <w:u w:val="none"/>
        </w:rPr>
        <w:t>Kilowatt(s) (AC).</w:t>
      </w:r>
    </w:p>
    <w:p w:rsidRPr="00D72DA5" w:rsidR="00960870" w:rsidP="00DE7CC7" w:rsidRDefault="00960870" w14:paraId="60756D59" w14:textId="20831D42">
      <w:pPr>
        <w:pStyle w:val="Heading3"/>
        <w:rPr>
          <w:b w:val="0"/>
          <w:bCs w:val="0"/>
        </w:rPr>
      </w:pPr>
      <w:r>
        <w:t>Letter of Credit</w:t>
      </w:r>
      <w:r>
        <w:rPr>
          <w:u w:val="none"/>
        </w:rPr>
        <w:t xml:space="preserve">: </w:t>
      </w:r>
      <w:r>
        <w:rPr>
          <w:b w:val="0"/>
          <w:bCs w:val="0"/>
          <w:u w:val="none"/>
        </w:rPr>
        <w:t>An irrevocable standby letter of credit that is: (i) substantially in the form set forth in Exhibit H (</w:t>
      </w:r>
      <w:r>
        <w:rPr>
          <w:b w:val="0"/>
          <w:bCs w:val="0"/>
          <w:i/>
          <w:u w:val="none"/>
        </w:rPr>
        <w:t>Form of Standby Letter of Credit</w:t>
      </w:r>
      <w:r>
        <w:rPr>
          <w:b w:val="0"/>
          <w:bCs w:val="0"/>
          <w:u w:val="none"/>
        </w:rPr>
        <w:t xml:space="preserve">); (ii) issued by a U.S. commercial bank or a U.S. branch of a foreign bank: (a) with total assets of at least 10 billion dollars ($10,000,000,000.00); and (b) having a general long-term senior unsecured debt rating of: (I) A minus or higher as rated by S&amp;P; (II) A3 or higher as rated by Moody’s; or (III) A </w:t>
      </w:r>
      <w:r>
        <w:rPr>
          <w:b w:val="0"/>
          <w:bCs w:val="0"/>
          <w:u w:val="none"/>
        </w:rPr>
        <w:lastRenderedPageBreak/>
        <w:t>minus or higher as rated by Fitch; and (iii) acceptable to GPC in GPC’s sole, but reasonable, discretion.</w:t>
      </w:r>
    </w:p>
    <w:p w:rsidRPr="00D72DA5" w:rsidR="00CC5BF9" w:rsidP="00DE7CC7" w:rsidRDefault="00FD0A19" w14:paraId="0DCC06C6" w14:textId="32DC096C">
      <w:pPr>
        <w:pStyle w:val="Heading3"/>
        <w:rPr>
          <w:u w:val="none"/>
        </w:rPr>
      </w:pPr>
      <w:r>
        <w:t>Losses</w:t>
      </w:r>
      <w:r>
        <w:rPr>
          <w:u w:val="none"/>
        </w:rPr>
        <w:t xml:space="preserve">: </w:t>
      </w:r>
      <w:r>
        <w:rPr>
          <w:b w:val="0"/>
          <w:bCs w:val="0"/>
          <w:u w:val="none"/>
        </w:rPr>
        <w:t>Defined in Section 16.3.3 (</w:t>
      </w:r>
      <w:r>
        <w:rPr>
          <w:b w:val="0"/>
          <w:bCs w:val="0"/>
          <w:i/>
          <w:u w:val="none"/>
        </w:rPr>
        <w:t>Determining Gains, Losses, and Costs</w:t>
      </w:r>
      <w:r>
        <w:rPr>
          <w:b w:val="0"/>
          <w:bCs w:val="0"/>
          <w:u w:val="none"/>
        </w:rPr>
        <w:t>).</w:t>
      </w:r>
      <w:r>
        <w:rPr>
          <w:u w:val="none"/>
        </w:rPr>
        <w:t> </w:t>
      </w:r>
    </w:p>
    <w:p w:rsidRPr="00E63E41" w:rsidR="00E63E41" w:rsidP="00DE7CC7" w:rsidRDefault="00E63E41" w14:paraId="3ADFFCDE" w14:textId="7944E455">
      <w:pPr>
        <w:pStyle w:val="Heading3"/>
      </w:pPr>
      <w:r>
        <w:t>MAA</w:t>
      </w:r>
      <w:r>
        <w:rPr>
          <w:u w:val="none"/>
        </w:rPr>
        <w:t xml:space="preserve">: </w:t>
      </w:r>
      <w:r>
        <w:rPr>
          <w:b w:val="0"/>
          <w:bCs w:val="0"/>
          <w:u w:val="none"/>
        </w:rPr>
        <w:t>See Monthly Availability Adjustment.</w:t>
      </w:r>
    </w:p>
    <w:p w:rsidR="00F23C20" w:rsidP="00DE7CC7" w:rsidRDefault="00F23C20" w14:paraId="529AA3B7" w14:textId="4AE87735">
      <w:pPr>
        <w:pStyle w:val="Heading3"/>
      </w:pPr>
      <w:r>
        <w:t>MAF</w:t>
      </w:r>
      <w:r>
        <w:rPr>
          <w:u w:val="none"/>
        </w:rPr>
        <w:t xml:space="preserve">: </w:t>
      </w:r>
      <w:r>
        <w:rPr>
          <w:b w:val="0"/>
          <w:bCs w:val="0"/>
          <w:u w:val="none"/>
        </w:rPr>
        <w:t>See Monthly Availability Factor.</w:t>
      </w:r>
    </w:p>
    <w:p w:rsidRPr="00F10071" w:rsidR="00960870" w:rsidP="00DE7CC7" w:rsidRDefault="00960870" w14:paraId="1C4D7604" w14:textId="45704FC5">
      <w:pPr>
        <w:pStyle w:val="Heading3"/>
      </w:pPr>
      <w:r>
        <w:t>Maintenance Outage</w:t>
      </w:r>
      <w:r>
        <w:rPr>
          <w:u w:val="none"/>
        </w:rPr>
        <w:t xml:space="preserve">: </w:t>
      </w:r>
      <w:r>
        <w:rPr>
          <w:b w:val="0"/>
          <w:bCs w:val="0"/>
          <w:u w:val="none"/>
        </w:rPr>
        <w:t>A planned interruption of a portion or all of the Facility’s generation capability that: (i) has been coordinated in advance with GPC with a mutually agreed start date, time and duration or to which GPC has consented in accordance with Section 10.2.2 (</w:t>
      </w:r>
      <w:r>
        <w:rPr>
          <w:b w:val="0"/>
          <w:bCs w:val="0"/>
          <w:i/>
          <w:u w:val="none"/>
        </w:rPr>
        <w:t>Maintenance Outages</w:t>
      </w:r>
      <w:r>
        <w:rPr>
          <w:b w:val="0"/>
          <w:bCs w:val="0"/>
          <w:u w:val="none"/>
        </w:rPr>
        <w:t>); and (ii) is for the purpose of performing work on specific components of the Facility that would limit the power output of the Facility but should not, in the reasonable judgment of Seller, be postponed until the next Scheduled Outage.</w:t>
      </w:r>
    </w:p>
    <w:p w:rsidRPr="00F10071" w:rsidR="00960870" w:rsidP="00DE7CC7" w:rsidRDefault="00960870" w14:paraId="62B52888" w14:textId="4CA1A15D">
      <w:pPr>
        <w:pStyle w:val="Heading3"/>
      </w:pPr>
      <w:r>
        <w:t>Maintenance Schedule</w:t>
      </w:r>
      <w:r>
        <w:rPr>
          <w:u w:val="none"/>
        </w:rPr>
        <w:t xml:space="preserve">: </w:t>
      </w:r>
      <w:r>
        <w:rPr>
          <w:b w:val="0"/>
          <w:bCs w:val="0"/>
          <w:u w:val="none"/>
        </w:rPr>
        <w:t>Seller’s maintenance schedule, including the scope of the maintenance and outage plans for the Facility that conforms to Prudent Industry Practices for similar equipment, including in terms of frequency and duration. Upon GPC’s approval, the Maintenance Schedule establishes Scheduled Outages.</w:t>
      </w:r>
    </w:p>
    <w:p w:rsidRPr="00F10071" w:rsidR="00960870" w:rsidP="00DE7CC7" w:rsidRDefault="00960870" w14:paraId="5AE0C245" w14:textId="08E6D3C2">
      <w:pPr>
        <w:pStyle w:val="Heading3"/>
      </w:pPr>
      <w:r>
        <w:t>Major Inspection</w:t>
      </w:r>
      <w:r>
        <w:rPr>
          <w:u w:val="none"/>
        </w:rPr>
        <w:t xml:space="preserve">: </w:t>
      </w:r>
      <w:r>
        <w:rPr>
          <w:b w:val="0"/>
          <w:bCs w:val="0"/>
          <w:u w:val="none"/>
        </w:rPr>
        <w:t>Major inspection as defined by the maintenance documents of the original equipment manufacturer.</w:t>
      </w:r>
    </w:p>
    <w:p w:rsidRPr="00AF5034" w:rsidR="00CD09A2" w:rsidP="00DE7CC7" w:rsidRDefault="00CD09A2" w14:paraId="3B172EAC" w14:textId="2D239708">
      <w:pPr>
        <w:pStyle w:val="Heading3"/>
      </w:pPr>
      <w:r>
        <w:t>MAP</w:t>
      </w:r>
      <w:r>
        <w:rPr>
          <w:u w:val="none"/>
        </w:rPr>
        <w:t xml:space="preserve">: </w:t>
      </w:r>
      <w:r>
        <w:rPr>
          <w:b w:val="0"/>
          <w:bCs w:val="0"/>
          <w:u w:val="none"/>
        </w:rPr>
        <w:t>See Monthly Availability Percentage.</w:t>
      </w:r>
      <w:r>
        <w:t xml:space="preserve"> </w:t>
      </w:r>
    </w:p>
    <w:p w:rsidRPr="00D72DA5" w:rsidR="00960870" w:rsidP="00DE7CC7" w:rsidRDefault="00960870" w14:paraId="7B89BB3D" w14:textId="2A512350">
      <w:pPr>
        <w:pStyle w:val="Heading3"/>
        <w:rPr>
          <w:b w:val="0"/>
          <w:bCs w:val="0"/>
        </w:rPr>
      </w:pPr>
      <w:r>
        <w:t>Material Adverse Change</w:t>
      </w:r>
      <w:r>
        <w:rPr>
          <w:u w:val="none"/>
        </w:rPr>
        <w:t xml:space="preserve">: </w:t>
      </w:r>
      <w:r>
        <w:rPr>
          <w:b w:val="0"/>
          <w:bCs w:val="0"/>
          <w:u w:val="none"/>
        </w:rPr>
        <w:t>Seller or, if Seller is providing Eligible Collateral in the form of a Seller Guaranty, Seller Guarantor experiences any of the following conditions: (i) Seller or Seller Guarantor is no longer Creditworthy; or (ii) the maturity of any Indebtedness of Seller or Seller Guarantor that in the aggregate exceeds fifty million dollars ($50,000,000.00) or 3% of equity, whichever is less, is accelerated by the holder or holders of the Indebtedness because of a Seller or Seller Guarantor default regarding the Indebtedness.</w:t>
      </w:r>
    </w:p>
    <w:p w:rsidRPr="00054241" w:rsidR="00054241" w:rsidP="00DE7CC7" w:rsidRDefault="00054241" w14:paraId="41321B05" w14:textId="60DFED6A">
      <w:pPr>
        <w:pStyle w:val="Heading3"/>
      </w:pPr>
      <w:r>
        <w:t>Maximum Ramp Rate(s)</w:t>
      </w:r>
      <w:r>
        <w:rPr>
          <w:u w:val="none"/>
        </w:rPr>
        <w:t xml:space="preserve">: </w:t>
      </w:r>
      <w:r>
        <w:rPr>
          <w:b w:val="0"/>
          <w:bCs w:val="0"/>
          <w:u w:val="none"/>
        </w:rPr>
        <w:t>The maximum ramp rate(s) listed in Exhibit D (</w:t>
      </w:r>
      <w:r>
        <w:rPr>
          <w:b w:val="0"/>
          <w:bCs w:val="0"/>
          <w:i/>
          <w:u w:val="none"/>
        </w:rPr>
        <w:t>Technical Limits and Schedule Procedures</w:t>
      </w:r>
      <w:r>
        <w:rPr>
          <w:b w:val="0"/>
          <w:bCs w:val="0"/>
          <w:u w:val="none"/>
        </w:rPr>
        <w:t>), Section 1.3 (</w:t>
      </w:r>
      <w:r>
        <w:rPr>
          <w:b w:val="0"/>
          <w:bCs w:val="0"/>
          <w:i/>
          <w:u w:val="none"/>
        </w:rPr>
        <w:t>Maximum Ramp Rates</w:t>
      </w:r>
      <w:r>
        <w:rPr>
          <w:b w:val="0"/>
          <w:bCs w:val="0"/>
          <w:u w:val="none"/>
        </w:rPr>
        <w:t>).</w:t>
      </w:r>
    </w:p>
    <w:p w:rsidRPr="00287106" w:rsidR="004443C1" w:rsidP="00DE7CC7" w:rsidRDefault="004443C1" w14:paraId="7468B805" w14:textId="594BF9F4">
      <w:pPr>
        <w:pStyle w:val="Heading3"/>
      </w:pPr>
      <w:r>
        <w:t>MCF</w:t>
      </w:r>
      <w:r>
        <w:rPr>
          <w:u w:val="none"/>
        </w:rPr>
        <w:t xml:space="preserve">: </w:t>
      </w:r>
      <w:r>
        <w:rPr>
          <w:b w:val="0"/>
          <w:bCs w:val="0"/>
          <w:u w:val="none"/>
        </w:rPr>
        <w:t>See Monthly Capacity Fee.</w:t>
      </w:r>
    </w:p>
    <w:p w:rsidRPr="00D72DA5" w:rsidR="004443C1" w:rsidP="00DE7CC7" w:rsidRDefault="004443C1" w14:paraId="70689159" w14:textId="7F85206F">
      <w:pPr>
        <w:pStyle w:val="Heading3"/>
        <w:rPr>
          <w:u w:val="none"/>
        </w:rPr>
      </w:pPr>
      <w:r>
        <w:t>MCP</w:t>
      </w:r>
      <w:r>
        <w:rPr>
          <w:u w:val="none"/>
        </w:rPr>
        <w:t xml:space="preserve">: </w:t>
      </w:r>
      <w:r>
        <w:rPr>
          <w:b w:val="0"/>
          <w:bCs w:val="0"/>
          <w:u w:val="none"/>
        </w:rPr>
        <w:t>See Monthly Capacity Payment.</w:t>
      </w:r>
    </w:p>
    <w:p w:rsidRPr="00D72DA5" w:rsidR="00975DD7" w:rsidP="00DE7CC7" w:rsidRDefault="00975DD7" w14:paraId="1E392A6D" w14:textId="77777777">
      <w:pPr>
        <w:pStyle w:val="Heading3"/>
        <w:rPr>
          <w:u w:val="none"/>
        </w:rPr>
      </w:pPr>
      <w:r>
        <w:t>MEP</w:t>
      </w:r>
      <w:r>
        <w:rPr>
          <w:u w:val="none"/>
        </w:rPr>
        <w:t xml:space="preserve">: </w:t>
      </w:r>
      <w:r>
        <w:rPr>
          <w:b w:val="0"/>
          <w:bCs w:val="0"/>
          <w:u w:val="none"/>
        </w:rPr>
        <w:t>See Monthly Energy Payment.</w:t>
      </w:r>
    </w:p>
    <w:p w:rsidRPr="00BF5DF7" w:rsidR="00960870" w:rsidP="00DE7CC7" w:rsidRDefault="00960870" w14:paraId="6DE0FBC2" w14:textId="57BA7FAC">
      <w:pPr>
        <w:pStyle w:val="Heading3"/>
      </w:pPr>
      <w:r>
        <w:t>Metering System</w:t>
      </w:r>
      <w:r>
        <w:rPr>
          <w:u w:val="none"/>
        </w:rPr>
        <w:t xml:space="preserve">: </w:t>
      </w:r>
      <w:r>
        <w:rPr>
          <w:b w:val="0"/>
          <w:bCs w:val="0"/>
          <w:u w:val="none"/>
        </w:rPr>
        <w:t>All meters, metering devices, and related instruments used to measure and record electric energy and to determine the amount of energy that is being made available or delivered to the POD and for the other purposes set forth in Section 8.2 (</w:t>
      </w:r>
      <w:r>
        <w:rPr>
          <w:b w:val="0"/>
          <w:bCs w:val="0"/>
          <w:i/>
          <w:u w:val="none"/>
        </w:rPr>
        <w:t>Metering and Telemetry</w:t>
      </w:r>
      <w:r>
        <w:rPr>
          <w:b w:val="0"/>
          <w:bCs w:val="0"/>
          <w:u w:val="none"/>
        </w:rPr>
        <w:t>).</w:t>
      </w:r>
    </w:p>
    <w:p w:rsidRPr="00BF5DF7" w:rsidR="009B23D7" w:rsidP="00DE7CC7" w:rsidRDefault="009B23D7" w14:paraId="2DD0BB5B" w14:textId="0D65A5B7">
      <w:pPr>
        <w:pStyle w:val="Heading3"/>
      </w:pPr>
      <w:r>
        <w:t>MFC</w:t>
      </w:r>
      <w:r>
        <w:rPr>
          <w:u w:val="none"/>
        </w:rPr>
        <w:t xml:space="preserve">: </w:t>
      </w:r>
      <w:r>
        <w:rPr>
          <w:b w:val="0"/>
          <w:bCs w:val="0"/>
          <w:u w:val="none"/>
        </w:rPr>
        <w:t>See Monthly Fuel Charge.</w:t>
      </w:r>
    </w:p>
    <w:p w:rsidRPr="00BF5DF7" w:rsidR="00960870" w:rsidP="00DE7CC7" w:rsidRDefault="00960870" w14:paraId="6B273131" w14:textId="12828C50">
      <w:pPr>
        <w:pStyle w:val="Heading3"/>
      </w:pPr>
      <w:r>
        <w:t>Milestone Schedule</w:t>
      </w:r>
      <w:r>
        <w:rPr>
          <w:u w:val="none"/>
        </w:rPr>
        <w:t xml:space="preserve">: </w:t>
      </w:r>
      <w:r>
        <w:rPr>
          <w:b w:val="0"/>
          <w:bCs w:val="0"/>
          <w:u w:val="none"/>
        </w:rPr>
        <w:t xml:space="preserve">A schedule containing, at a minimum, Key Milestones and other significant milestones related to Facility design, engineering, procurement, construction, Initial Synchronization Date, testing, startup, </w:t>
      </w:r>
      <w:r w:rsidR="000509A3">
        <w:rPr>
          <w:b w:val="0"/>
          <w:bCs w:val="0"/>
          <w:u w:val="none"/>
        </w:rPr>
        <w:t>R</w:t>
      </w:r>
      <w:r>
        <w:rPr>
          <w:b w:val="0"/>
          <w:bCs w:val="0"/>
          <w:u w:val="none"/>
        </w:rPr>
        <w:t xml:space="preserve">COD, and any </w:t>
      </w:r>
      <w:r w:rsidR="000509A3">
        <w:rPr>
          <w:b w:val="0"/>
          <w:bCs w:val="0"/>
          <w:u w:val="none"/>
        </w:rPr>
        <w:t>other milestone</w:t>
      </w:r>
      <w:r>
        <w:rPr>
          <w:b w:val="0"/>
          <w:bCs w:val="0"/>
          <w:u w:val="none"/>
        </w:rPr>
        <w:t xml:space="preserve"> GPC may reasonably request.</w:t>
      </w:r>
    </w:p>
    <w:p w:rsidRPr="00BF5DF7" w:rsidR="00960870" w:rsidP="00DE7CC7" w:rsidRDefault="00960870" w14:paraId="59971E68" w14:textId="7082510E">
      <w:pPr>
        <w:pStyle w:val="Heading3"/>
      </w:pPr>
      <w:r>
        <w:t>Minimum Capacity</w:t>
      </w:r>
      <w:r>
        <w:rPr>
          <w:u w:val="none"/>
        </w:rPr>
        <w:t xml:space="preserve">: </w:t>
      </w:r>
      <w:r>
        <w:rPr>
          <w:rFonts w:eastAsia="Times New Roman"/>
          <w:b w:val="0"/>
          <w:bCs w:val="0"/>
          <w:u w:val="none"/>
        </w:rPr>
        <w:t>The minimum level that the Facility can remain operationally stable and in compliance with permitted emissions limits</w:t>
      </w:r>
      <w:r>
        <w:rPr>
          <w:b w:val="0"/>
          <w:bCs w:val="0"/>
          <w:u w:val="none"/>
        </w:rPr>
        <w:t>.</w:t>
      </w:r>
    </w:p>
    <w:p w:rsidRPr="00D72DA5" w:rsidR="00960870" w:rsidP="00DE7CC7" w:rsidRDefault="00960870" w14:paraId="1576747E" w14:textId="47AA871F">
      <w:pPr>
        <w:pStyle w:val="Heading3"/>
        <w:rPr>
          <w:rStyle w:val="DeltaViewInsertion"/>
          <w:bCs w:val="0"/>
          <w:color w:val="auto"/>
        </w:rPr>
      </w:pPr>
      <w:r>
        <w:rPr>
          <w:rStyle w:val="DeltaViewInsertion"/>
          <w:bCs w:val="0"/>
          <w:color w:val="auto"/>
          <w:u w:val="single"/>
        </w:rPr>
        <w:t>Minimum Capacity</w:t>
      </w:r>
      <w:r>
        <w:rPr>
          <w:rStyle w:val="DeltaViewInsertion"/>
          <w:bCs w:val="0"/>
          <w:color w:val="auto"/>
          <w:u w:val="single"/>
          <w:vertAlign w:val="subscript"/>
        </w:rPr>
        <w:t>1-on-1</w:t>
      </w:r>
      <w:r>
        <w:rPr>
          <w:rStyle w:val="DeltaViewInsertion"/>
          <w:bCs w:val="0"/>
          <w:color w:val="auto"/>
          <w:u w:val="none"/>
        </w:rPr>
        <w:t>:</w:t>
      </w:r>
      <w:r>
        <w:rPr>
          <w:rStyle w:val="DeltaViewInsertion"/>
          <w:b w:val="0"/>
          <w:color w:val="auto"/>
          <w:u w:val="none"/>
        </w:rPr>
        <w:t xml:space="preserve"> Defined in Exhibit D (</w:t>
      </w:r>
      <w:r>
        <w:rPr>
          <w:rStyle w:val="DeltaViewInsertion"/>
          <w:b w:val="0"/>
          <w:i/>
          <w:color w:val="auto"/>
          <w:u w:val="none"/>
        </w:rPr>
        <w:t>Technical Limits and Schedule Procedures</w:t>
      </w:r>
      <w:r>
        <w:rPr>
          <w:rStyle w:val="DeltaViewInsertion"/>
          <w:b w:val="0"/>
          <w:color w:val="auto"/>
          <w:u w:val="none"/>
        </w:rPr>
        <w:t>), Section 1.2 (</w:t>
      </w:r>
      <w:r>
        <w:rPr>
          <w:rStyle w:val="DeltaViewInsertion"/>
          <w:b w:val="0"/>
          <w:i/>
          <w:color w:val="auto"/>
          <w:u w:val="none"/>
        </w:rPr>
        <w:t>Minimum Capacity Limits / Net Output</w:t>
      </w:r>
      <w:r>
        <w:rPr>
          <w:rStyle w:val="DeltaViewInsertion"/>
          <w:b w:val="0"/>
          <w:color w:val="auto"/>
          <w:u w:val="none"/>
        </w:rPr>
        <w:t>).</w:t>
      </w:r>
    </w:p>
    <w:p w:rsidRPr="00D72DA5" w:rsidR="00960870" w:rsidP="00DE7CC7" w:rsidRDefault="00960870" w14:paraId="7C5FD126" w14:textId="40E01BF6">
      <w:pPr>
        <w:pStyle w:val="Heading3"/>
        <w:rPr>
          <w:rStyle w:val="DeltaViewInsertion"/>
          <w:bCs w:val="0"/>
          <w:color w:val="auto"/>
          <w:u w:val="none"/>
        </w:rPr>
      </w:pPr>
      <w:r>
        <w:rPr>
          <w:rStyle w:val="DeltaViewInsertion"/>
          <w:bCs w:val="0"/>
          <w:color w:val="auto"/>
          <w:u w:val="single"/>
        </w:rPr>
        <w:t>Minimum Capacity</w:t>
      </w:r>
      <w:r>
        <w:rPr>
          <w:rStyle w:val="DeltaViewInsertion"/>
          <w:bCs w:val="0"/>
          <w:color w:val="auto"/>
          <w:u w:val="single"/>
          <w:vertAlign w:val="subscript"/>
        </w:rPr>
        <w:t>2-on-1</w:t>
      </w:r>
      <w:r>
        <w:rPr>
          <w:rStyle w:val="DeltaViewInsertion"/>
          <w:bCs w:val="0"/>
          <w:color w:val="auto"/>
          <w:u w:val="none"/>
        </w:rPr>
        <w:t xml:space="preserve">: </w:t>
      </w:r>
      <w:r>
        <w:rPr>
          <w:rStyle w:val="DeltaViewInsertion"/>
          <w:b w:val="0"/>
          <w:color w:val="auto"/>
          <w:u w:val="none"/>
        </w:rPr>
        <w:t>Defined in Exhibit D (</w:t>
      </w:r>
      <w:r>
        <w:rPr>
          <w:rStyle w:val="DeltaViewInsertion"/>
          <w:b w:val="0"/>
          <w:i/>
          <w:color w:val="auto"/>
          <w:u w:val="none"/>
        </w:rPr>
        <w:t>Technical Limits and Schedule Procedures</w:t>
      </w:r>
      <w:r>
        <w:rPr>
          <w:rStyle w:val="DeltaViewInsertion"/>
          <w:b w:val="0"/>
          <w:color w:val="auto"/>
          <w:u w:val="none"/>
        </w:rPr>
        <w:t>), Section 1.2 (</w:t>
      </w:r>
      <w:r>
        <w:rPr>
          <w:rStyle w:val="DeltaViewInsertion"/>
          <w:b w:val="0"/>
          <w:i/>
          <w:color w:val="auto"/>
          <w:u w:val="none"/>
        </w:rPr>
        <w:t>Minimum Capacity Limits / Net Output</w:t>
      </w:r>
      <w:r>
        <w:rPr>
          <w:rStyle w:val="DeltaViewInsertion"/>
          <w:b w:val="0"/>
          <w:color w:val="auto"/>
          <w:u w:val="none"/>
        </w:rPr>
        <w:t>).</w:t>
      </w:r>
    </w:p>
    <w:p w:rsidRPr="00D72DA5" w:rsidR="00960870" w:rsidP="00DE7CC7" w:rsidRDefault="00960870" w14:paraId="02E794AC" w14:textId="5D86C2F6">
      <w:pPr>
        <w:pStyle w:val="Heading3"/>
        <w:rPr>
          <w:bCs w:val="0"/>
        </w:rPr>
      </w:pPr>
      <w:r>
        <w:rPr>
          <w:rStyle w:val="DeltaViewInsertion"/>
          <w:rFonts w:eastAsia="SimHei"/>
          <w:bCs w:val="0"/>
          <w:color w:val="auto"/>
          <w:u w:val="single"/>
        </w:rPr>
        <w:t>MMBtu</w:t>
      </w:r>
      <w:r>
        <w:rPr>
          <w:rStyle w:val="DeltaViewInsertion"/>
          <w:rFonts w:eastAsia="SimHei"/>
          <w:bCs w:val="0"/>
          <w:color w:val="auto"/>
          <w:u w:val="none"/>
        </w:rPr>
        <w:t xml:space="preserve">: </w:t>
      </w:r>
      <w:r>
        <w:rPr>
          <w:rStyle w:val="DeltaViewInsertion"/>
          <w:rFonts w:eastAsia="SimHei"/>
          <w:b w:val="0"/>
          <w:color w:val="auto"/>
          <w:u w:val="none"/>
        </w:rPr>
        <w:t>One million British thermal units. One MMBtu is equivalent to one dekatherm.</w:t>
      </w:r>
    </w:p>
    <w:p w:rsidRPr="00BF5DF7" w:rsidR="00960870" w:rsidP="00DE7CC7" w:rsidRDefault="00960870" w14:paraId="093F3353" w14:textId="7B101F5D">
      <w:pPr>
        <w:pStyle w:val="Heading3"/>
      </w:pPr>
      <w:r>
        <w:t>Month</w:t>
      </w:r>
      <w:r>
        <w:rPr>
          <w:u w:val="none"/>
        </w:rPr>
        <w:t xml:space="preserve">: </w:t>
      </w:r>
      <w:r>
        <w:rPr>
          <w:b w:val="0"/>
          <w:bCs w:val="0"/>
          <w:u w:val="none"/>
        </w:rPr>
        <w:t>A calendar month, commencing at the beginning of the first Day of such calendar month. “</w:t>
      </w:r>
      <w:r>
        <w:rPr>
          <w:u w:val="none"/>
        </w:rPr>
        <w:t>Monthly</w:t>
      </w:r>
      <w:r>
        <w:rPr>
          <w:b w:val="0"/>
          <w:bCs w:val="0"/>
          <w:u w:val="none"/>
        </w:rPr>
        <w:t>” has a meaning correlative to that of Month.</w:t>
      </w:r>
    </w:p>
    <w:p w:rsidRPr="00D72DA5" w:rsidR="00960870" w:rsidP="00DE7CC7" w:rsidRDefault="00960870" w14:paraId="58A0AA68" w14:textId="09238B52">
      <w:pPr>
        <w:pStyle w:val="Heading3"/>
        <w:rPr>
          <w:u w:val="none"/>
        </w:rPr>
      </w:pPr>
      <w:r>
        <w:t>Monthly Availability Adjustment (MAA)</w:t>
      </w:r>
      <w:r>
        <w:rPr>
          <w:u w:val="none"/>
        </w:rPr>
        <w:t xml:space="preserve">: </w:t>
      </w:r>
      <w:r>
        <w:rPr>
          <w:b w:val="0"/>
          <w:bCs w:val="0"/>
          <w:u w:val="none"/>
        </w:rPr>
        <w:t>Defined in, and determined in accordance with, Exhibit B (</w:t>
      </w:r>
      <w:r>
        <w:rPr>
          <w:b w:val="0"/>
          <w:bCs w:val="0"/>
          <w:i/>
          <w:u w:val="none"/>
        </w:rPr>
        <w:t>Capacity; Capacity Payments and Payment Reductions; Buydown</w:t>
      </w:r>
      <w:r>
        <w:rPr>
          <w:b w:val="0"/>
          <w:bCs w:val="0"/>
          <w:u w:val="none"/>
        </w:rPr>
        <w:t>), Part 3 (</w:t>
      </w:r>
      <w:r>
        <w:rPr>
          <w:b w:val="0"/>
          <w:bCs w:val="0"/>
          <w:i/>
          <w:u w:val="none"/>
        </w:rPr>
        <w:t>Monthly Availability Adjustment</w:t>
      </w:r>
      <w:r>
        <w:rPr>
          <w:b w:val="0"/>
          <w:bCs w:val="0"/>
          <w:u w:val="none"/>
        </w:rPr>
        <w:t>).</w:t>
      </w:r>
    </w:p>
    <w:p w:rsidRPr="00D72DA5" w:rsidR="00960870" w:rsidP="00DE7CC7" w:rsidRDefault="00960870" w14:paraId="26B62B8B" w14:textId="60B1B2C1">
      <w:pPr>
        <w:pStyle w:val="Heading3"/>
        <w:rPr>
          <w:u w:val="none"/>
        </w:rPr>
      </w:pPr>
      <w:r>
        <w:t>Monthly Availability Factor (MAF)</w:t>
      </w:r>
      <w:r>
        <w:rPr>
          <w:u w:val="none"/>
        </w:rPr>
        <w:t xml:space="preserve">: </w:t>
      </w:r>
      <w:r>
        <w:rPr>
          <w:b w:val="0"/>
          <w:bCs w:val="0"/>
          <w:u w:val="none"/>
        </w:rPr>
        <w:t>Defined in, and determined in accordance with, Table B-4 (</w:t>
      </w:r>
      <w:r>
        <w:rPr>
          <w:b w:val="0"/>
          <w:bCs w:val="0"/>
          <w:i/>
          <w:u w:val="none"/>
        </w:rPr>
        <w:t>Monthly Availability Factor (MAF)</w:t>
      </w:r>
      <w:r>
        <w:rPr>
          <w:b w:val="0"/>
          <w:bCs w:val="0"/>
          <w:u w:val="none"/>
        </w:rPr>
        <w:t>) in Exhibit B (</w:t>
      </w:r>
      <w:r>
        <w:rPr>
          <w:b w:val="0"/>
          <w:bCs w:val="0"/>
          <w:i/>
          <w:u w:val="none"/>
        </w:rPr>
        <w:t>Capacity; Capacity Payments and Payment Reductions; Buydown</w:t>
      </w:r>
      <w:r>
        <w:rPr>
          <w:b w:val="0"/>
          <w:bCs w:val="0"/>
          <w:u w:val="none"/>
        </w:rPr>
        <w:t>).</w:t>
      </w:r>
    </w:p>
    <w:p w:rsidRPr="00BF5DF7" w:rsidR="007D7E18" w:rsidP="00DE7CC7" w:rsidRDefault="00960870" w14:paraId="5E60C818" w14:textId="0F2089D6">
      <w:pPr>
        <w:pStyle w:val="Heading3"/>
      </w:pPr>
      <w:r>
        <w:t>Monthly Availability Percentage (MAP)</w:t>
      </w:r>
      <w:r>
        <w:rPr>
          <w:u w:val="none"/>
        </w:rPr>
        <w:t xml:space="preserve">: </w:t>
      </w:r>
      <w:bookmarkStart w:name="_Hlk158221023" w:id="25"/>
      <w:r>
        <w:rPr>
          <w:b w:val="0"/>
          <w:bCs w:val="0"/>
          <w:u w:val="none"/>
        </w:rPr>
        <w:t>Defined in, and determined in accordance with</w:t>
      </w:r>
      <w:bookmarkEnd w:id="25"/>
      <w:r>
        <w:rPr>
          <w:b w:val="0"/>
          <w:bCs w:val="0"/>
          <w:u w:val="none"/>
        </w:rPr>
        <w:t>, Exhibit B (</w:t>
      </w:r>
      <w:r>
        <w:rPr>
          <w:b w:val="0"/>
          <w:bCs w:val="0"/>
          <w:i/>
          <w:u w:val="none"/>
        </w:rPr>
        <w:t>Capacity; Capacity Payments and Payment Reductions; Buydown</w:t>
      </w:r>
      <w:r>
        <w:rPr>
          <w:b w:val="0"/>
          <w:bCs w:val="0"/>
          <w:u w:val="none"/>
        </w:rPr>
        <w:t>), Part 3 (</w:t>
      </w:r>
      <w:r>
        <w:rPr>
          <w:b w:val="0"/>
          <w:bCs w:val="0"/>
          <w:i/>
          <w:u w:val="none"/>
        </w:rPr>
        <w:t>Monthly Availability Adjustment</w:t>
      </w:r>
      <w:r>
        <w:rPr>
          <w:b w:val="0"/>
          <w:bCs w:val="0"/>
          <w:u w:val="none"/>
        </w:rPr>
        <w:t>).</w:t>
      </w:r>
    </w:p>
    <w:p w:rsidRPr="00D72DA5" w:rsidR="00960870" w:rsidP="00DE7CC7" w:rsidRDefault="00960870" w14:paraId="6C138361" w14:textId="61063714">
      <w:pPr>
        <w:pStyle w:val="Heading3"/>
        <w:rPr>
          <w:b w:val="0"/>
          <w:bCs w:val="0"/>
        </w:rPr>
      </w:pPr>
      <w:r>
        <w:lastRenderedPageBreak/>
        <w:t>Monthly Capacity Fee (MCF)</w:t>
      </w:r>
      <w:r>
        <w:rPr>
          <w:u w:val="none"/>
        </w:rPr>
        <w:t xml:space="preserve">: </w:t>
      </w:r>
      <w:r>
        <w:rPr>
          <w:b w:val="0"/>
          <w:bCs w:val="0"/>
          <w:u w:val="none"/>
        </w:rPr>
        <w:t>Defined in, and determined in accordance with, Exhibit B (</w:t>
      </w:r>
      <w:r>
        <w:rPr>
          <w:b w:val="0"/>
          <w:bCs w:val="0"/>
          <w:i/>
          <w:u w:val="none"/>
        </w:rPr>
        <w:t>Capacity; Capacity Payments and Payment Reductions; Buydown</w:t>
      </w:r>
      <w:r>
        <w:rPr>
          <w:b w:val="0"/>
          <w:bCs w:val="0"/>
          <w:u w:val="none"/>
        </w:rPr>
        <w:t>), Section 2.1 (</w:t>
      </w:r>
      <w:r>
        <w:rPr>
          <w:b w:val="0"/>
          <w:bCs w:val="0"/>
          <w:i/>
          <w:u w:val="none"/>
        </w:rPr>
        <w:t>Calculation of Monthly Capacity Payment</w:t>
      </w:r>
      <w:r>
        <w:rPr>
          <w:b w:val="0"/>
          <w:bCs w:val="0"/>
          <w:u w:val="none"/>
        </w:rPr>
        <w:t>).</w:t>
      </w:r>
    </w:p>
    <w:p w:rsidRPr="00BF5DF7" w:rsidR="00960870" w:rsidP="00DE7CC7" w:rsidRDefault="00960870" w14:paraId="43A4198C" w14:textId="68985949">
      <w:pPr>
        <w:pStyle w:val="Heading3"/>
      </w:pPr>
      <w:r>
        <w:t>Monthly Capacity Payment (MCP)</w:t>
      </w:r>
      <w:r>
        <w:rPr>
          <w:u w:val="none"/>
        </w:rPr>
        <w:t xml:space="preserve">: </w:t>
      </w:r>
      <w:r>
        <w:rPr>
          <w:b w:val="0"/>
          <w:bCs w:val="0"/>
          <w:u w:val="none"/>
        </w:rPr>
        <w:t>Defined in, and determined in accordance with, Exhibit B (</w:t>
      </w:r>
      <w:r>
        <w:rPr>
          <w:b w:val="0"/>
          <w:bCs w:val="0"/>
          <w:i/>
          <w:u w:val="none"/>
        </w:rPr>
        <w:t>Capacity; Capacity Payments and Payment Reductions; Buydown</w:t>
      </w:r>
      <w:r>
        <w:rPr>
          <w:b w:val="0"/>
          <w:bCs w:val="0"/>
          <w:u w:val="none"/>
        </w:rPr>
        <w:t>), Part 2 (</w:t>
      </w:r>
      <w:r>
        <w:rPr>
          <w:b w:val="0"/>
          <w:bCs w:val="0"/>
          <w:i/>
          <w:u w:val="none"/>
        </w:rPr>
        <w:t>Monthly Capacity Payment</w:t>
      </w:r>
      <w:r>
        <w:rPr>
          <w:b w:val="0"/>
          <w:bCs w:val="0"/>
          <w:u w:val="none"/>
        </w:rPr>
        <w:t>).</w:t>
      </w:r>
    </w:p>
    <w:p w:rsidRPr="00BF5DF7" w:rsidR="00960870" w:rsidP="00DE7CC7" w:rsidRDefault="00960870" w14:paraId="0974ECB3" w14:textId="6A53BF1A">
      <w:pPr>
        <w:pStyle w:val="Heading3"/>
      </w:pPr>
      <w:r>
        <w:t>Monthly Energy Payment (MEP</w:t>
      </w:r>
      <w:r>
        <w:rPr>
          <w:u w:val="none"/>
        </w:rPr>
        <w:t xml:space="preserve">): </w:t>
      </w:r>
      <w:r>
        <w:rPr>
          <w:b w:val="0"/>
          <w:bCs w:val="0"/>
          <w:u w:val="none"/>
        </w:rPr>
        <w:t>Defined in, and determined in accordance with, Exhibit C (</w:t>
      </w:r>
      <w:r>
        <w:rPr>
          <w:b w:val="0"/>
          <w:bCs w:val="0"/>
          <w:i/>
          <w:u w:val="none"/>
        </w:rPr>
        <w:t>Energy Payment Calculation</w:t>
      </w:r>
      <w:r>
        <w:rPr>
          <w:b w:val="0"/>
          <w:bCs w:val="0"/>
          <w:u w:val="none"/>
        </w:rPr>
        <w:t>), Part 1 (</w:t>
      </w:r>
      <w:r>
        <w:rPr>
          <w:b w:val="0"/>
          <w:bCs w:val="0"/>
          <w:i/>
          <w:u w:val="none"/>
        </w:rPr>
        <w:t>Monthly Energy Payment</w:t>
      </w:r>
      <w:r>
        <w:rPr>
          <w:b w:val="0"/>
          <w:bCs w:val="0"/>
          <w:u w:val="none"/>
        </w:rPr>
        <w:t>).</w:t>
      </w:r>
    </w:p>
    <w:p w:rsidRPr="00D72DA5" w:rsidR="00960870" w:rsidP="00DE7CC7" w:rsidRDefault="00960870" w14:paraId="65A94486" w14:textId="29D73B3D">
      <w:pPr>
        <w:pStyle w:val="Heading3"/>
        <w:rPr>
          <w:b w:val="0"/>
          <w:bCs w:val="0"/>
          <w:u w:val="none"/>
        </w:rPr>
      </w:pPr>
      <w:r>
        <w:t>Monthly Fuel Charge (MFC)</w:t>
      </w:r>
      <w:r>
        <w:rPr>
          <w:u w:val="none"/>
        </w:rPr>
        <w:t xml:space="preserve">: </w:t>
      </w:r>
      <w:r>
        <w:rPr>
          <w:b w:val="0"/>
          <w:bCs w:val="0"/>
          <w:u w:val="none"/>
        </w:rPr>
        <w:t>Defined in, and determined in accordance with, Exhibit C (</w:t>
      </w:r>
      <w:r>
        <w:rPr>
          <w:b w:val="0"/>
          <w:bCs w:val="0"/>
          <w:i/>
          <w:u w:val="none"/>
        </w:rPr>
        <w:t>Energy Payment Calculation</w:t>
      </w:r>
      <w:r>
        <w:rPr>
          <w:b w:val="0"/>
          <w:bCs w:val="0"/>
          <w:u w:val="none"/>
        </w:rPr>
        <w:t>), Part 1 (</w:t>
      </w:r>
      <w:r>
        <w:rPr>
          <w:b w:val="0"/>
          <w:bCs w:val="0"/>
          <w:i/>
          <w:u w:val="none"/>
        </w:rPr>
        <w:t>Monthly Energy Payment</w:t>
      </w:r>
      <w:r>
        <w:rPr>
          <w:b w:val="0"/>
          <w:bCs w:val="0"/>
          <w:u w:val="none"/>
        </w:rPr>
        <w:t>) and Section 1.5 (</w:t>
      </w:r>
      <w:r>
        <w:rPr>
          <w:b w:val="0"/>
          <w:bCs w:val="0"/>
          <w:i/>
          <w:u w:val="none"/>
        </w:rPr>
        <w:t>Monthly Fuel Charge</w:t>
      </w:r>
      <w:r>
        <w:rPr>
          <w:b w:val="0"/>
          <w:bCs w:val="0"/>
          <w:u w:val="none"/>
        </w:rPr>
        <w:t>).</w:t>
      </w:r>
    </w:p>
    <w:p w:rsidRPr="00BF5DF7" w:rsidR="00960870" w:rsidP="00DE7CC7" w:rsidRDefault="00960870" w14:paraId="29B6BD0C" w14:textId="1B3696EF">
      <w:pPr>
        <w:pStyle w:val="Heading3"/>
      </w:pPr>
      <w:r>
        <w:t>Monthly Invoice</w:t>
      </w:r>
      <w:r>
        <w:rPr>
          <w:u w:val="none"/>
        </w:rPr>
        <w:t xml:space="preserve">: </w:t>
      </w:r>
      <w:r>
        <w:rPr>
          <w:b w:val="0"/>
          <w:bCs w:val="0"/>
          <w:u w:val="none"/>
        </w:rPr>
        <w:t>Defined in Section 5.1 (</w:t>
      </w:r>
      <w:r>
        <w:rPr>
          <w:b w:val="0"/>
          <w:bCs w:val="0"/>
          <w:i/>
          <w:u w:val="none"/>
        </w:rPr>
        <w:t>Capacity and Energy Billing and Payment</w:t>
      </w:r>
      <w:r>
        <w:rPr>
          <w:b w:val="0"/>
          <w:bCs w:val="0"/>
          <w:u w:val="none"/>
        </w:rPr>
        <w:t>).</w:t>
      </w:r>
    </w:p>
    <w:p w:rsidRPr="00BF5DF7" w:rsidR="00960870" w:rsidP="00DE7CC7" w:rsidRDefault="00960870" w14:paraId="627F2C35" w14:textId="41086821">
      <w:pPr>
        <w:pStyle w:val="Heading3"/>
      </w:pPr>
      <w:r>
        <w:t>Monthly Startup Charge (MSC)</w:t>
      </w:r>
      <w:r>
        <w:rPr>
          <w:u w:val="none"/>
        </w:rPr>
        <w:t xml:space="preserve">: </w:t>
      </w:r>
      <w:r>
        <w:rPr>
          <w:b w:val="0"/>
          <w:bCs w:val="0"/>
          <w:u w:val="none"/>
        </w:rPr>
        <w:t>Defined in, and determined in accordance with, Exhibit C (</w:t>
      </w:r>
      <w:r>
        <w:rPr>
          <w:b w:val="0"/>
          <w:bCs w:val="0"/>
          <w:i/>
          <w:u w:val="none"/>
        </w:rPr>
        <w:t>Energy Payment Calculation</w:t>
      </w:r>
      <w:r>
        <w:rPr>
          <w:b w:val="0"/>
          <w:bCs w:val="0"/>
          <w:u w:val="none"/>
        </w:rPr>
        <w:t>), Section 1.3 (</w:t>
      </w:r>
      <w:r>
        <w:rPr>
          <w:b w:val="0"/>
          <w:bCs w:val="0"/>
          <w:i/>
          <w:u w:val="none"/>
        </w:rPr>
        <w:t>Monthly Startup Charges (MSC)</w:t>
      </w:r>
      <w:r>
        <w:rPr>
          <w:b w:val="0"/>
          <w:bCs w:val="0"/>
          <w:u w:val="none"/>
        </w:rPr>
        <w:t>).</w:t>
      </w:r>
    </w:p>
    <w:p w:rsidRPr="00BF5DF7" w:rsidR="00960870" w:rsidP="00DE7CC7" w:rsidRDefault="00960870" w14:paraId="43CFC598" w14:textId="54BCDCB7">
      <w:pPr>
        <w:pStyle w:val="Heading3"/>
      </w:pPr>
      <w:r>
        <w:t>Monthly Value Factor (MVF)</w:t>
      </w:r>
      <w:r>
        <w:rPr>
          <w:u w:val="none"/>
        </w:rPr>
        <w:t xml:space="preserve">: </w:t>
      </w:r>
      <w:r>
        <w:rPr>
          <w:b w:val="0"/>
          <w:bCs w:val="0"/>
          <w:u w:val="none"/>
        </w:rPr>
        <w:t>For a given Month, the factor value determined in accordance with Table B-3 (</w:t>
      </w:r>
      <w:r>
        <w:rPr>
          <w:b w:val="0"/>
          <w:bCs w:val="0"/>
          <w:i/>
          <w:u w:val="none"/>
        </w:rPr>
        <w:t>Monthly Value Factor (MVF)</w:t>
      </w:r>
      <w:r>
        <w:rPr>
          <w:b w:val="0"/>
          <w:bCs w:val="0"/>
          <w:u w:val="none"/>
        </w:rPr>
        <w:t>) in Exhibit B (</w:t>
      </w:r>
      <w:r>
        <w:rPr>
          <w:b w:val="0"/>
          <w:bCs w:val="0"/>
          <w:i/>
          <w:u w:val="none"/>
        </w:rPr>
        <w:t>Capacity; Capacity Payments and Payment Reductions; Buydown</w:t>
      </w:r>
      <w:r>
        <w:rPr>
          <w:b w:val="0"/>
          <w:bCs w:val="0"/>
          <w:u w:val="none"/>
        </w:rPr>
        <w:t>).</w:t>
      </w:r>
    </w:p>
    <w:p w:rsidRPr="00D72DA5" w:rsidR="00960870" w:rsidP="00DE7CC7" w:rsidRDefault="00960870" w14:paraId="14DC37FB" w14:textId="69AB6DBB">
      <w:pPr>
        <w:pStyle w:val="Heading3"/>
        <w:rPr>
          <w:u w:val="none"/>
        </w:rPr>
      </w:pPr>
      <w:r>
        <w:t>Moody’s</w:t>
      </w:r>
      <w:r>
        <w:rPr>
          <w:u w:val="none"/>
        </w:rPr>
        <w:t xml:space="preserve">: </w:t>
      </w:r>
      <w:r>
        <w:rPr>
          <w:b w:val="0"/>
          <w:bCs w:val="0"/>
          <w:u w:val="none"/>
        </w:rPr>
        <w:t>Moody’s Investors Service, Inc. or its successor. If Moody’s ceases to exist or publish ratings, Moody’s will mean a nationally recognized rating agency mutually agreed upon by the Parties.</w:t>
      </w:r>
    </w:p>
    <w:p w:rsidRPr="00BF5DF7" w:rsidR="00701E12" w:rsidP="00DE7CC7" w:rsidRDefault="00701E12" w14:paraId="3F3F797F" w14:textId="77777777">
      <w:pPr>
        <w:pStyle w:val="Heading3"/>
      </w:pPr>
      <w:r>
        <w:t>MSC</w:t>
      </w:r>
      <w:r>
        <w:rPr>
          <w:u w:val="none"/>
        </w:rPr>
        <w:t xml:space="preserve">: </w:t>
      </w:r>
      <w:r>
        <w:rPr>
          <w:b w:val="0"/>
          <w:bCs w:val="0"/>
          <w:u w:val="none"/>
        </w:rPr>
        <w:t>See Monthly Startup Charge.</w:t>
      </w:r>
    </w:p>
    <w:p w:rsidRPr="00D72DA5" w:rsidR="006415F4" w:rsidP="00DE7CC7" w:rsidRDefault="006415F4" w14:paraId="1FAE8126" w14:textId="15F9728C">
      <w:pPr>
        <w:pStyle w:val="Heading3"/>
        <w:rPr>
          <w:u w:val="none"/>
        </w:rPr>
      </w:pPr>
      <w:r>
        <w:t>MVF</w:t>
      </w:r>
      <w:r>
        <w:rPr>
          <w:u w:val="none"/>
        </w:rPr>
        <w:t xml:space="preserve">: </w:t>
      </w:r>
      <w:r>
        <w:rPr>
          <w:b w:val="0"/>
          <w:bCs w:val="0"/>
          <w:u w:val="none"/>
        </w:rPr>
        <w:t>See Monthly Value Factor.</w:t>
      </w:r>
    </w:p>
    <w:p w:rsidRPr="00F10071" w:rsidR="00960870" w:rsidP="00DE7CC7" w:rsidRDefault="00960870" w14:paraId="5F5C50E7" w14:textId="4FA0AB44">
      <w:pPr>
        <w:pStyle w:val="Heading3"/>
      </w:pPr>
      <w:r>
        <w:t>MVOM</w:t>
      </w:r>
      <w:r>
        <w:rPr>
          <w:u w:val="none"/>
        </w:rPr>
        <w:t xml:space="preserve">: </w:t>
      </w:r>
      <w:r>
        <w:rPr>
          <w:b w:val="0"/>
          <w:bCs w:val="0"/>
          <w:u w:val="none"/>
        </w:rPr>
        <w:t>Defined in, and determined in accordance with, Exhibit C (</w:t>
      </w:r>
      <w:r>
        <w:rPr>
          <w:b w:val="0"/>
          <w:bCs w:val="0"/>
          <w:i/>
          <w:u w:val="none"/>
        </w:rPr>
        <w:t>Energy Payment Calculation</w:t>
      </w:r>
      <w:r>
        <w:rPr>
          <w:b w:val="0"/>
          <w:bCs w:val="0"/>
          <w:u w:val="none"/>
        </w:rPr>
        <w:t>), Section 1.2 (</w:t>
      </w:r>
      <w:r>
        <w:rPr>
          <w:b w:val="0"/>
          <w:bCs w:val="0"/>
          <w:i/>
          <w:u w:val="none"/>
        </w:rPr>
        <w:t>Monthly Variable O&amp;M (MVOM) Charges</w:t>
      </w:r>
      <w:r>
        <w:rPr>
          <w:b w:val="0"/>
          <w:bCs w:val="0"/>
          <w:u w:val="none"/>
        </w:rPr>
        <w:t>).</w:t>
      </w:r>
    </w:p>
    <w:p w:rsidRPr="00F10071" w:rsidR="00960870" w:rsidP="00DE7CC7" w:rsidRDefault="00960870" w14:paraId="73989B03" w14:textId="16320A46">
      <w:pPr>
        <w:pStyle w:val="Heading3"/>
      </w:pPr>
      <w:r>
        <w:t>MW</w:t>
      </w:r>
      <w:r>
        <w:rPr>
          <w:u w:val="none"/>
        </w:rPr>
        <w:t xml:space="preserve">: </w:t>
      </w:r>
      <w:r>
        <w:rPr>
          <w:b w:val="0"/>
          <w:bCs w:val="0"/>
          <w:u w:val="none"/>
        </w:rPr>
        <w:t>Megawatt (AC).</w:t>
      </w:r>
    </w:p>
    <w:p w:rsidRPr="00D72DA5" w:rsidR="00960870" w:rsidP="00DE7CC7" w:rsidRDefault="00960870" w14:paraId="407FADE9" w14:textId="2A2573CB">
      <w:pPr>
        <w:pStyle w:val="Heading3"/>
        <w:rPr>
          <w:b w:val="0"/>
          <w:bCs w:val="0"/>
        </w:rPr>
      </w:pPr>
      <w:r>
        <w:t>MWh</w:t>
      </w:r>
      <w:r>
        <w:rPr>
          <w:u w:val="none"/>
        </w:rPr>
        <w:t xml:space="preserve">: </w:t>
      </w:r>
      <w:r>
        <w:rPr>
          <w:b w:val="0"/>
          <w:bCs w:val="0"/>
          <w:u w:val="none"/>
        </w:rPr>
        <w:t>Megawatt-hour(s) (AC).</w:t>
      </w:r>
    </w:p>
    <w:p w:rsidRPr="00F10071" w:rsidR="00960870" w:rsidP="00DE7CC7" w:rsidRDefault="00960870" w14:paraId="7D3FAC2B" w14:textId="61D742A4">
      <w:pPr>
        <w:pStyle w:val="Heading3"/>
      </w:pPr>
      <w:r>
        <w:t>Natural Gas</w:t>
      </w:r>
      <w:r>
        <w:rPr>
          <w:u w:val="none"/>
        </w:rPr>
        <w:t xml:space="preserve">: </w:t>
      </w:r>
      <w:r>
        <w:rPr>
          <w:b w:val="0"/>
          <w:bCs w:val="0"/>
          <w:u w:val="none"/>
        </w:rPr>
        <w:t>A mixture of hydrocarbon gasses that occurs with petroleum deposits, principally methane, together with varying quantities of ethane, propane, butane, or other gases, but excluding manufactured or artificial gas.</w:t>
      </w:r>
    </w:p>
    <w:p w:rsidRPr="00D72DA5" w:rsidR="00960870" w:rsidP="00DE7CC7" w:rsidRDefault="00960870" w14:paraId="0EBCD660" w14:textId="3E8647A1">
      <w:pPr>
        <w:pStyle w:val="Heading3"/>
        <w:rPr>
          <w:b w:val="0"/>
          <w:bCs w:val="0"/>
          <w:u w:val="none"/>
        </w:rPr>
      </w:pPr>
      <w:r>
        <w:t>NERC</w:t>
      </w:r>
      <w:r>
        <w:rPr>
          <w:u w:val="none"/>
        </w:rPr>
        <w:t xml:space="preserve">: </w:t>
      </w:r>
      <w:r>
        <w:rPr>
          <w:b w:val="0"/>
          <w:bCs w:val="0"/>
          <w:u w:val="none"/>
        </w:rPr>
        <w:t>The North American Electric Reliability Corporation, including any successor and subdivisions.</w:t>
      </w:r>
    </w:p>
    <w:p w:rsidRPr="00BF5DF7" w:rsidR="009C29CE" w:rsidP="00DE7CC7" w:rsidRDefault="009C29CE" w14:paraId="41C0555D" w14:textId="77777777">
      <w:pPr>
        <w:pStyle w:val="Heading3"/>
      </w:pPr>
      <w:r>
        <w:t>Network Resource</w:t>
      </w:r>
      <w:r>
        <w:rPr>
          <w:u w:val="none"/>
        </w:rPr>
        <w:t xml:space="preserve">: </w:t>
      </w:r>
      <w:r>
        <w:rPr>
          <w:b w:val="0"/>
          <w:bCs w:val="0"/>
          <w:u w:val="none"/>
        </w:rPr>
        <w:t>As defined in the Southern OATT, including any successor term.</w:t>
      </w:r>
    </w:p>
    <w:p w:rsidRPr="00D72DA5" w:rsidR="00556CC6" w:rsidP="00DE7CC7" w:rsidRDefault="00960870" w14:paraId="5138F315" w14:textId="1B581E25">
      <w:pPr>
        <w:pStyle w:val="Heading3"/>
        <w:rPr>
          <w:b w:val="0"/>
          <w:bCs w:val="0"/>
          <w:u w:val="none"/>
        </w:rPr>
      </w:pPr>
      <w:r>
        <w:t>New GHG Law</w:t>
      </w:r>
      <w:r>
        <w:rPr>
          <w:u w:val="none"/>
        </w:rPr>
        <w:t xml:space="preserve">: </w:t>
      </w:r>
      <w:r>
        <w:rPr>
          <w:b w:val="0"/>
          <w:bCs w:val="0"/>
          <w:u w:val="none"/>
        </w:rPr>
        <w:t xml:space="preserve">An applicable law enacted after the Effective Date that imposes GHG Charges as a direct result of the Facility’s generation of electric energy. </w:t>
      </w:r>
    </w:p>
    <w:p w:rsidRPr="00D72DA5" w:rsidR="00937ADD" w:rsidP="00DE7CC7" w:rsidRDefault="00960870" w14:paraId="6C4A6890" w14:textId="0DD340E9">
      <w:pPr>
        <w:pStyle w:val="Heading3"/>
        <w:rPr>
          <w:b w:val="0"/>
          <w:bCs w:val="0"/>
          <w:u w:val="none"/>
        </w:rPr>
      </w:pPr>
      <w:r>
        <w:t>Nominal Standard Base Capability</w:t>
      </w:r>
      <w:r>
        <w:rPr>
          <w:u w:val="none"/>
        </w:rPr>
        <w:t>:</w:t>
      </w:r>
      <w:r>
        <w:rPr>
          <w:b w:val="0"/>
          <w:bCs w:val="0"/>
          <w:u w:val="none"/>
        </w:rPr>
        <w:t xml:space="preserve"> The values (in MW and MWhs) stated in Exhibit A (</w:t>
      </w:r>
      <w:r>
        <w:rPr>
          <w:b w:val="0"/>
          <w:bCs w:val="0"/>
          <w:i/>
          <w:u w:val="none"/>
        </w:rPr>
        <w:t>Facility Description and Additional Details</w:t>
      </w:r>
      <w:r>
        <w:rPr>
          <w:b w:val="0"/>
          <w:bCs w:val="0"/>
          <w:u w:val="none"/>
        </w:rPr>
        <w:t>).</w:t>
      </w:r>
    </w:p>
    <w:p w:rsidR="00501312" w:rsidP="00DE7CC7" w:rsidRDefault="00501312" w14:paraId="06DDEF9D" w14:textId="4052D059">
      <w:pPr>
        <w:pStyle w:val="Heading3"/>
      </w:pPr>
      <w:r>
        <w:t>Nominal Standard Capability</w:t>
      </w:r>
      <w:r>
        <w:rPr>
          <w:u w:val="none"/>
        </w:rPr>
        <w:t xml:space="preserve">: </w:t>
      </w:r>
      <w:r>
        <w:rPr>
          <w:b w:val="0"/>
          <w:bCs w:val="0"/>
          <w:u w:val="none"/>
        </w:rPr>
        <w:t>The nameplate capacity of the Facility, stated in Exhibit A (</w:t>
      </w:r>
      <w:r>
        <w:rPr>
          <w:b w:val="0"/>
          <w:bCs w:val="0"/>
          <w:i/>
          <w:u w:val="none"/>
        </w:rPr>
        <w:t>Facility Description and Additional Details</w:t>
      </w:r>
      <w:r>
        <w:rPr>
          <w:b w:val="0"/>
          <w:bCs w:val="0"/>
          <w:u w:val="none"/>
        </w:rPr>
        <w:t>), representing the maximum output or performance under ideal conditions, which must equal the sum of the Nominal Standard Base Capability plus the Nominal Standard Supplemental Capability.</w:t>
      </w:r>
    </w:p>
    <w:p w:rsidR="002D12A6" w:rsidP="00892D83" w:rsidRDefault="00031229" w14:paraId="335DCD0F" w14:textId="4D64AE1D">
      <w:pPr>
        <w:pStyle w:val="Heading3"/>
      </w:pPr>
      <w:r>
        <w:t>Nominal Standard Supplemental Capability</w:t>
      </w:r>
      <w:r>
        <w:rPr>
          <w:u w:val="none"/>
        </w:rPr>
        <w:t xml:space="preserve">: </w:t>
      </w:r>
      <w:r>
        <w:rPr>
          <w:b w:val="0"/>
          <w:bCs w:val="0"/>
          <w:u w:val="none"/>
        </w:rPr>
        <w:t>The values (in MW and MWhs) stated in Exhibit A (</w:t>
      </w:r>
      <w:r>
        <w:rPr>
          <w:b w:val="0"/>
          <w:bCs w:val="0"/>
          <w:i/>
          <w:u w:val="none"/>
        </w:rPr>
        <w:t>Facility Description and Additional Details</w:t>
      </w:r>
      <w:r>
        <w:rPr>
          <w:b w:val="0"/>
          <w:bCs w:val="0"/>
          <w:u w:val="none"/>
        </w:rPr>
        <w:t>).</w:t>
      </w:r>
      <w:r>
        <w:rPr>
          <w:rStyle w:val="CommentReference"/>
          <w:b w:val="0"/>
          <w:bCs w:val="0"/>
          <w:sz w:val="20"/>
          <w:szCs w:val="20"/>
        </w:rPr>
        <w:t xml:space="preserve"> </w:t>
      </w:r>
    </w:p>
    <w:p w:rsidR="000D3CB4" w:rsidP="00DE7CC7" w:rsidRDefault="000D3CB4" w14:paraId="3AF36138" w14:textId="14665FC8">
      <w:pPr>
        <w:pStyle w:val="Heading3"/>
      </w:pPr>
      <w:r>
        <w:t>Nominal Winter Base Capability</w:t>
      </w:r>
      <w:r>
        <w:rPr>
          <w:u w:val="none"/>
        </w:rPr>
        <w:t xml:space="preserve">: </w:t>
      </w:r>
      <w:r>
        <w:rPr>
          <w:b w:val="0"/>
          <w:bCs w:val="0"/>
          <w:u w:val="none"/>
        </w:rPr>
        <w:t>The values (in MW and MWhs) stated in Exhibit A (</w:t>
      </w:r>
      <w:r>
        <w:rPr>
          <w:b w:val="0"/>
          <w:bCs w:val="0"/>
          <w:i/>
          <w:u w:val="none"/>
        </w:rPr>
        <w:t>Facility Description and Additional Details</w:t>
      </w:r>
      <w:r>
        <w:rPr>
          <w:b w:val="0"/>
          <w:bCs w:val="0"/>
          <w:u w:val="none"/>
        </w:rPr>
        <w:t>).</w:t>
      </w:r>
    </w:p>
    <w:p w:rsidR="002C7E43" w:rsidP="00DE7CC7" w:rsidRDefault="002C7E43" w14:paraId="160EF498" w14:textId="49B1B63E">
      <w:pPr>
        <w:pStyle w:val="Heading3"/>
      </w:pPr>
      <w:r>
        <w:t>Nominal Winter Capability</w:t>
      </w:r>
      <w:r>
        <w:rPr>
          <w:u w:val="none"/>
        </w:rPr>
        <w:t xml:space="preserve">: </w:t>
      </w:r>
      <w:r>
        <w:rPr>
          <w:b w:val="0"/>
          <w:bCs w:val="0"/>
          <w:u w:val="none"/>
        </w:rPr>
        <w:t>The sum of the Nominal Winter Base Capability plus the Nominal Winter Supplemental Capability.</w:t>
      </w:r>
    </w:p>
    <w:p w:rsidRPr="00D16185" w:rsidR="00A445ED" w:rsidP="00DE7CC7" w:rsidRDefault="000D3CB4" w14:paraId="2DFA25FF" w14:textId="1E1F62AD">
      <w:pPr>
        <w:pStyle w:val="Heading3"/>
        <w:rPr>
          <w:b w:val="0"/>
          <w:bCs w:val="0"/>
          <w:u w:val="none"/>
        </w:rPr>
      </w:pPr>
      <w:r>
        <w:t>Nominal Winter Supplemental Capability</w:t>
      </w:r>
      <w:r>
        <w:rPr>
          <w:u w:val="none"/>
        </w:rPr>
        <w:t xml:space="preserve">: </w:t>
      </w:r>
      <w:r>
        <w:rPr>
          <w:b w:val="0"/>
          <w:bCs w:val="0"/>
          <w:u w:val="none"/>
        </w:rPr>
        <w:t>The values (in MW and MWhs) stated in Exhibit A (</w:t>
      </w:r>
      <w:r>
        <w:rPr>
          <w:b w:val="0"/>
          <w:bCs w:val="0"/>
          <w:i/>
          <w:u w:val="none"/>
        </w:rPr>
        <w:t>Facility Description and Additional Details</w:t>
      </w:r>
      <w:r>
        <w:rPr>
          <w:b w:val="0"/>
          <w:bCs w:val="0"/>
          <w:u w:val="none"/>
        </w:rPr>
        <w:t>).</w:t>
      </w:r>
      <w:r>
        <w:rPr>
          <w:rStyle w:val="CommentReference"/>
          <w:b w:val="0"/>
          <w:bCs w:val="0"/>
          <w:u w:val="none"/>
        </w:rPr>
        <w:t xml:space="preserve"> </w:t>
      </w:r>
    </w:p>
    <w:p w:rsidRPr="00D16185" w:rsidR="00773921" w:rsidP="00DE7CC7" w:rsidRDefault="00773921" w14:paraId="286B980B" w14:textId="77777777">
      <w:pPr>
        <w:pStyle w:val="Heading3"/>
        <w:rPr>
          <w:b w:val="0"/>
          <w:bCs w:val="0"/>
          <w:u w:val="none"/>
        </w:rPr>
      </w:pPr>
      <w:r>
        <w:t>Non-Defaulting Party</w:t>
      </w:r>
      <w:r>
        <w:rPr>
          <w:u w:val="none"/>
        </w:rPr>
        <w:t>:</w:t>
      </w:r>
      <w:r>
        <w:rPr>
          <w:b w:val="0"/>
          <w:bCs w:val="0"/>
          <w:u w:val="none"/>
        </w:rPr>
        <w:t xml:space="preserve"> Defined in Section 16.3.1 (</w:t>
      </w:r>
      <w:r>
        <w:rPr>
          <w:b w:val="0"/>
          <w:bCs w:val="0"/>
          <w:i/>
          <w:u w:val="none"/>
        </w:rPr>
        <w:t>Remedies for Event of Default</w:t>
      </w:r>
      <w:r>
        <w:rPr>
          <w:b w:val="0"/>
          <w:bCs w:val="0"/>
          <w:u w:val="none"/>
        </w:rPr>
        <w:t>). </w:t>
      </w:r>
    </w:p>
    <w:p w:rsidRPr="00D16185" w:rsidR="00773921" w:rsidP="00DE7CC7" w:rsidRDefault="00773921" w14:paraId="42B493A5" w14:textId="77777777">
      <w:pPr>
        <w:pStyle w:val="Heading3"/>
        <w:rPr>
          <w:b w:val="0"/>
          <w:bCs w:val="0"/>
        </w:rPr>
      </w:pPr>
      <w:r>
        <w:t>Notice of Dispute</w:t>
      </w:r>
      <w:r>
        <w:rPr>
          <w:u w:val="none"/>
        </w:rPr>
        <w:t xml:space="preserve">: </w:t>
      </w:r>
      <w:r>
        <w:rPr>
          <w:b w:val="0"/>
          <w:bCs w:val="0"/>
          <w:u w:val="none"/>
        </w:rPr>
        <w:t>Defined in Section 19.1 (</w:t>
      </w:r>
      <w:r>
        <w:rPr>
          <w:b w:val="0"/>
          <w:bCs w:val="0"/>
          <w:i/>
          <w:u w:val="none"/>
        </w:rPr>
        <w:t>Notice of Dispute; Dispute Resolution Process</w:t>
      </w:r>
      <w:r>
        <w:rPr>
          <w:b w:val="0"/>
          <w:bCs w:val="0"/>
          <w:u w:val="none"/>
        </w:rPr>
        <w:t>). </w:t>
      </w:r>
    </w:p>
    <w:p w:rsidRPr="00773921" w:rsidR="00773921" w:rsidP="00DE7CC7" w:rsidRDefault="00773921" w14:paraId="2490FCE1" w14:textId="2640B869">
      <w:pPr>
        <w:pStyle w:val="Heading3"/>
      </w:pPr>
      <w:r>
        <w:t>NOV</w:t>
      </w:r>
      <w:r>
        <w:rPr>
          <w:u w:val="none"/>
        </w:rPr>
        <w:t xml:space="preserve">: </w:t>
      </w:r>
      <w:r>
        <w:rPr>
          <w:b w:val="0"/>
          <w:bCs w:val="0"/>
          <w:u w:val="none"/>
        </w:rPr>
        <w:t>Defined in Section 17.7.1 (</w:t>
      </w:r>
      <w:r>
        <w:rPr>
          <w:b w:val="0"/>
          <w:bCs w:val="0"/>
          <w:i/>
          <w:u w:val="none"/>
        </w:rPr>
        <w:t>Notices of Violations</w:t>
      </w:r>
      <w:r>
        <w:rPr>
          <w:b w:val="0"/>
          <w:bCs w:val="0"/>
          <w:u w:val="none"/>
        </w:rPr>
        <w:t>).</w:t>
      </w:r>
    </w:p>
    <w:p w:rsidRPr="00BF5DF7" w:rsidR="00773921" w:rsidP="00DE7CC7" w:rsidRDefault="00773921" w14:paraId="65CA4AFF" w14:textId="1BEF4FDD">
      <w:pPr>
        <w:pStyle w:val="Heading3"/>
      </w:pPr>
      <w:r>
        <w:t>NOV Remedy Plan</w:t>
      </w:r>
      <w:r>
        <w:rPr>
          <w:u w:val="none"/>
        </w:rPr>
        <w:t xml:space="preserve">: </w:t>
      </w:r>
      <w:r>
        <w:rPr>
          <w:b w:val="0"/>
          <w:bCs w:val="0"/>
          <w:u w:val="none"/>
        </w:rPr>
        <w:t>Defined in Section 17.7.2 (</w:t>
      </w:r>
      <w:r>
        <w:rPr>
          <w:b w:val="0"/>
          <w:bCs w:val="0"/>
          <w:i/>
          <w:u w:val="none"/>
        </w:rPr>
        <w:t>NOV Remedy Plan</w:t>
      </w:r>
      <w:r>
        <w:rPr>
          <w:b w:val="0"/>
          <w:bCs w:val="0"/>
          <w:u w:val="none"/>
        </w:rPr>
        <w:t>).</w:t>
      </w:r>
      <w:r>
        <w:rPr>
          <w:u w:val="none"/>
        </w:rPr>
        <w:t> </w:t>
      </w:r>
    </w:p>
    <w:p w:rsidRPr="00BF5DF7" w:rsidR="00913791" w:rsidP="00DE7CC7" w:rsidRDefault="00913791" w14:paraId="3541FDE0" w14:textId="755EC8B8">
      <w:pPr>
        <w:pStyle w:val="Heading3"/>
      </w:pPr>
      <w:r>
        <w:t>NOx</w:t>
      </w:r>
      <w:r>
        <w:rPr>
          <w:u w:val="none"/>
        </w:rPr>
        <w:t xml:space="preserve">: </w:t>
      </w:r>
      <w:r>
        <w:rPr>
          <w:b w:val="0"/>
          <w:bCs w:val="0"/>
          <w:u w:val="none"/>
        </w:rPr>
        <w:t>Nitrogen oxides.</w:t>
      </w:r>
    </w:p>
    <w:p w:rsidRPr="00D16185" w:rsidR="00960870" w:rsidP="00DE7CC7" w:rsidRDefault="00960870" w14:paraId="2B21629D" w14:textId="4919FD85">
      <w:pPr>
        <w:pStyle w:val="Heading3"/>
        <w:rPr>
          <w:b w:val="0"/>
          <w:bCs w:val="0"/>
        </w:rPr>
      </w:pPr>
      <w:r>
        <w:lastRenderedPageBreak/>
        <w:t>NOx Allowances</w:t>
      </w:r>
      <w:r>
        <w:rPr>
          <w:u w:val="none"/>
        </w:rPr>
        <w:t xml:space="preserve">: </w:t>
      </w:r>
      <w:r>
        <w:rPr>
          <w:b w:val="0"/>
          <w:bCs w:val="0"/>
          <w:u w:val="none"/>
        </w:rPr>
        <w:t>Allowances for NOx Emissions that are allocated or otherwise granted by any Governmental Authority or in accordance with any applicable law or Consent including through any type of state or federal set-aside program, for the calendar years covered, in whole or in part, by the Annual Periods.</w:t>
      </w:r>
    </w:p>
    <w:p w:rsidRPr="00BF5DF7" w:rsidR="00960870" w:rsidP="00DE7CC7" w:rsidRDefault="00960870" w14:paraId="3AD0E78B" w14:textId="3B3E2FDE">
      <w:pPr>
        <w:pStyle w:val="Heading3"/>
      </w:pPr>
      <w:r>
        <w:t>NOx Emissions</w:t>
      </w:r>
      <w:r>
        <w:rPr>
          <w:u w:val="none"/>
        </w:rPr>
        <w:t xml:space="preserve">: </w:t>
      </w:r>
      <w:r>
        <w:rPr>
          <w:b w:val="0"/>
          <w:bCs w:val="0"/>
          <w:u w:val="none"/>
        </w:rPr>
        <w:t>Emissions of NOx.</w:t>
      </w:r>
    </w:p>
    <w:p w:rsidRPr="00BF5DF7" w:rsidR="00D44A29" w:rsidP="00DE7CC7" w:rsidRDefault="00A041F5" w14:paraId="5B0B2FC9" w14:textId="6FA658F2">
      <w:pPr>
        <w:pStyle w:val="Heading3"/>
        <w:rPr>
          <w:rStyle w:val="normaltextrun"/>
        </w:rPr>
      </w:pPr>
      <w:r>
        <w:rPr>
          <w:rStyle w:val="normaltextrun"/>
        </w:rPr>
        <w:t>OASIS</w:t>
      </w:r>
      <w:r>
        <w:rPr>
          <w:rStyle w:val="normaltextrun"/>
          <w:u w:val="none"/>
        </w:rPr>
        <w:t xml:space="preserve">: </w:t>
      </w:r>
      <w:r>
        <w:rPr>
          <w:rStyle w:val="normaltextrun"/>
          <w:b w:val="0"/>
          <w:bCs w:val="0"/>
          <w:u w:val="none"/>
        </w:rPr>
        <w:t xml:space="preserve">Southern Company’s Open Access Same-Time Information System web site (located at </w:t>
      </w:r>
      <w:hyperlink w:history="1" r:id="rId20">
        <w:r>
          <w:rPr>
            <w:rStyle w:val="Hyperlink"/>
            <w:b w:val="0"/>
            <w:bCs w:val="0"/>
            <w:color w:val="auto"/>
            <w:u w:val="none"/>
          </w:rPr>
          <w:t>https://www.oasis.oati.com/SOCO</w:t>
        </w:r>
      </w:hyperlink>
      <w:r>
        <w:rPr>
          <w:rStyle w:val="normaltextrun"/>
          <w:b w:val="0"/>
          <w:bCs w:val="0"/>
          <w:u w:val="none"/>
        </w:rPr>
        <w:t>).</w:t>
      </w:r>
    </w:p>
    <w:p w:rsidRPr="00BF5DF7" w:rsidR="00960870" w:rsidP="00DE7CC7" w:rsidRDefault="00960870" w14:paraId="374A2EF5" w14:textId="320A6097">
      <w:pPr>
        <w:pStyle w:val="Heading3"/>
      </w:pPr>
      <w:r>
        <w:t>Operating Committee</w:t>
      </w:r>
      <w:r>
        <w:rPr>
          <w:u w:val="none"/>
        </w:rPr>
        <w:t xml:space="preserve">: </w:t>
      </w:r>
      <w:r>
        <w:rPr>
          <w:b w:val="0"/>
          <w:bCs w:val="0"/>
          <w:u w:val="none"/>
        </w:rPr>
        <w:t>The committee established in accordance with Section 10.7 (</w:t>
      </w:r>
      <w:r>
        <w:rPr>
          <w:b w:val="0"/>
          <w:bCs w:val="0"/>
          <w:i/>
          <w:u w:val="none"/>
        </w:rPr>
        <w:t>Operating Committee</w:t>
      </w:r>
      <w:r>
        <w:rPr>
          <w:b w:val="0"/>
          <w:bCs w:val="0"/>
          <w:u w:val="none"/>
        </w:rPr>
        <w:t>).</w:t>
      </w:r>
    </w:p>
    <w:p w:rsidRPr="00BF5DF7" w:rsidR="00960870" w:rsidP="00DE7CC7" w:rsidRDefault="00960870" w14:paraId="33F84DBD" w14:textId="7D41A7BA">
      <w:pPr>
        <w:pStyle w:val="Heading3"/>
      </w:pPr>
      <w:r>
        <w:t>Operating Procedures</w:t>
      </w:r>
      <w:r>
        <w:rPr>
          <w:u w:val="none"/>
        </w:rPr>
        <w:t xml:space="preserve">: </w:t>
      </w:r>
      <w:r>
        <w:rPr>
          <w:b w:val="0"/>
          <w:bCs w:val="0"/>
          <w:u w:val="none"/>
        </w:rPr>
        <w:t>Procedures developed by the Parties in accordance with Section 10.1.2 (</w:t>
      </w:r>
      <w:r>
        <w:rPr>
          <w:b w:val="0"/>
          <w:bCs w:val="0"/>
          <w:i/>
          <w:u w:val="none"/>
        </w:rPr>
        <w:t>Written</w:t>
      </w:r>
      <w:r>
        <w:rPr>
          <w:b w:val="0"/>
          <w:bCs w:val="0"/>
          <w:u w:val="none"/>
        </w:rPr>
        <w:t xml:space="preserve"> </w:t>
      </w:r>
      <w:r>
        <w:rPr>
          <w:b w:val="0"/>
          <w:bCs w:val="0"/>
          <w:i/>
          <w:u w:val="none"/>
        </w:rPr>
        <w:t>Operating Procedures</w:t>
      </w:r>
      <w:r>
        <w:rPr>
          <w:b w:val="0"/>
          <w:bCs w:val="0"/>
          <w:u w:val="none"/>
        </w:rPr>
        <w:t>).</w:t>
      </w:r>
    </w:p>
    <w:p w:rsidR="00960870" w:rsidP="00DE7CC7" w:rsidRDefault="00960870" w14:paraId="57CB123E" w14:textId="1838BD25">
      <w:pPr>
        <w:pStyle w:val="Heading3"/>
        <w:rPr>
          <w:b w:val="0"/>
          <w:bCs w:val="0"/>
          <w:u w:val="none"/>
        </w:rPr>
      </w:pPr>
      <w:r>
        <w:t>Operating Representatives</w:t>
      </w:r>
      <w:r>
        <w:rPr>
          <w:u w:val="none"/>
        </w:rPr>
        <w:t xml:space="preserve">: </w:t>
      </w:r>
      <w:r>
        <w:rPr>
          <w:b w:val="0"/>
          <w:bCs w:val="0"/>
          <w:u w:val="none"/>
        </w:rPr>
        <w:t>Those individuals appointed by each of the Parties to the Operating Committee in accordance with Section 10.7 (</w:t>
      </w:r>
      <w:r>
        <w:rPr>
          <w:b w:val="0"/>
          <w:bCs w:val="0"/>
          <w:i/>
          <w:u w:val="none"/>
        </w:rPr>
        <w:t>Operating Committee</w:t>
      </w:r>
      <w:r>
        <w:rPr>
          <w:b w:val="0"/>
          <w:bCs w:val="0"/>
          <w:u w:val="none"/>
        </w:rPr>
        <w:t>).</w:t>
      </w:r>
    </w:p>
    <w:p w:rsidRPr="00BF5DF7" w:rsidR="002C6DFA" w:rsidP="00DE7CC7" w:rsidRDefault="005C52EB" w14:paraId="1584CDDC" w14:textId="5157FD64">
      <w:pPr>
        <w:pStyle w:val="Heading3"/>
      </w:pPr>
      <w:r w:rsidRPr="00341121">
        <w:t>Operational Alternatives</w:t>
      </w:r>
      <w:r w:rsidRPr="005C52EB">
        <w:rPr>
          <w:u w:val="none"/>
        </w:rPr>
        <w:t>:</w:t>
      </w:r>
      <w:r w:rsidRPr="005C52EB">
        <w:rPr>
          <w:b w:val="0"/>
          <w:bCs w:val="0"/>
          <w:u w:val="none"/>
        </w:rPr>
        <w:t xml:space="preserve"> Proposed changes to the operation of the Facility that avoid or reduce Change of Law Expenditures.</w:t>
      </w:r>
    </w:p>
    <w:p w:rsidRPr="00D16185" w:rsidR="00960870" w:rsidP="00DE7CC7" w:rsidRDefault="006E5958" w14:paraId="04D4307A" w14:textId="2C998404">
      <w:pPr>
        <w:pStyle w:val="Heading3"/>
        <w:rPr>
          <w:u w:val="none"/>
        </w:rPr>
      </w:pPr>
      <w:r>
        <w:t>Party or Parties</w:t>
      </w:r>
      <w:r>
        <w:rPr>
          <w:u w:val="none"/>
        </w:rPr>
        <w:t xml:space="preserve">: </w:t>
      </w:r>
      <w:r>
        <w:rPr>
          <w:b w:val="0"/>
          <w:bCs w:val="0"/>
          <w:u w:val="none"/>
        </w:rPr>
        <w:t>Either GPC or Seller or both, as applicable.</w:t>
      </w:r>
    </w:p>
    <w:p w:rsidRPr="00BF5DF7" w:rsidR="003C4FD9" w:rsidP="00DE7CC7" w:rsidRDefault="003C4FD9" w14:paraId="038D3147" w14:textId="562DB03F">
      <w:pPr>
        <w:pStyle w:val="Heading3"/>
      </w:pPr>
      <w:r>
        <w:t>Party-Appointed Arbitrators</w:t>
      </w:r>
      <w:r>
        <w:rPr>
          <w:u w:val="none"/>
        </w:rPr>
        <w:t xml:space="preserve">: </w:t>
      </w:r>
      <w:r>
        <w:rPr>
          <w:b w:val="0"/>
          <w:bCs w:val="0"/>
          <w:u w:val="none"/>
        </w:rPr>
        <w:t>Defined in Section 19.3.2(i) (</w:t>
      </w:r>
      <w:r>
        <w:rPr>
          <w:b w:val="0"/>
          <w:bCs w:val="0"/>
          <w:i/>
          <w:iCs/>
          <w:u w:val="none"/>
        </w:rPr>
        <w:t>Initiation of Arbitration; Selection of Party-Appointed Arbitrators</w:t>
      </w:r>
      <w:r>
        <w:rPr>
          <w:b w:val="0"/>
          <w:bCs w:val="0"/>
          <w:u w:val="none"/>
        </w:rPr>
        <w:t>).</w:t>
      </w:r>
      <w:r>
        <w:rPr>
          <w:u w:val="none"/>
        </w:rPr>
        <w:t> </w:t>
      </w:r>
    </w:p>
    <w:p w:rsidRPr="00D16185" w:rsidR="0096127D" w:rsidP="00DE7CC7" w:rsidRDefault="0096127D" w14:paraId="508EADED" w14:textId="5981020D">
      <w:pPr>
        <w:pStyle w:val="Heading3"/>
        <w:rPr>
          <w:b w:val="0"/>
          <w:bCs w:val="0"/>
          <w:u w:val="none"/>
        </w:rPr>
      </w:pPr>
      <w:r>
        <w:t>Performance Security</w:t>
      </w:r>
      <w:r>
        <w:rPr>
          <w:u w:val="none"/>
        </w:rPr>
        <w:t xml:space="preserve">: </w:t>
      </w:r>
      <w:r>
        <w:rPr>
          <w:b w:val="0"/>
          <w:bCs w:val="0"/>
          <w:u w:val="none"/>
        </w:rPr>
        <w:t>Security in the form of Eligible Collateral that Seller must deliver to GPC to secure Seller’s due performance of Seller’s PPA obligations, as required under Section 6.1 (</w:t>
      </w:r>
      <w:r>
        <w:rPr>
          <w:b w:val="0"/>
          <w:bCs w:val="0"/>
          <w:i/>
          <w:u w:val="none"/>
        </w:rPr>
        <w:t>Performance Security</w:t>
      </w:r>
      <w:r>
        <w:rPr>
          <w:b w:val="0"/>
          <w:bCs w:val="0"/>
          <w:u w:val="none"/>
        </w:rPr>
        <w:t xml:space="preserve">) and </w:t>
      </w:r>
      <w:r w:rsidR="002150BA">
        <w:rPr>
          <w:b w:val="0"/>
          <w:bCs w:val="0"/>
          <w:u w:val="none"/>
        </w:rPr>
        <w:t>Part 1 (</w:t>
      </w:r>
      <w:r w:rsidRPr="008B13FF" w:rsidR="002150BA">
        <w:rPr>
          <w:b w:val="0"/>
          <w:i/>
          <w:u w:val="none"/>
        </w:rPr>
        <w:t>Performance Security</w:t>
      </w:r>
      <w:r w:rsidR="002150BA">
        <w:rPr>
          <w:b w:val="0"/>
          <w:bCs w:val="0"/>
          <w:u w:val="none"/>
        </w:rPr>
        <w:t xml:space="preserve">) of </w:t>
      </w:r>
      <w:r>
        <w:rPr>
          <w:b w:val="0"/>
          <w:bCs w:val="0"/>
          <w:u w:val="none"/>
        </w:rPr>
        <w:t>Exhibit A-2 (</w:t>
      </w:r>
      <w:r>
        <w:rPr>
          <w:b w:val="0"/>
          <w:bCs w:val="0"/>
          <w:i/>
          <w:u w:val="none"/>
        </w:rPr>
        <w:t>Performance Security and Liquidated Damages</w:t>
      </w:r>
      <w:r>
        <w:rPr>
          <w:b w:val="0"/>
          <w:bCs w:val="0"/>
          <w:u w:val="none"/>
        </w:rPr>
        <w:t>).</w:t>
      </w:r>
    </w:p>
    <w:p w:rsidRPr="00BF5DF7" w:rsidR="00960870" w:rsidP="00DE7CC7" w:rsidRDefault="00960870" w14:paraId="51CC365D" w14:textId="07692B7B">
      <w:pPr>
        <w:pStyle w:val="Heading3"/>
      </w:pPr>
      <w:r>
        <w:t>Performance Test</w:t>
      </w:r>
      <w:r>
        <w:rPr>
          <w:u w:val="none"/>
        </w:rPr>
        <w:t xml:space="preserve">: </w:t>
      </w:r>
      <w:r>
        <w:rPr>
          <w:b w:val="0"/>
          <w:bCs w:val="0"/>
          <w:u w:val="none"/>
        </w:rPr>
        <w:t>A performance test conducted in accordance with the procedures set forth in Exhibit E (</w:t>
      </w:r>
      <w:r>
        <w:rPr>
          <w:b w:val="0"/>
          <w:bCs w:val="0"/>
          <w:i/>
          <w:u w:val="none"/>
        </w:rPr>
        <w:t>Performance Testing Procedures</w:t>
      </w:r>
      <w:r>
        <w:rPr>
          <w:b w:val="0"/>
          <w:bCs w:val="0"/>
          <w:u w:val="none"/>
        </w:rPr>
        <w:t>). Performance Testing has a meaning correlative to that of Performance Test.</w:t>
      </w:r>
    </w:p>
    <w:p w:rsidRPr="00BF5DF7" w:rsidR="00960870" w:rsidP="00DE7CC7" w:rsidRDefault="00960870" w14:paraId="224E818D" w14:textId="18A41663">
      <w:pPr>
        <w:pStyle w:val="Heading3"/>
      </w:pPr>
      <w:r>
        <w:t>Person</w:t>
      </w:r>
      <w:r>
        <w:rPr>
          <w:u w:val="none"/>
        </w:rPr>
        <w:t xml:space="preserve">: </w:t>
      </w:r>
      <w:r>
        <w:rPr>
          <w:b w:val="0"/>
          <w:bCs w:val="0"/>
          <w:u w:val="none"/>
        </w:rPr>
        <w:t>Any natural person, corporation, limited liability company, general partnership, limited partnership, proprietorship, other business organization, trust, union, association, or Governmental Authority.</w:t>
      </w:r>
    </w:p>
    <w:p w:rsidRPr="00D16185" w:rsidR="00C93284" w:rsidP="00DE7CC7" w:rsidRDefault="00C93284" w14:paraId="7060FFDD" w14:textId="456B5937">
      <w:pPr>
        <w:pStyle w:val="Heading3"/>
        <w:rPr>
          <w:rStyle w:val="eop"/>
          <w:b w:val="0"/>
          <w:bCs w:val="0"/>
          <w:u w:val="none"/>
          <w:shd w:val="clear" w:color="auto" w:fill="FFFFFF"/>
        </w:rPr>
      </w:pPr>
      <w:r>
        <w:rPr>
          <w:rStyle w:val="normaltextrun"/>
          <w:shd w:val="clear" w:color="auto" w:fill="FFFFFF"/>
        </w:rPr>
        <w:t>Point of Delivery (POD</w:t>
      </w:r>
      <w:r>
        <w:rPr>
          <w:rStyle w:val="normaltextrun"/>
          <w:u w:val="none"/>
          <w:shd w:val="clear" w:color="auto" w:fill="FFFFFF"/>
        </w:rPr>
        <w:t xml:space="preserve">): </w:t>
      </w:r>
      <w:r>
        <w:rPr>
          <w:rStyle w:val="normaltextrun"/>
          <w:b w:val="0"/>
          <w:bCs w:val="0"/>
          <w:u w:val="none"/>
          <w:shd w:val="clear" w:color="auto" w:fill="FFFFFF"/>
        </w:rPr>
        <w:t>Either: (i) the POI or Alternate Delivery Point, if the Facility or Alternate Resource (in accordance with Section 4.1.4 (</w:t>
      </w:r>
      <w:r>
        <w:rPr>
          <w:rStyle w:val="normaltextrun"/>
          <w:b w:val="0"/>
          <w:bCs w:val="0"/>
          <w:i/>
          <w:u w:val="none"/>
          <w:shd w:val="clear" w:color="auto" w:fill="FFFFFF"/>
        </w:rPr>
        <w:t>Unavailability</w:t>
      </w:r>
      <w:r>
        <w:rPr>
          <w:rStyle w:val="normaltextrun"/>
          <w:b w:val="0"/>
          <w:bCs w:val="0"/>
          <w:u w:val="none"/>
          <w:shd w:val="clear" w:color="auto" w:fill="FFFFFF"/>
        </w:rPr>
        <w:t xml:space="preserve">)) is interconnected to the STT; or (ii) the </w:t>
      </w:r>
      <w:r>
        <w:rPr>
          <w:rStyle w:val="normaltextrun"/>
          <w:b w:val="0"/>
          <w:bCs w:val="0"/>
          <w:u w:val="none"/>
        </w:rPr>
        <w:t xml:space="preserve">selected </w:t>
      </w:r>
      <w:r>
        <w:rPr>
          <w:rStyle w:val="normaltextrun"/>
          <w:b w:val="0"/>
          <w:bCs w:val="0"/>
          <w:u w:val="none"/>
          <w:shd w:val="clear" w:color="auto" w:fill="FFFFFF"/>
        </w:rPr>
        <w:t>Southern Transmission Interface, if the Facility or Alternate Resource is interconnected to an Electric System outside the SBAA.</w:t>
      </w:r>
      <w:r>
        <w:rPr>
          <w:rStyle w:val="eop"/>
          <w:b w:val="0"/>
          <w:bCs w:val="0"/>
          <w:u w:val="none"/>
          <w:shd w:val="clear" w:color="auto" w:fill="FFFFFF"/>
        </w:rPr>
        <w:t> </w:t>
      </w:r>
      <w:r>
        <w:rPr>
          <w:b w:val="0"/>
          <w:bCs w:val="0"/>
          <w:u w:val="none"/>
        </w:rPr>
        <w:t>For a Facility interconnected to an Electric System outside the SBAA, the selected Southern Transmission Interface is identified in Exhibit A (</w:t>
      </w:r>
      <w:r>
        <w:rPr>
          <w:b w:val="0"/>
          <w:bCs w:val="0"/>
          <w:i/>
          <w:iCs/>
          <w:u w:val="none"/>
        </w:rPr>
        <w:t>Facility Description and Additional Details</w:t>
      </w:r>
      <w:r>
        <w:rPr>
          <w:b w:val="0"/>
          <w:bCs w:val="0"/>
          <w:u w:val="none"/>
        </w:rPr>
        <w:t xml:space="preserve">). </w:t>
      </w:r>
    </w:p>
    <w:p w:rsidRPr="00BF5DF7" w:rsidR="00960870" w:rsidP="00DE7CC7" w:rsidRDefault="00960870" w14:paraId="38CCCA0D" w14:textId="04611203">
      <w:pPr>
        <w:pStyle w:val="Heading3"/>
      </w:pPr>
      <w:r>
        <w:t>Point of Interconnection (POI)</w:t>
      </w:r>
      <w:r>
        <w:rPr>
          <w:u w:val="none"/>
        </w:rPr>
        <w:t xml:space="preserve">: </w:t>
      </w:r>
      <w:r>
        <w:rPr>
          <w:b w:val="0"/>
          <w:bCs w:val="0"/>
          <w:u w:val="none"/>
        </w:rPr>
        <w:t>The point at which the Facility is interconnected to the Electric System, as defined in the IA.</w:t>
      </w:r>
    </w:p>
    <w:p w:rsidRPr="00D16185" w:rsidR="00D82369" w:rsidP="00DE7CC7" w:rsidRDefault="00D82369" w14:paraId="1884E4EF" w14:textId="1C0AC3EC">
      <w:pPr>
        <w:pStyle w:val="Heading3"/>
        <w:rPr>
          <w:rStyle w:val="eop"/>
          <w:u w:val="none"/>
          <w:shd w:val="clear" w:color="auto" w:fill="FFFFFF"/>
        </w:rPr>
      </w:pPr>
      <w:r>
        <w:rPr>
          <w:rStyle w:val="eop"/>
          <w:shd w:val="clear" w:color="auto" w:fill="FFFFFF"/>
        </w:rPr>
        <w:t>PPA</w:t>
      </w:r>
      <w:r>
        <w:rPr>
          <w:rStyle w:val="eop"/>
          <w:u w:val="none"/>
          <w:shd w:val="clear" w:color="auto" w:fill="FFFFFF"/>
        </w:rPr>
        <w:t xml:space="preserve">: </w:t>
      </w:r>
      <w:r>
        <w:rPr>
          <w:rStyle w:val="eop"/>
          <w:b w:val="0"/>
          <w:bCs w:val="0"/>
          <w:u w:val="none"/>
          <w:shd w:val="clear" w:color="auto" w:fill="FFFFFF"/>
        </w:rPr>
        <w:t>This Power Purchase Agreement for Firm Capacity, Firm Energy, and Ancillary Services from a Combined Cycle for 2026 All-Source Capacity Request for Proposals for Need Years 2032</w:t>
      </w:r>
      <w:r>
        <w:rPr>
          <w:b w:val="0"/>
          <w:u w:val="none"/>
        </w:rPr>
        <w:t>–</w:t>
      </w:r>
      <w:r>
        <w:rPr>
          <w:rStyle w:val="eop"/>
          <w:b w:val="0"/>
          <w:bCs w:val="0"/>
          <w:u w:val="none"/>
          <w:shd w:val="clear" w:color="auto" w:fill="FFFFFF"/>
        </w:rPr>
        <w:t>2033 at the Facility between GPC and Seller.</w:t>
      </w:r>
    </w:p>
    <w:p w:rsidRPr="00BF5DF7" w:rsidR="00960870" w:rsidP="00DE7CC7" w:rsidRDefault="00960870" w14:paraId="237027AC" w14:textId="5614BD46">
      <w:pPr>
        <w:pStyle w:val="Heading3"/>
      </w:pPr>
      <w:r>
        <w:t>Primary Beneficiary</w:t>
      </w:r>
      <w:r>
        <w:rPr>
          <w:u w:val="none"/>
        </w:rPr>
        <w:t xml:space="preserve">: </w:t>
      </w:r>
      <w:r>
        <w:rPr>
          <w:b w:val="0"/>
          <w:bCs w:val="0"/>
          <w:u w:val="none"/>
        </w:rPr>
        <w:t>As defined in FASB ASC Topic 810 (</w:t>
      </w:r>
      <w:r>
        <w:rPr>
          <w:b w:val="0"/>
          <w:bCs w:val="0"/>
          <w:i/>
          <w:u w:val="none"/>
        </w:rPr>
        <w:t>Consolidation</w:t>
      </w:r>
      <w:r>
        <w:rPr>
          <w:b w:val="0"/>
          <w:bCs w:val="0"/>
          <w:u w:val="none"/>
        </w:rPr>
        <w:t>), as issued and modified from time to time by FASB.</w:t>
      </w:r>
      <w:r>
        <w:t xml:space="preserve">  </w:t>
      </w:r>
    </w:p>
    <w:p w:rsidRPr="00D16185" w:rsidR="00960870" w:rsidP="00DE7CC7" w:rsidRDefault="00960870" w14:paraId="676B5DFE" w14:textId="07C1E6F6">
      <w:pPr>
        <w:pStyle w:val="Heading3"/>
        <w:rPr>
          <w:b w:val="0"/>
          <w:bCs w:val="0"/>
          <w:u w:val="none"/>
        </w:rPr>
      </w:pPr>
      <w:r>
        <w:t>Project</w:t>
      </w:r>
      <w:r>
        <w:rPr>
          <w:u w:val="none"/>
        </w:rPr>
        <w:t xml:space="preserve">: </w:t>
      </w:r>
      <w:r>
        <w:rPr>
          <w:b w:val="0"/>
          <w:bCs w:val="0"/>
          <w:u w:val="none"/>
        </w:rPr>
        <w:t>The design, engineering, construction, testing, and commissioning of the Facility and, as applicable, the ownership, operation, management, and maintenance of the Facility, all of which being reasonably expected to enable Seller to fulfill its obligations under this PPA.</w:t>
      </w:r>
    </w:p>
    <w:p w:rsidRPr="00D16185" w:rsidR="003C4FD9" w:rsidP="00DE7CC7" w:rsidRDefault="003C4FD9" w14:paraId="4C2E3AE7" w14:textId="061DA3F6">
      <w:pPr>
        <w:pStyle w:val="Heading3"/>
        <w:rPr>
          <w:b w:val="0"/>
          <w:bCs w:val="0"/>
          <w:u w:val="none"/>
        </w:rPr>
      </w:pPr>
      <w:r>
        <w:t>Proposed Resolutions</w:t>
      </w:r>
      <w:r>
        <w:rPr>
          <w:u w:val="none"/>
        </w:rPr>
        <w:t xml:space="preserve">: </w:t>
      </w:r>
      <w:r>
        <w:rPr>
          <w:b w:val="0"/>
          <w:bCs w:val="0"/>
          <w:u w:val="none"/>
        </w:rPr>
        <w:t>Defined in Section 19.3.3 (</w:t>
      </w:r>
      <w:r>
        <w:rPr>
          <w:b w:val="0"/>
          <w:bCs w:val="0"/>
          <w:i/>
          <w:u w:val="none"/>
        </w:rPr>
        <w:t>Discovery; Hearing</w:t>
      </w:r>
      <w:r>
        <w:rPr>
          <w:b w:val="0"/>
          <w:bCs w:val="0"/>
          <w:u w:val="none"/>
        </w:rPr>
        <w:t>). </w:t>
      </w:r>
    </w:p>
    <w:p w:rsidRPr="00D16185" w:rsidR="00960870" w:rsidP="00DE7CC7" w:rsidRDefault="00960870" w14:paraId="69D8DC4F" w14:textId="1F9E8F18">
      <w:pPr>
        <w:pStyle w:val="Heading3"/>
        <w:rPr>
          <w:u w:val="none"/>
        </w:rPr>
      </w:pPr>
      <w:r>
        <w:t>Prudent Industry Practices</w:t>
      </w:r>
      <w:r>
        <w:rPr>
          <w:u w:val="none"/>
        </w:rPr>
        <w:t xml:space="preserve">: </w:t>
      </w:r>
      <w:r>
        <w:rPr>
          <w:b w:val="0"/>
          <w:bCs w:val="0"/>
          <w:u w:val="none"/>
        </w:rPr>
        <w:t>Any of the practices, methods, standards, or acts engaged in or approved by a significant portion of the electric power industry in the United States that, at a particular time, in the exercise of reasonable judgment in light of the facts known or that should reasonably have been known when a decision was made, could have been expected to accomplish the desired result, consistent with good business practices, reliability, economy, safety, and expedition. Prudent Industry Practices are not intended to be limited to the optimum practices, methods, or acts to the exclusion of all others, but rather to be acceptable practices, methods, or acts generally accepted in the United States electric power industry having due regard for, among other things, manufacturers’ warranties, applicable law, and, as applicable, requirements of this PPA.</w:t>
      </w:r>
    </w:p>
    <w:p w:rsidRPr="00D16185" w:rsidR="00960870" w:rsidP="00DE7CC7" w:rsidRDefault="00960870" w14:paraId="3F88C4ED" w14:textId="47D24C55">
      <w:pPr>
        <w:pStyle w:val="Heading3"/>
        <w:rPr>
          <w:u w:val="none"/>
        </w:rPr>
      </w:pPr>
      <w:r>
        <w:t>Rating Agency</w:t>
      </w:r>
      <w:r>
        <w:rPr>
          <w:u w:val="none"/>
        </w:rPr>
        <w:t xml:space="preserve">: </w:t>
      </w:r>
      <w:r>
        <w:rPr>
          <w:b w:val="0"/>
          <w:bCs w:val="0"/>
          <w:u w:val="none"/>
        </w:rPr>
        <w:t>The rating entities of S&amp;P, Moody’s, or Fitch. If any Rating Agency ceases to exist or publish ratings, the Rating Agency will be replaced under this PPA with a nationally recognized rating agency mutually agreed upon by the Parties.</w:t>
      </w:r>
    </w:p>
    <w:p w:rsidRPr="009753A6" w:rsidR="00513120" w:rsidP="00DE7CC7" w:rsidRDefault="00281059" w14:paraId="0E7CD421" w14:textId="3701CF8B">
      <w:pPr>
        <w:pStyle w:val="Heading3"/>
      </w:pPr>
      <w:r>
        <w:rPr>
          <w:rStyle w:val="normaltextrun"/>
          <w:bCs w:val="0"/>
          <w:shd w:val="clear" w:color="auto" w:fill="FFFFFF"/>
        </w:rPr>
        <w:lastRenderedPageBreak/>
        <w:t>RCOD</w:t>
      </w:r>
      <w:r>
        <w:rPr>
          <w:rStyle w:val="normaltextrun"/>
          <w:bCs w:val="0"/>
          <w:u w:val="none"/>
          <w:shd w:val="clear" w:color="auto" w:fill="FFFFFF"/>
        </w:rPr>
        <w:t>:</w:t>
      </w:r>
      <w:r>
        <w:rPr>
          <w:rStyle w:val="normaltextrun"/>
          <w:u w:val="none"/>
          <w:shd w:val="clear" w:color="auto" w:fill="FFFFFF"/>
        </w:rPr>
        <w:t xml:space="preserve"> </w:t>
      </w:r>
      <w:r>
        <w:rPr>
          <w:rStyle w:val="normaltextrun"/>
          <w:b w:val="0"/>
          <w:bCs w:val="0"/>
          <w:u w:val="none"/>
          <w:shd w:val="clear" w:color="auto" w:fill="FFFFFF"/>
        </w:rPr>
        <w:t xml:space="preserve">See </w:t>
      </w:r>
      <w:r>
        <w:rPr>
          <w:rStyle w:val="normaltextrun"/>
          <w:b w:val="0"/>
          <w:bCs w:val="0"/>
          <w:i/>
          <w:u w:val="none"/>
          <w:shd w:val="clear" w:color="auto" w:fill="FFFFFF"/>
        </w:rPr>
        <w:t>Required Commercial Operation Date</w:t>
      </w:r>
      <w:r>
        <w:rPr>
          <w:rStyle w:val="normaltextrun"/>
          <w:b w:val="0"/>
          <w:bCs w:val="0"/>
          <w:u w:val="none"/>
          <w:shd w:val="clear" w:color="auto" w:fill="FFFFFF"/>
        </w:rPr>
        <w:t>.</w:t>
      </w:r>
    </w:p>
    <w:p w:rsidRPr="00CB273E" w:rsidR="00960870" w:rsidP="00DE7CC7" w:rsidRDefault="00960870" w14:paraId="7CF78618" w14:textId="39522CD7">
      <w:pPr>
        <w:pStyle w:val="Heading3"/>
      </w:pPr>
      <w:r>
        <w:t>Reference Conditions</w:t>
      </w:r>
      <w:r>
        <w:rPr>
          <w:u w:val="none"/>
        </w:rPr>
        <w:t xml:space="preserve">: </w:t>
      </w:r>
      <w:r>
        <w:rPr>
          <w:b w:val="0"/>
          <w:bCs w:val="0"/>
          <w:u w:val="none"/>
        </w:rPr>
        <w:t>Reference Conditions of: (i) either: (a) 95°F, 45% relative humidity for the Standard Seasonal Performance Periods; or (b) 40°F, 75% relative humidity for the Winter Seasonal Performance Period; and (ii) average barometric pressure at the Site at the reference temperature and relative humidity, and the maximum reactive power obligation as specified in the IA.</w:t>
      </w:r>
    </w:p>
    <w:p w:rsidRPr="00CB273E" w:rsidR="001D1981" w:rsidP="00DE7CC7" w:rsidRDefault="001D1981" w14:paraId="209C0B47" w14:textId="7022795F">
      <w:pPr>
        <w:pStyle w:val="Heading3"/>
      </w:pPr>
      <w:r>
        <w:t>Reorganization Transaction</w:t>
      </w:r>
      <w:r>
        <w:rPr>
          <w:u w:val="none"/>
        </w:rPr>
        <w:t xml:space="preserve">: </w:t>
      </w:r>
      <w:r>
        <w:rPr>
          <w:b w:val="0"/>
          <w:bCs w:val="0"/>
          <w:u w:val="none"/>
        </w:rPr>
        <w:t>A transaction or series of transactions that, if consummated, would result in a change to the interest, or the addition, of a parent of Seller, but that does not change Seller nor its Ultimate Parent Entity. </w:t>
      </w:r>
    </w:p>
    <w:p w:rsidRPr="00D16185" w:rsidR="00960870" w:rsidP="00DE7CC7" w:rsidRDefault="00960870" w14:paraId="3EE04A4B" w14:textId="2225DA4F">
      <w:pPr>
        <w:pStyle w:val="Heading3"/>
        <w:rPr>
          <w:b w:val="0"/>
          <w:bCs w:val="0"/>
        </w:rPr>
      </w:pPr>
      <w:r>
        <w:t>Replacement Costs</w:t>
      </w:r>
      <w:r>
        <w:rPr>
          <w:u w:val="none"/>
        </w:rPr>
        <w:t xml:space="preserve">: </w:t>
      </w:r>
      <w:r>
        <w:rPr>
          <w:rFonts w:eastAsia="Times New Roman"/>
          <w:b w:val="0"/>
          <w:bCs w:val="0"/>
          <w:u w:val="none"/>
        </w:rPr>
        <w:t xml:space="preserve">Defined in, and determined in accordance with, </w:t>
      </w:r>
      <w:r>
        <w:rPr>
          <w:b w:val="0"/>
          <w:bCs w:val="0"/>
          <w:u w:val="none"/>
        </w:rPr>
        <w:t>Exhibit B (</w:t>
      </w:r>
      <w:r>
        <w:rPr>
          <w:b w:val="0"/>
          <w:bCs w:val="0"/>
          <w:i/>
          <w:u w:val="none"/>
        </w:rPr>
        <w:t>Capacity; Capacity Payment and Payment Reductions; Buydown</w:t>
      </w:r>
      <w:r>
        <w:rPr>
          <w:b w:val="0"/>
          <w:bCs w:val="0"/>
          <w:u w:val="none"/>
        </w:rPr>
        <w:t>), Part 4 (</w:t>
      </w:r>
      <w:r>
        <w:rPr>
          <w:b w:val="0"/>
          <w:bCs w:val="0"/>
          <w:i/>
          <w:u w:val="none"/>
        </w:rPr>
        <w:t>Calculation of Replacement Costs</w:t>
      </w:r>
      <w:r>
        <w:rPr>
          <w:b w:val="0"/>
          <w:bCs w:val="0"/>
          <w:u w:val="none"/>
        </w:rPr>
        <w:t>).</w:t>
      </w:r>
    </w:p>
    <w:p w:rsidRPr="00D16185" w:rsidR="00960870" w:rsidP="00DE7CC7" w:rsidRDefault="00960870" w14:paraId="3D8EF796" w14:textId="5DD53375">
      <w:pPr>
        <w:pStyle w:val="Heading3"/>
        <w:rPr>
          <w:u w:val="none"/>
        </w:rPr>
      </w:pPr>
      <w:r>
        <w:t>Replacement Price</w:t>
      </w:r>
      <w:r>
        <w:rPr>
          <w:u w:val="none"/>
        </w:rPr>
        <w:t xml:space="preserve">: </w:t>
      </w:r>
      <w:r>
        <w:rPr>
          <w:b w:val="0"/>
          <w:bCs w:val="0"/>
          <w:u w:val="none"/>
        </w:rPr>
        <w:t>Defined in, and determined in accordance with, Exhibit B (</w:t>
      </w:r>
      <w:r>
        <w:rPr>
          <w:b w:val="0"/>
          <w:bCs w:val="0"/>
          <w:i/>
          <w:u w:val="none"/>
        </w:rPr>
        <w:t>Capacity; Capacity Payments and Payment Reductions; Buydown</w:t>
      </w:r>
      <w:r>
        <w:rPr>
          <w:b w:val="0"/>
          <w:bCs w:val="0"/>
          <w:u w:val="none"/>
        </w:rPr>
        <w:t>), Part 4 (</w:t>
      </w:r>
      <w:r>
        <w:rPr>
          <w:b w:val="0"/>
          <w:bCs w:val="0"/>
          <w:i/>
          <w:u w:val="none"/>
        </w:rPr>
        <w:t>Calculation of Replacement Costs</w:t>
      </w:r>
      <w:r>
        <w:rPr>
          <w:b w:val="0"/>
          <w:bCs w:val="0"/>
          <w:u w:val="none"/>
        </w:rPr>
        <w:t>).</w:t>
      </w:r>
    </w:p>
    <w:p w:rsidRPr="00CB273E" w:rsidR="00960870" w:rsidP="00DE7CC7" w:rsidRDefault="00960870" w14:paraId="30BD1540" w14:textId="67348D55">
      <w:pPr>
        <w:pStyle w:val="Heading3"/>
      </w:pPr>
      <w:r>
        <w:t>Representative</w:t>
      </w:r>
      <w:r>
        <w:rPr>
          <w:u w:val="none"/>
        </w:rPr>
        <w:t xml:space="preserve">: </w:t>
      </w:r>
      <w:r>
        <w:rPr>
          <w:b w:val="0"/>
          <w:bCs w:val="0"/>
          <w:u w:val="none"/>
        </w:rPr>
        <w:t>When used regarding a Person, collectively or individually (as the context indicates), the Person, its Affiliates, and any permitted successor or assign, and the directors, officers, employees, representatives, consultants, attorneys, agents, bankers, insurers, financiers, accountants, contractors, or subcontractors of each of them.</w:t>
      </w:r>
      <w:r>
        <w:t xml:space="preserve"> </w:t>
      </w:r>
    </w:p>
    <w:p w:rsidRPr="00196A91" w:rsidR="001D1981" w:rsidP="00DE7CC7" w:rsidRDefault="001D1981" w14:paraId="5F026C9E" w14:textId="06D9B491">
      <w:pPr>
        <w:pStyle w:val="Heading3"/>
      </w:pPr>
      <w:r>
        <w:t>Required BMPs</w:t>
      </w:r>
      <w:r>
        <w:rPr>
          <w:u w:val="none"/>
        </w:rPr>
        <w:t xml:space="preserve">: </w:t>
      </w:r>
      <w:r>
        <w:rPr>
          <w:b w:val="0"/>
          <w:bCs w:val="0"/>
          <w:u w:val="none"/>
        </w:rPr>
        <w:t>Defined in Section 17.5</w:t>
      </w:r>
      <w:r w:rsidR="0045123F">
        <w:rPr>
          <w:b w:val="0"/>
          <w:bCs w:val="0"/>
          <w:u w:val="none"/>
        </w:rPr>
        <w:t>.1</w:t>
      </w:r>
      <w:r>
        <w:rPr>
          <w:b w:val="0"/>
          <w:bCs w:val="0"/>
          <w:u w:val="none"/>
        </w:rPr>
        <w:t xml:space="preserve"> (</w:t>
      </w:r>
      <w:r w:rsidR="0045123F">
        <w:rPr>
          <w:b w:val="0"/>
          <w:bCs w:val="0"/>
          <w:i/>
          <w:iCs/>
          <w:u w:val="none"/>
        </w:rPr>
        <w:t>Required BMPs</w:t>
      </w:r>
      <w:r>
        <w:rPr>
          <w:b w:val="0"/>
          <w:bCs w:val="0"/>
          <w:u w:val="none"/>
        </w:rPr>
        <w:t>).</w:t>
      </w:r>
    </w:p>
    <w:p w:rsidRPr="00CB273E" w:rsidR="00960870" w:rsidP="00DE7CC7" w:rsidRDefault="00960870" w14:paraId="4FBD04F9" w14:textId="68F0DAC4">
      <w:pPr>
        <w:pStyle w:val="Heading3"/>
      </w:pPr>
      <w:r>
        <w:t>Required Commercial Operation Date (RCOD)</w:t>
      </w:r>
      <w:r>
        <w:rPr>
          <w:u w:val="none"/>
        </w:rPr>
        <w:t xml:space="preserve">: </w:t>
      </w:r>
      <w:r>
        <w:rPr>
          <w:b w:val="0"/>
          <w:bCs w:val="0"/>
          <w:u w:val="none"/>
        </w:rPr>
        <w:t xml:space="preserve">The date by which the Facility must obtain Commercial Operation, as </w:t>
      </w:r>
      <w:r w:rsidR="00F33984">
        <w:rPr>
          <w:b w:val="0"/>
          <w:bCs w:val="0"/>
          <w:u w:val="none"/>
        </w:rPr>
        <w:t xml:space="preserve">stated </w:t>
      </w:r>
      <w:r>
        <w:rPr>
          <w:b w:val="0"/>
          <w:bCs w:val="0"/>
          <w:u w:val="none"/>
        </w:rPr>
        <w:t xml:space="preserve">in </w:t>
      </w:r>
      <w:r w:rsidR="00F33984">
        <w:rPr>
          <w:b w:val="0"/>
          <w:bCs w:val="0"/>
          <w:u w:val="none"/>
        </w:rPr>
        <w:t>Table A-2 (</w:t>
      </w:r>
      <w:r w:rsidRPr="000A6C5E" w:rsidR="00F33984">
        <w:rPr>
          <w:b w:val="0"/>
          <w:i/>
          <w:u w:val="none"/>
        </w:rPr>
        <w:t>Term, RCOD</w:t>
      </w:r>
      <w:r w:rsidR="00F33984">
        <w:rPr>
          <w:b w:val="0"/>
          <w:bCs w:val="0"/>
          <w:u w:val="none"/>
        </w:rPr>
        <w:t xml:space="preserve">) </w:t>
      </w:r>
      <w:r>
        <w:rPr>
          <w:b w:val="0"/>
          <w:bCs w:val="0"/>
          <w:u w:val="none"/>
        </w:rPr>
        <w:t>Exhibit A (</w:t>
      </w:r>
      <w:r>
        <w:rPr>
          <w:b w:val="0"/>
          <w:bCs w:val="0"/>
          <w:i/>
          <w:u w:val="none"/>
        </w:rPr>
        <w:t>Facility Description and Additional Details</w:t>
      </w:r>
      <w:r>
        <w:rPr>
          <w:b w:val="0"/>
          <w:bCs w:val="0"/>
          <w:u w:val="none"/>
        </w:rPr>
        <w:t>), subject to any extension of such date in accordance with Section 7.4.6 (</w:t>
      </w:r>
      <w:r>
        <w:rPr>
          <w:b w:val="0"/>
          <w:bCs w:val="0"/>
          <w:i/>
          <w:u w:val="none"/>
        </w:rPr>
        <w:t>Commercial Operation Delay Caused by Southern Company Transmission System Capability or Natural Gas Supply Transportation Capability</w:t>
      </w:r>
      <w:r>
        <w:rPr>
          <w:b w:val="0"/>
          <w:bCs w:val="0"/>
          <w:u w:val="none"/>
        </w:rPr>
        <w:t>) or Section 15.3.2 (</w:t>
      </w:r>
      <w:r>
        <w:rPr>
          <w:b w:val="0"/>
          <w:bCs w:val="0"/>
          <w:i/>
          <w:u w:val="none"/>
        </w:rPr>
        <w:t>Extension of RCOD</w:t>
      </w:r>
      <w:r>
        <w:rPr>
          <w:b w:val="0"/>
          <w:bCs w:val="0"/>
          <w:u w:val="none"/>
        </w:rPr>
        <w:t>).</w:t>
      </w:r>
    </w:p>
    <w:p w:rsidRPr="00A93486" w:rsidR="00D46BDA" w:rsidP="00DE7CC7" w:rsidRDefault="00D46BDA" w14:paraId="126AA812" w14:textId="4FFCEB02">
      <w:pPr>
        <w:pStyle w:val="Heading3"/>
        <w:rPr>
          <w:u w:val="none"/>
        </w:rPr>
      </w:pPr>
      <w:r>
        <w:t>Rules</w:t>
      </w:r>
      <w:r>
        <w:rPr>
          <w:u w:val="none"/>
        </w:rPr>
        <w:t xml:space="preserve">: </w:t>
      </w:r>
      <w:r>
        <w:rPr>
          <w:b w:val="0"/>
          <w:bCs w:val="0"/>
          <w:u w:val="none"/>
        </w:rPr>
        <w:t>Defined in Section 19.3.1 (</w:t>
      </w:r>
      <w:r>
        <w:rPr>
          <w:b w:val="0"/>
          <w:bCs w:val="0"/>
          <w:i/>
          <w:u w:val="none"/>
        </w:rPr>
        <w:t>JAMS</w:t>
      </w:r>
      <w:r>
        <w:rPr>
          <w:b w:val="0"/>
          <w:bCs w:val="0"/>
          <w:u w:val="none"/>
        </w:rPr>
        <w:t>).</w:t>
      </w:r>
      <w:r>
        <w:rPr>
          <w:u w:val="none"/>
        </w:rPr>
        <w:t> </w:t>
      </w:r>
    </w:p>
    <w:p w:rsidRPr="00CB273E" w:rsidR="00960870" w:rsidP="00DE7CC7" w:rsidRDefault="00960870" w14:paraId="149B7C3F" w14:textId="6E01B0E6">
      <w:pPr>
        <w:pStyle w:val="Heading3"/>
      </w:pPr>
      <w:r>
        <w:t>S&amp;P</w:t>
      </w:r>
      <w:r>
        <w:rPr>
          <w:u w:val="none"/>
        </w:rPr>
        <w:t xml:space="preserve">: </w:t>
      </w:r>
      <w:r>
        <w:rPr>
          <w:b w:val="0"/>
          <w:bCs w:val="0"/>
          <w:u w:val="none"/>
        </w:rPr>
        <w:t>S&amp;P Global Ratings, a division of S&amp;P Global Inc., or its successor. If S&amp;P ceases to exist or publish ratings, S&amp;P will mean a nationally recognized rating agency mutually agreed upon by the Parties.</w:t>
      </w:r>
    </w:p>
    <w:p w:rsidRPr="00A93486" w:rsidR="008D6665" w:rsidP="00DE7CC7" w:rsidRDefault="008D6665" w14:paraId="787CBE66" w14:textId="2920D15D">
      <w:pPr>
        <w:pStyle w:val="Heading3"/>
        <w:rPr>
          <w:b w:val="0"/>
          <w:bCs w:val="0"/>
        </w:rPr>
      </w:pPr>
      <w:r>
        <w:t>SBAA</w:t>
      </w:r>
      <w:r>
        <w:rPr>
          <w:u w:val="none"/>
        </w:rPr>
        <w:t xml:space="preserve">: </w:t>
      </w:r>
      <w:r>
        <w:rPr>
          <w:b w:val="0"/>
          <w:bCs w:val="0"/>
          <w:u w:val="none"/>
        </w:rPr>
        <w:t>See Southern Balancing Authority Area.</w:t>
      </w:r>
      <w:r>
        <w:rPr>
          <w:b w:val="0"/>
          <w:bCs w:val="0"/>
        </w:rPr>
        <w:t xml:space="preserve"> </w:t>
      </w:r>
    </w:p>
    <w:p w:rsidRPr="00BF5DF7" w:rsidR="00960870" w:rsidP="00DE7CC7" w:rsidRDefault="0024389F" w14:paraId="2BFA384E" w14:textId="48742B99">
      <w:pPr>
        <w:pStyle w:val="Heading3"/>
      </w:pPr>
      <w:r>
        <w:t>Schedule or Scheduling or Scheduling Instructions</w:t>
      </w:r>
      <w:r>
        <w:rPr>
          <w:u w:val="none"/>
        </w:rPr>
        <w:t xml:space="preserve">: </w:t>
      </w:r>
      <w:r>
        <w:rPr>
          <w:b w:val="0"/>
          <w:bCs w:val="0"/>
          <w:u w:val="none"/>
        </w:rPr>
        <w:t>Instructions issued by GPC from the Scheduling Center to Seller regarding the scheduling of the production of electricity by the Facility, or the delivery of energy from an Alternate Resource if applicable under Section 4.1.4 (</w:t>
      </w:r>
      <w:r>
        <w:rPr>
          <w:b w:val="0"/>
          <w:bCs w:val="0"/>
          <w:i/>
          <w:u w:val="none"/>
        </w:rPr>
        <w:t>Unavailability</w:t>
      </w:r>
      <w:r>
        <w:rPr>
          <w:b w:val="0"/>
          <w:bCs w:val="0"/>
          <w:u w:val="none"/>
        </w:rPr>
        <w:t>), in accordance with Part 2 (</w:t>
      </w:r>
      <w:r>
        <w:rPr>
          <w:b w:val="0"/>
          <w:bCs w:val="0"/>
          <w:i/>
          <w:u w:val="none"/>
        </w:rPr>
        <w:t>Scheduling Procedures</w:t>
      </w:r>
      <w:r>
        <w:rPr>
          <w:b w:val="0"/>
          <w:bCs w:val="0"/>
          <w:u w:val="none"/>
        </w:rPr>
        <w:t>) of Exhibit D (</w:t>
      </w:r>
      <w:r>
        <w:rPr>
          <w:b w:val="0"/>
          <w:bCs w:val="0"/>
          <w:i/>
          <w:u w:val="none"/>
        </w:rPr>
        <w:t>Technical Limits and Schedule Procedures</w:t>
      </w:r>
      <w:r>
        <w:rPr>
          <w:b w:val="0"/>
          <w:bCs w:val="0"/>
          <w:u w:val="none"/>
        </w:rPr>
        <w:t>), including signals provided through AGC and including all instructions.</w:t>
      </w:r>
    </w:p>
    <w:p w:rsidRPr="00BF5DF7" w:rsidR="003A1BB3" w:rsidP="00DE7CC7" w:rsidRDefault="003A1BB3" w14:paraId="1846EB31" w14:textId="25799606">
      <w:pPr>
        <w:pStyle w:val="Heading3"/>
      </w:pPr>
      <w:r>
        <w:t>Scheduled Energy</w:t>
      </w:r>
      <w:r>
        <w:rPr>
          <w:u w:val="none"/>
        </w:rPr>
        <w:t xml:space="preserve">: </w:t>
      </w:r>
      <w:r>
        <w:rPr>
          <w:b w:val="0"/>
          <w:bCs w:val="0"/>
          <w:u w:val="none"/>
        </w:rPr>
        <w:t>Either: (i) the amount of energy Seller delivers from the Facility each Hour from operation on Natural Gas (in accordance with GPC’s Schedules) including energy produced during Facility ramping; or (ii) energy delivered from an Alternate Resource when the Facility would have been dispatched on Natural Gas in a Month.</w:t>
      </w:r>
    </w:p>
    <w:p w:rsidRPr="00A93486" w:rsidR="00960870" w:rsidP="00DE7CC7" w:rsidRDefault="00960870" w14:paraId="394EE3C0" w14:textId="1FF27515">
      <w:pPr>
        <w:pStyle w:val="Heading3"/>
        <w:rPr>
          <w:b w:val="0"/>
          <w:bCs w:val="0"/>
          <w:u w:val="none"/>
        </w:rPr>
      </w:pPr>
      <w:r>
        <w:t>Scheduled Outage</w:t>
      </w:r>
      <w:r>
        <w:rPr>
          <w:u w:val="none"/>
        </w:rPr>
        <w:t xml:space="preserve">: </w:t>
      </w:r>
      <w:r>
        <w:rPr>
          <w:b w:val="0"/>
          <w:bCs w:val="0"/>
          <w:u w:val="none"/>
        </w:rPr>
        <w:t>An</w:t>
      </w:r>
      <w:r w:rsidR="00EE6EFD">
        <w:rPr>
          <w:b w:val="0"/>
          <w:bCs w:val="0"/>
          <w:u w:val="none"/>
        </w:rPr>
        <w:t>y Facility</w:t>
      </w:r>
      <w:r>
        <w:rPr>
          <w:b w:val="0"/>
          <w:bCs w:val="0"/>
          <w:u w:val="none"/>
        </w:rPr>
        <w:t xml:space="preserve"> outage (whole or partial) scheduled in the final, approved Maintenance Schedule.</w:t>
      </w:r>
    </w:p>
    <w:p w:rsidRPr="00A93486" w:rsidR="00960870" w:rsidP="00DE7CC7" w:rsidRDefault="00960870" w14:paraId="2284074E" w14:textId="27FD10D7">
      <w:pPr>
        <w:pStyle w:val="Heading3"/>
        <w:rPr>
          <w:b w:val="0"/>
          <w:bCs w:val="0"/>
        </w:rPr>
      </w:pPr>
      <w:r>
        <w:t>Scheduling Center</w:t>
      </w:r>
      <w:r>
        <w:rPr>
          <w:u w:val="none"/>
        </w:rPr>
        <w:t xml:space="preserve">: </w:t>
      </w:r>
      <w:r>
        <w:rPr>
          <w:b w:val="0"/>
          <w:bCs w:val="0"/>
          <w:u w:val="none"/>
        </w:rPr>
        <w:t>The scheduling center designated by GPC in writing as being the primary control point for Scheduling Instructions and other notifications provided in accordance with Part 12 (</w:t>
      </w:r>
      <w:r>
        <w:rPr>
          <w:b w:val="0"/>
          <w:bCs w:val="0"/>
          <w:i/>
          <w:u w:val="none"/>
        </w:rPr>
        <w:t>Energy Scheduling and Transmission</w:t>
      </w:r>
      <w:r>
        <w:rPr>
          <w:b w:val="0"/>
          <w:bCs w:val="0"/>
          <w:u w:val="none"/>
        </w:rPr>
        <w:t>) and Exhibit D (</w:t>
      </w:r>
      <w:r>
        <w:rPr>
          <w:b w:val="0"/>
          <w:bCs w:val="0"/>
          <w:i/>
          <w:u w:val="none"/>
        </w:rPr>
        <w:t>Technical Limits and Schedule Procedures</w:t>
      </w:r>
      <w:r>
        <w:rPr>
          <w:b w:val="0"/>
          <w:bCs w:val="0"/>
          <w:u w:val="none"/>
        </w:rPr>
        <w:t>), Part 2 (</w:t>
      </w:r>
      <w:r>
        <w:rPr>
          <w:b w:val="0"/>
          <w:bCs w:val="0"/>
          <w:i/>
          <w:u w:val="none"/>
        </w:rPr>
        <w:t>Schedule Procedures</w:t>
      </w:r>
      <w:r>
        <w:rPr>
          <w:b w:val="0"/>
          <w:bCs w:val="0"/>
          <w:u w:val="none"/>
        </w:rPr>
        <w:t>), as may be modified during the Term. There may only be one Scheduling Center designated at any one time.</w:t>
      </w:r>
    </w:p>
    <w:p w:rsidRPr="00BF5DF7" w:rsidR="0044497F" w:rsidP="00DE7CC7" w:rsidRDefault="000C2360" w14:paraId="0A2D179E" w14:textId="1CD76F17">
      <w:pPr>
        <w:pStyle w:val="Heading3"/>
      </w:pPr>
      <w:r>
        <w:rPr>
          <w:rStyle w:val="normaltextrun"/>
        </w:rPr>
        <w:t>SCS</w:t>
      </w:r>
      <w:r>
        <w:rPr>
          <w:rStyle w:val="normaltextrun"/>
          <w:u w:val="none"/>
          <w:shd w:val="clear" w:color="auto" w:fill="FFFFFF"/>
        </w:rPr>
        <w:t xml:space="preserve">: </w:t>
      </w:r>
      <w:r>
        <w:rPr>
          <w:b w:val="0"/>
          <w:bCs w:val="0"/>
          <w:u w:val="none"/>
        </w:rPr>
        <w:t>See Southern Company Services</w:t>
      </w:r>
      <w:r>
        <w:rPr>
          <w:rStyle w:val="normaltextrun"/>
          <w:b w:val="0"/>
          <w:bCs w:val="0"/>
          <w:u w:val="none"/>
          <w:shd w:val="clear" w:color="auto" w:fill="FFFFFF"/>
        </w:rPr>
        <w:t>.</w:t>
      </w:r>
    </w:p>
    <w:p w:rsidRPr="00BF5DF7" w:rsidR="00960870" w:rsidP="00DE7CC7" w:rsidRDefault="00960870" w14:paraId="3E190AE9" w14:textId="2B96862C">
      <w:pPr>
        <w:pStyle w:val="Heading3"/>
      </w:pPr>
      <w:r>
        <w:t>Seasonal Performance Period</w:t>
      </w:r>
      <w:r>
        <w:rPr>
          <w:u w:val="none"/>
        </w:rPr>
        <w:t xml:space="preserve">: </w:t>
      </w:r>
      <w:r>
        <w:rPr>
          <w:b w:val="0"/>
          <w:bCs w:val="0"/>
          <w:u w:val="none"/>
        </w:rPr>
        <w:t>One of the following periods during each Annual Period</w:t>
      </w:r>
      <w:r w:rsidR="00352001">
        <w:rPr>
          <w:b w:val="0"/>
          <w:bCs w:val="0"/>
          <w:u w:val="none"/>
        </w:rPr>
        <w:t xml:space="preserve"> </w:t>
      </w:r>
      <w:r w:rsidRPr="003C2DC5" w:rsidR="003C2DC5">
        <w:rPr>
          <w:b w:val="0"/>
          <w:bCs w:val="0"/>
          <w:u w:val="none"/>
        </w:rPr>
        <w:t xml:space="preserve">(or, if applicable, the portion of </w:t>
      </w:r>
      <w:r w:rsidR="00172CEC">
        <w:rPr>
          <w:b w:val="0"/>
          <w:bCs w:val="0"/>
          <w:u w:val="none"/>
        </w:rPr>
        <w:t>the</w:t>
      </w:r>
      <w:r w:rsidRPr="003C2DC5" w:rsidR="003C2DC5">
        <w:rPr>
          <w:b w:val="0"/>
          <w:bCs w:val="0"/>
          <w:u w:val="none"/>
        </w:rPr>
        <w:t xml:space="preserve"> period included in </w:t>
      </w:r>
      <w:r w:rsidR="00C91FD1">
        <w:rPr>
          <w:b w:val="0"/>
          <w:bCs w:val="0"/>
          <w:u w:val="none"/>
        </w:rPr>
        <w:t>the</w:t>
      </w:r>
      <w:r w:rsidR="00A84D95">
        <w:rPr>
          <w:b w:val="0"/>
          <w:bCs w:val="0"/>
          <w:u w:val="none"/>
        </w:rPr>
        <w:t xml:space="preserve"> applicable</w:t>
      </w:r>
      <w:r w:rsidRPr="003C2DC5" w:rsidR="003C2DC5">
        <w:rPr>
          <w:b w:val="0"/>
          <w:bCs w:val="0"/>
          <w:u w:val="none"/>
        </w:rPr>
        <w:t xml:space="preserve"> Annual Period)</w:t>
      </w:r>
      <w:r>
        <w:rPr>
          <w:b w:val="0"/>
          <w:bCs w:val="0"/>
          <w:u w:val="none"/>
        </w:rPr>
        <w:t>: (i) June through September (“</w:t>
      </w:r>
      <w:r>
        <w:rPr>
          <w:u w:val="none"/>
        </w:rPr>
        <w:t>Summer Seasonal Performance Period</w:t>
      </w:r>
      <w:r>
        <w:rPr>
          <w:b w:val="0"/>
          <w:bCs w:val="0"/>
          <w:u w:val="none"/>
        </w:rPr>
        <w:t>”); (ii) October and November (“</w:t>
      </w:r>
      <w:r>
        <w:rPr>
          <w:u w:val="none"/>
        </w:rPr>
        <w:t>Fall</w:t>
      </w:r>
      <w:r>
        <w:rPr>
          <w:b w:val="0"/>
          <w:bCs w:val="0"/>
          <w:u w:val="none"/>
        </w:rPr>
        <w:t>”); (iii) December through February (“</w:t>
      </w:r>
      <w:r>
        <w:rPr>
          <w:u w:val="none"/>
        </w:rPr>
        <w:t>Winter Seasonal Performance Period</w:t>
      </w:r>
      <w:r>
        <w:rPr>
          <w:b w:val="0"/>
          <w:bCs w:val="0"/>
          <w:u w:val="none"/>
        </w:rPr>
        <w:t>”); or (iv) March through May (“</w:t>
      </w:r>
      <w:r>
        <w:rPr>
          <w:u w:val="none"/>
        </w:rPr>
        <w:t>Spring</w:t>
      </w:r>
      <w:r>
        <w:rPr>
          <w:b w:val="0"/>
          <w:bCs w:val="0"/>
          <w:u w:val="none"/>
        </w:rPr>
        <w:t>”).</w:t>
      </w:r>
    </w:p>
    <w:p w:rsidRPr="00A93486" w:rsidR="00960870" w:rsidP="00DE7CC7" w:rsidRDefault="00960870" w14:paraId="61C462BC" w14:textId="5AC16FF6">
      <w:pPr>
        <w:pStyle w:val="Heading3"/>
        <w:rPr>
          <w:b w:val="0"/>
          <w:bCs w:val="0"/>
          <w:u w:val="none"/>
        </w:rPr>
      </w:pPr>
      <w:r>
        <w:t>Seller</w:t>
      </w:r>
      <w:r>
        <w:rPr>
          <w:u w:val="none"/>
        </w:rPr>
        <w:t xml:space="preserve">: </w:t>
      </w:r>
      <w:r>
        <w:rPr>
          <w:b w:val="0"/>
          <w:bCs w:val="0"/>
          <w:u w:val="none"/>
        </w:rPr>
        <w:t xml:space="preserve">The counterparty to GPC in this PPA, as specified in the preamble.  </w:t>
      </w:r>
    </w:p>
    <w:p w:rsidRPr="00F2774C" w:rsidR="00C7756F" w:rsidP="00F2774C" w:rsidRDefault="00C7756F" w14:paraId="0A228139" w14:textId="77777777">
      <w:pPr>
        <w:pStyle w:val="Heading3"/>
        <w:rPr>
          <w:u w:val="none"/>
        </w:rPr>
      </w:pPr>
      <w:r>
        <w:t>Seller Entity</w:t>
      </w:r>
      <w:r>
        <w:rPr>
          <w:u w:val="none"/>
        </w:rPr>
        <w:t xml:space="preserve">: </w:t>
      </w:r>
      <w:r>
        <w:rPr>
          <w:b w:val="0"/>
          <w:bCs w:val="0"/>
          <w:u w:val="none"/>
        </w:rPr>
        <w:t>Each of Seller or any Affiliate, contractor, supplier, contractual party, or customer, or an officer, director, employee, representative, or agent of one of them.</w:t>
      </w:r>
    </w:p>
    <w:p w:rsidRPr="00BF5DF7" w:rsidR="00960870" w:rsidP="00DE7CC7" w:rsidRDefault="00960870" w14:paraId="460CBB2F" w14:textId="48A60333">
      <w:pPr>
        <w:pStyle w:val="Heading3"/>
      </w:pPr>
      <w:r>
        <w:t>Seller Guarantor</w:t>
      </w:r>
      <w:r>
        <w:rPr>
          <w:u w:val="none"/>
        </w:rPr>
        <w:t xml:space="preserve">: </w:t>
      </w:r>
      <w:r>
        <w:rPr>
          <w:b w:val="0"/>
          <w:bCs w:val="0"/>
          <w:u w:val="none"/>
        </w:rPr>
        <w:t xml:space="preserve">A Person </w:t>
      </w:r>
      <w:r w:rsidR="00461851">
        <w:rPr>
          <w:b w:val="0"/>
          <w:bCs w:val="0"/>
          <w:u w:val="none"/>
        </w:rPr>
        <w:t>who</w:t>
      </w:r>
      <w:r>
        <w:rPr>
          <w:b w:val="0"/>
          <w:bCs w:val="0"/>
          <w:u w:val="none"/>
        </w:rPr>
        <w:t xml:space="preserve">, at the time of execution and delivery of its </w:t>
      </w:r>
      <w:r w:rsidR="00B558BA">
        <w:rPr>
          <w:b w:val="0"/>
          <w:bCs w:val="0"/>
          <w:u w:val="none"/>
        </w:rPr>
        <w:t xml:space="preserve">Seller </w:t>
      </w:r>
      <w:r>
        <w:rPr>
          <w:b w:val="0"/>
          <w:bCs w:val="0"/>
          <w:u w:val="none"/>
        </w:rPr>
        <w:t xml:space="preserve">Guaranty: (i) is either: (a) an </w:t>
      </w:r>
      <w:r>
        <w:rPr>
          <w:b w:val="0"/>
          <w:bCs w:val="0"/>
          <w:u w:val="none"/>
        </w:rPr>
        <w:lastRenderedPageBreak/>
        <w:t>Affiliate of Seller; or (b) otherwise an entity acceptable to GPC; and (ii) is Creditworthy.</w:t>
      </w:r>
    </w:p>
    <w:p w:rsidR="00960870" w:rsidP="00DE7CC7" w:rsidRDefault="00960870" w14:paraId="7175E1B3" w14:textId="4740C5CE">
      <w:pPr>
        <w:pStyle w:val="Heading3"/>
      </w:pPr>
      <w:r>
        <w:t>Seller Guaranty</w:t>
      </w:r>
      <w:r>
        <w:rPr>
          <w:u w:val="none"/>
        </w:rPr>
        <w:t xml:space="preserve">: </w:t>
      </w:r>
      <w:r>
        <w:rPr>
          <w:b w:val="0"/>
          <w:bCs w:val="0"/>
          <w:u w:val="none"/>
        </w:rPr>
        <w:t>A guaranty provided by the Seller Guarantor that is substantially in the form of the guaranty attached as Exhibit G (</w:t>
      </w:r>
      <w:r>
        <w:rPr>
          <w:b w:val="0"/>
          <w:bCs w:val="0"/>
          <w:i/>
          <w:u w:val="none"/>
        </w:rPr>
        <w:t>Form of Guaranty</w:t>
      </w:r>
      <w:r>
        <w:rPr>
          <w:b w:val="0"/>
          <w:bCs w:val="0"/>
          <w:u w:val="none"/>
        </w:rPr>
        <w:t>).</w:t>
      </w:r>
    </w:p>
    <w:p w:rsidRPr="00A93486" w:rsidR="00747E2C" w:rsidP="00DE7CC7" w:rsidRDefault="00747E2C" w14:paraId="28C0D1C3" w14:textId="77777777">
      <w:pPr>
        <w:pStyle w:val="Heading3"/>
        <w:rPr>
          <w:b w:val="0"/>
          <w:bCs w:val="0"/>
        </w:rPr>
      </w:pPr>
      <w:r>
        <w:t>Seller Response Deadline</w:t>
      </w:r>
      <w:r>
        <w:rPr>
          <w:u w:val="none"/>
        </w:rPr>
        <w:t xml:space="preserve">: </w:t>
      </w:r>
      <w:r>
        <w:rPr>
          <w:b w:val="0"/>
          <w:bCs w:val="0"/>
          <w:u w:val="none"/>
        </w:rPr>
        <w:t>Defined in Section 17.2.4 (</w:t>
      </w:r>
      <w:r>
        <w:rPr>
          <w:b w:val="0"/>
          <w:bCs w:val="0"/>
          <w:i/>
          <w:iCs/>
          <w:u w:val="none"/>
        </w:rPr>
        <w:t>Seller Response Notice; GPC Response</w:t>
      </w:r>
      <w:r>
        <w:rPr>
          <w:b w:val="0"/>
          <w:bCs w:val="0"/>
          <w:u w:val="none"/>
        </w:rPr>
        <w:t>).</w:t>
      </w:r>
    </w:p>
    <w:p w:rsidRPr="00BF5DF7" w:rsidR="00E6362E" w:rsidP="00DE7CC7" w:rsidRDefault="00747E2C" w14:paraId="64CF6B7A" w14:textId="083BEA8E">
      <w:pPr>
        <w:pStyle w:val="Heading3"/>
      </w:pPr>
      <w:r>
        <w:t>Seller Response Notice</w:t>
      </w:r>
      <w:r>
        <w:rPr>
          <w:u w:val="none"/>
        </w:rPr>
        <w:t xml:space="preserve">: </w:t>
      </w:r>
      <w:r>
        <w:rPr>
          <w:b w:val="0"/>
          <w:bCs w:val="0"/>
          <w:u w:val="none"/>
        </w:rPr>
        <w:t>Defined in Section 17.2.4 (</w:t>
      </w:r>
      <w:r>
        <w:rPr>
          <w:b w:val="0"/>
          <w:bCs w:val="0"/>
          <w:i/>
          <w:iCs/>
          <w:u w:val="none"/>
        </w:rPr>
        <w:t>Seller Response Notice; GPC Response</w:t>
      </w:r>
      <w:r>
        <w:rPr>
          <w:b w:val="0"/>
          <w:bCs w:val="0"/>
          <w:u w:val="none"/>
        </w:rPr>
        <w:t>).</w:t>
      </w:r>
    </w:p>
    <w:p w:rsidRPr="00BF5DF7" w:rsidR="00960870" w:rsidP="00DE7CC7" w:rsidRDefault="00960870" w14:paraId="2C31166A" w14:textId="0CC3633E">
      <w:pPr>
        <w:pStyle w:val="Heading3"/>
      </w:pPr>
      <w:r>
        <w:t>SERC</w:t>
      </w:r>
      <w:r>
        <w:rPr>
          <w:u w:val="none"/>
        </w:rPr>
        <w:t xml:space="preserve">: </w:t>
      </w:r>
      <w:r>
        <w:rPr>
          <w:b w:val="0"/>
          <w:bCs w:val="0"/>
          <w:u w:val="none"/>
        </w:rPr>
        <w:t>The Southeastern Electric Reliability Corporation, including any successor.</w:t>
      </w:r>
    </w:p>
    <w:p w:rsidRPr="00A93486" w:rsidR="00960870" w:rsidP="00DE7CC7" w:rsidRDefault="00960870" w14:paraId="7235B3D3" w14:textId="0805532B">
      <w:pPr>
        <w:pStyle w:val="Heading3"/>
        <w:rPr>
          <w:b w:val="0"/>
          <w:bCs w:val="0"/>
        </w:rPr>
      </w:pPr>
      <w:r>
        <w:t>Site</w:t>
      </w:r>
      <w:r>
        <w:rPr>
          <w:u w:val="none"/>
        </w:rPr>
        <w:t xml:space="preserve">: </w:t>
      </w:r>
      <w:r>
        <w:rPr>
          <w:b w:val="0"/>
          <w:bCs w:val="0"/>
          <w:u w:val="none"/>
        </w:rPr>
        <w:t>The physical location (i.e., real property) where the Facility is or will be located, as described in Exhibit A (</w:t>
      </w:r>
      <w:r>
        <w:rPr>
          <w:b w:val="0"/>
          <w:bCs w:val="0"/>
          <w:i/>
          <w:u w:val="none"/>
        </w:rPr>
        <w:t>Facility Description and Additional Details</w:t>
      </w:r>
      <w:r>
        <w:rPr>
          <w:b w:val="0"/>
          <w:bCs w:val="0"/>
          <w:u w:val="none"/>
        </w:rPr>
        <w:t>).</w:t>
      </w:r>
    </w:p>
    <w:p w:rsidR="00FB0142" w:rsidP="00DE7CC7" w:rsidRDefault="00FB0142" w14:paraId="50E9E46E" w14:textId="59967A81">
      <w:pPr>
        <w:pStyle w:val="Heading3"/>
      </w:pPr>
      <w:r>
        <w:t>SO2</w:t>
      </w:r>
      <w:r>
        <w:rPr>
          <w:u w:val="none"/>
        </w:rPr>
        <w:t xml:space="preserve">: </w:t>
      </w:r>
      <w:r>
        <w:rPr>
          <w:b w:val="0"/>
          <w:bCs w:val="0"/>
          <w:u w:val="none"/>
        </w:rPr>
        <w:t>Sulfur dioxide.</w:t>
      </w:r>
    </w:p>
    <w:p w:rsidRPr="00F805E4" w:rsidR="00960870" w:rsidP="00DE7CC7" w:rsidRDefault="00960870" w14:paraId="1140A542" w14:textId="3D27D6F9">
      <w:pPr>
        <w:pStyle w:val="Heading3"/>
      </w:pPr>
      <w:r>
        <w:t>SO2 Allowances</w:t>
      </w:r>
      <w:r>
        <w:rPr>
          <w:u w:val="none"/>
        </w:rPr>
        <w:t xml:space="preserve">: </w:t>
      </w:r>
      <w:r>
        <w:rPr>
          <w:b w:val="0"/>
          <w:bCs w:val="0"/>
          <w:u w:val="none"/>
        </w:rPr>
        <w:t>Allowances for SO2 Emissions that are allocated or otherwise granted by any Governmental Authority or in accordance with any applicable law or Consent, including through any type of state or federal set-aside program, for the calendar years covered, in whole or in part, by the Annual Periods.</w:t>
      </w:r>
    </w:p>
    <w:p w:rsidRPr="00A93486" w:rsidR="00960870" w:rsidP="00DE7CC7" w:rsidRDefault="00960870" w14:paraId="78109556" w14:textId="3143F3A9">
      <w:pPr>
        <w:pStyle w:val="Heading3"/>
        <w:rPr>
          <w:u w:val="none"/>
        </w:rPr>
      </w:pPr>
      <w:r>
        <w:t>SO2 Emissions</w:t>
      </w:r>
      <w:r>
        <w:rPr>
          <w:u w:val="none"/>
        </w:rPr>
        <w:t xml:space="preserve">: </w:t>
      </w:r>
      <w:r>
        <w:rPr>
          <w:b w:val="0"/>
          <w:bCs w:val="0"/>
          <w:u w:val="none"/>
        </w:rPr>
        <w:t>Emissions of SO2.</w:t>
      </w:r>
    </w:p>
    <w:p w:rsidRPr="00BF5DF7" w:rsidR="00AE563C" w:rsidP="00DE7CC7" w:rsidRDefault="00960870" w14:paraId="6F742F47" w14:textId="755A524E">
      <w:pPr>
        <w:pStyle w:val="Heading3"/>
      </w:pPr>
      <w:r>
        <w:t>Southern Balancing Authority Area (SBAA)</w:t>
      </w:r>
      <w:r>
        <w:rPr>
          <w:u w:val="none"/>
        </w:rPr>
        <w:t xml:space="preserve">: </w:t>
      </w:r>
      <w:r>
        <w:rPr>
          <w:b w:val="0"/>
          <w:bCs w:val="0"/>
          <w:u w:val="none"/>
        </w:rPr>
        <w:t>The NERC- and SERC- recognized balancing authority area that includes the Southern Company Transmission System.</w:t>
      </w:r>
    </w:p>
    <w:p w:rsidRPr="00BF5DF7" w:rsidR="00AE563C" w:rsidP="00581883" w:rsidRDefault="00AE563C" w14:paraId="059B9E56" w14:textId="56452F98">
      <w:pPr>
        <w:pStyle w:val="Heading3"/>
      </w:pPr>
      <w:r>
        <w:t>Southern Companies</w:t>
      </w:r>
      <w:r>
        <w:rPr>
          <w:u w:val="none"/>
        </w:rPr>
        <w:t xml:space="preserve">: </w:t>
      </w:r>
      <w:r>
        <w:rPr>
          <w:b w:val="0"/>
          <w:bCs w:val="0"/>
          <w:u w:val="none"/>
        </w:rPr>
        <w:t>Collectively, the regulated electric operating companies of The Southern Company (i.e., Alabama Power Company, GPC, and Mississippi Power Company).</w:t>
      </w:r>
    </w:p>
    <w:p w:rsidRPr="00A93486" w:rsidR="00960870" w:rsidP="00DE7CC7" w:rsidRDefault="00AE563C" w14:paraId="2F3E0592" w14:textId="3E160C01">
      <w:pPr>
        <w:pStyle w:val="Heading3"/>
        <w:rPr>
          <w:b w:val="0"/>
          <w:bCs w:val="0"/>
        </w:rPr>
      </w:pPr>
      <w:r>
        <w:t>Southern Company</w:t>
      </w:r>
      <w:r>
        <w:rPr>
          <w:u w:val="none"/>
        </w:rPr>
        <w:t xml:space="preserve">: </w:t>
      </w:r>
      <w:r>
        <w:rPr>
          <w:b w:val="0"/>
          <w:bCs w:val="0"/>
          <w:u w:val="none"/>
        </w:rPr>
        <w:t>The Southern Company, a Delaware corporation, the parent of GPC.</w:t>
      </w:r>
      <w:r>
        <w:rPr>
          <w:b w:val="0"/>
          <w:bCs w:val="0"/>
        </w:rPr>
        <w:t xml:space="preserve">  </w:t>
      </w:r>
    </w:p>
    <w:p w:rsidRPr="00A93486" w:rsidR="004A2909" w:rsidP="00DE7CC7" w:rsidRDefault="004A2909" w14:paraId="4C34F9E2" w14:textId="2763260D">
      <w:pPr>
        <w:pStyle w:val="Heading3"/>
        <w:rPr>
          <w:b w:val="0"/>
          <w:bCs w:val="0"/>
        </w:rPr>
      </w:pPr>
      <w:r>
        <w:t>Southern Company Services (SCS)</w:t>
      </w:r>
      <w:r>
        <w:rPr>
          <w:u w:val="none"/>
        </w:rPr>
        <w:t xml:space="preserve">: </w:t>
      </w:r>
      <w:r>
        <w:rPr>
          <w:b w:val="0"/>
          <w:bCs w:val="0"/>
          <w:u w:val="none"/>
        </w:rPr>
        <w:t>Southern Company Services, Inc., an Affiliate of GPC that performs services as agent for GPC.</w:t>
      </w:r>
    </w:p>
    <w:p w:rsidRPr="00BF5DF7" w:rsidR="00960870" w:rsidP="00DE7CC7" w:rsidRDefault="00960870" w14:paraId="7968794B" w14:textId="5A89E007">
      <w:pPr>
        <w:pStyle w:val="Heading3"/>
      </w:pPr>
      <w:r>
        <w:t>Southern Company Transmission System</w:t>
      </w:r>
      <w:r>
        <w:rPr>
          <w:u w:val="none"/>
        </w:rPr>
        <w:t xml:space="preserve">: </w:t>
      </w:r>
      <w:r>
        <w:rPr>
          <w:b w:val="0"/>
          <w:bCs w:val="0"/>
          <w:u w:val="none"/>
        </w:rPr>
        <w:t>The transmission system consisting of transmission facilities (&gt;40 kV) owned by the Southern Companies, as the system may be modified or expanded from time-to-time, as well as any successor transmission system. For the avoidance of doubt, the Southern Company Transmission System does not include the Georgia ITS facilities owned by the ITS Participants.</w:t>
      </w:r>
    </w:p>
    <w:p w:rsidRPr="00BF5DF7" w:rsidR="00A67666" w:rsidP="00DE7CC7" w:rsidRDefault="00A67666" w14:paraId="1D9D8074" w14:textId="77777777">
      <w:pPr>
        <w:pStyle w:val="Heading3"/>
      </w:pPr>
      <w:r>
        <w:t>Southern OATT</w:t>
      </w:r>
      <w:r>
        <w:rPr>
          <w:u w:val="none"/>
        </w:rPr>
        <w:t xml:space="preserve">: </w:t>
      </w:r>
      <w:r>
        <w:rPr>
          <w:b w:val="0"/>
          <w:bCs w:val="0"/>
          <w:u w:val="none"/>
        </w:rPr>
        <w:t>Southern Company’s Open Access Transmission Tariff.</w:t>
      </w:r>
    </w:p>
    <w:p w:rsidRPr="00A93486" w:rsidR="00657C84" w:rsidP="00DE7CC7" w:rsidRDefault="00657C84" w14:paraId="1D3D028A" w14:textId="77777777">
      <w:pPr>
        <w:pStyle w:val="Heading3"/>
        <w:rPr>
          <w:u w:val="none"/>
        </w:rPr>
      </w:pPr>
      <w:bookmarkStart w:name="_Hlk142672366" w:id="26"/>
      <w:r>
        <w:t>Southern Transmission Interface</w:t>
      </w:r>
      <w:r>
        <w:rPr>
          <w:u w:val="none"/>
        </w:rPr>
        <w:t xml:space="preserve">: </w:t>
      </w:r>
      <w:r>
        <w:rPr>
          <w:b w:val="0"/>
          <w:bCs w:val="0"/>
          <w:u w:val="none"/>
        </w:rPr>
        <w:t>A transmission interface between the Southern Company Transmission System and another Electric System outside the SBAA.</w:t>
      </w:r>
    </w:p>
    <w:bookmarkEnd w:id="26"/>
    <w:p w:rsidRPr="00BF5DF7" w:rsidR="00597B0F" w:rsidP="00DE7CC7" w:rsidRDefault="00105AD7" w14:paraId="30BDB5EB" w14:textId="1B7013D2">
      <w:pPr>
        <w:pStyle w:val="Heading3"/>
      </w:pPr>
      <w:r>
        <w:t>Southern Transmission Territory (STT)</w:t>
      </w:r>
      <w:r>
        <w:rPr>
          <w:u w:val="none"/>
        </w:rPr>
        <w:t xml:space="preserve">: </w:t>
      </w:r>
      <w:r>
        <w:rPr>
          <w:b w:val="0"/>
          <w:bCs w:val="0"/>
          <w:u w:val="none"/>
        </w:rPr>
        <w:t>Depending on usage, either: (i) the Southern Company Transmission System and the Georgia ITS; or (ii) the geographic area that would allow interconnection to either the Southern Company Transmission System or the Georgia ITS.</w:t>
      </w:r>
    </w:p>
    <w:p w:rsidR="000F5AFA" w:rsidP="00DE7CC7" w:rsidRDefault="000F5AFA" w14:paraId="2DEE070A" w14:textId="284BBF73">
      <w:pPr>
        <w:pStyle w:val="Heading3"/>
      </w:pPr>
      <w:r>
        <w:t>Standard Base Capacity Cap</w:t>
      </w:r>
      <w:r>
        <w:rPr>
          <w:u w:val="none"/>
        </w:rPr>
        <w:t xml:space="preserve">: </w:t>
      </w:r>
      <w:r>
        <w:rPr>
          <w:b w:val="0"/>
          <w:bCs w:val="0"/>
          <w:u w:val="none"/>
        </w:rPr>
        <w:t>Defined in, and determined in accordance with, Exhibit B (</w:t>
      </w:r>
      <w:r>
        <w:rPr>
          <w:b w:val="0"/>
          <w:bCs w:val="0"/>
          <w:i/>
          <w:u w:val="none"/>
        </w:rPr>
        <w:t>Capacity; Capacity Payments and Payment Reductions; Buydown</w:t>
      </w:r>
      <w:r>
        <w:rPr>
          <w:b w:val="0"/>
          <w:bCs w:val="0"/>
          <w:u w:val="none"/>
        </w:rPr>
        <w:t>), Section 1.1.A (</w:t>
      </w:r>
      <w:r>
        <w:rPr>
          <w:b w:val="0"/>
          <w:bCs w:val="0"/>
          <w:i/>
          <w:u w:val="none"/>
        </w:rPr>
        <w:t>Contracted Capacity Cap</w:t>
      </w:r>
      <w:r>
        <w:rPr>
          <w:b w:val="0"/>
          <w:bCs w:val="0"/>
          <w:u w:val="none"/>
        </w:rPr>
        <w:t>).</w:t>
      </w:r>
    </w:p>
    <w:p w:rsidRPr="00A93486" w:rsidR="002F429F" w:rsidP="00DE7CC7" w:rsidRDefault="00056813" w14:paraId="3134C6A0" w14:textId="79F7563C">
      <w:pPr>
        <w:pStyle w:val="Heading3"/>
        <w:rPr>
          <w:b w:val="0"/>
          <w:bCs w:val="0"/>
        </w:rPr>
      </w:pPr>
      <w:r>
        <w:t>Standard Capacity Cap</w:t>
      </w:r>
      <w:r>
        <w:rPr>
          <w:u w:val="none"/>
        </w:rPr>
        <w:t xml:space="preserve">: </w:t>
      </w:r>
      <w:r>
        <w:rPr>
          <w:b w:val="0"/>
          <w:bCs w:val="0"/>
          <w:u w:val="none"/>
        </w:rPr>
        <w:t>Defined in, and determined in accordance with, Exhibit B (</w:t>
      </w:r>
      <w:r>
        <w:rPr>
          <w:b w:val="0"/>
          <w:bCs w:val="0"/>
          <w:i/>
          <w:u w:val="none"/>
        </w:rPr>
        <w:t>Capacity; Capacity Payments and Payment Reductions; Buydown</w:t>
      </w:r>
      <w:r>
        <w:rPr>
          <w:b w:val="0"/>
          <w:bCs w:val="0"/>
          <w:u w:val="none"/>
        </w:rPr>
        <w:t>), Section 1.1.A (</w:t>
      </w:r>
      <w:r>
        <w:rPr>
          <w:b w:val="0"/>
          <w:bCs w:val="0"/>
          <w:i/>
          <w:u w:val="none"/>
        </w:rPr>
        <w:t>Contracted Capacity Cap</w:t>
      </w:r>
      <w:r>
        <w:rPr>
          <w:b w:val="0"/>
          <w:bCs w:val="0"/>
          <w:u w:val="none"/>
        </w:rPr>
        <w:t>).</w:t>
      </w:r>
    </w:p>
    <w:p w:rsidRPr="00A93486" w:rsidR="005904B1" w:rsidP="00DE7CC7" w:rsidRDefault="005904B1" w14:paraId="0F936B4D" w14:textId="3CBC65C4">
      <w:pPr>
        <w:pStyle w:val="Heading3"/>
        <w:rPr>
          <w:u w:val="none"/>
        </w:rPr>
      </w:pPr>
      <w:r>
        <w:t>Standard Capacity Range</w:t>
      </w:r>
      <w:r>
        <w:rPr>
          <w:u w:val="none"/>
        </w:rPr>
        <w:t xml:space="preserve">: </w:t>
      </w:r>
      <w:r>
        <w:rPr>
          <w:b w:val="0"/>
          <w:bCs w:val="0"/>
          <w:u w:val="none"/>
        </w:rPr>
        <w:t>Defined in, and determined in accordance with, Exhibit B (</w:t>
      </w:r>
      <w:r>
        <w:rPr>
          <w:b w:val="0"/>
          <w:bCs w:val="0"/>
          <w:i/>
          <w:u w:val="none"/>
        </w:rPr>
        <w:t>Capacity; Capacity Payments and Payment Reductions; Buydown</w:t>
      </w:r>
      <w:r>
        <w:rPr>
          <w:b w:val="0"/>
          <w:bCs w:val="0"/>
          <w:u w:val="none"/>
        </w:rPr>
        <w:t>), Section 1.1.B (</w:t>
      </w:r>
      <w:r>
        <w:rPr>
          <w:b w:val="0"/>
          <w:bCs w:val="0"/>
          <w:i/>
          <w:u w:val="none"/>
        </w:rPr>
        <w:t>Contracted Capacity Range</w:t>
      </w:r>
      <w:r>
        <w:rPr>
          <w:b w:val="0"/>
          <w:bCs w:val="0"/>
          <w:u w:val="none"/>
        </w:rPr>
        <w:t>).</w:t>
      </w:r>
    </w:p>
    <w:p w:rsidRPr="00A93486" w:rsidR="00E84BFC" w:rsidP="00DE7CC7" w:rsidRDefault="00E84BFC" w14:paraId="2C85D4B1" w14:textId="2E68B37F">
      <w:pPr>
        <w:pStyle w:val="Heading3"/>
        <w:rPr>
          <w:b w:val="0"/>
          <w:bCs w:val="0"/>
        </w:rPr>
      </w:pPr>
      <w:r>
        <w:t>Standard Seasonal Performance Periods</w:t>
      </w:r>
      <w:r>
        <w:rPr>
          <w:u w:val="none"/>
        </w:rPr>
        <w:t xml:space="preserve">: </w:t>
      </w:r>
      <w:r>
        <w:rPr>
          <w:b w:val="0"/>
          <w:bCs w:val="0"/>
          <w:u w:val="none"/>
        </w:rPr>
        <w:t>Fall, Spring, and the Summer Seasonal Performance Period.</w:t>
      </w:r>
    </w:p>
    <w:p w:rsidRPr="00A93486" w:rsidR="00B85262" w:rsidP="00DE7CC7" w:rsidRDefault="00B85262" w14:paraId="067F3C83" w14:textId="0AF70CEB">
      <w:pPr>
        <w:pStyle w:val="Heading3"/>
        <w:rPr>
          <w:u w:val="none"/>
        </w:rPr>
      </w:pPr>
      <w:r>
        <w:t>Standard Supplemental Capacity Cap</w:t>
      </w:r>
      <w:r>
        <w:rPr>
          <w:u w:val="none"/>
        </w:rPr>
        <w:t xml:space="preserve">: </w:t>
      </w:r>
      <w:r>
        <w:rPr>
          <w:b w:val="0"/>
          <w:bCs w:val="0"/>
          <w:u w:val="none"/>
        </w:rPr>
        <w:t>Defined in, and determined in accordance with, Exhibit B (</w:t>
      </w:r>
      <w:r>
        <w:rPr>
          <w:b w:val="0"/>
          <w:bCs w:val="0"/>
          <w:i/>
          <w:u w:val="none"/>
        </w:rPr>
        <w:t>Capacity; Capacity Payments and Payment Reductions; Buydown</w:t>
      </w:r>
      <w:r>
        <w:rPr>
          <w:b w:val="0"/>
          <w:bCs w:val="0"/>
          <w:u w:val="none"/>
        </w:rPr>
        <w:t>), Section 1.1.A (</w:t>
      </w:r>
      <w:r>
        <w:rPr>
          <w:b w:val="0"/>
          <w:bCs w:val="0"/>
          <w:i/>
          <w:u w:val="none"/>
        </w:rPr>
        <w:t>Contracted Capacity Cap</w:t>
      </w:r>
      <w:r>
        <w:rPr>
          <w:b w:val="0"/>
          <w:bCs w:val="0"/>
          <w:u w:val="none"/>
        </w:rPr>
        <w:t>).</w:t>
      </w:r>
    </w:p>
    <w:p w:rsidRPr="00BF5DF7" w:rsidR="00960870" w:rsidP="00DE7CC7" w:rsidRDefault="00960870" w14:paraId="636139A2" w14:textId="040A9FBE">
      <w:pPr>
        <w:pStyle w:val="Heading3"/>
      </w:pPr>
      <w:r>
        <w:t>Startup Energy</w:t>
      </w:r>
      <w:r>
        <w:rPr>
          <w:u w:val="none"/>
        </w:rPr>
        <w:t>:</w:t>
      </w:r>
      <w:r>
        <w:rPr>
          <w:w w:val="0"/>
          <w:u w:val="none"/>
        </w:rPr>
        <w:t xml:space="preserve"> </w:t>
      </w:r>
      <w:r>
        <w:rPr>
          <w:b w:val="0"/>
          <w:bCs w:val="0"/>
          <w:w w:val="0"/>
          <w:u w:val="none"/>
        </w:rPr>
        <w:t>Energy produced during startup when ramping from synchronization to the Minimum Capacity</w:t>
      </w:r>
      <w:r>
        <w:rPr>
          <w:b w:val="0"/>
          <w:bCs w:val="0"/>
          <w:u w:val="none"/>
        </w:rPr>
        <w:t>.</w:t>
      </w:r>
    </w:p>
    <w:p w:rsidRPr="00BF5DF7" w:rsidR="00960870" w:rsidP="00DE7CC7" w:rsidRDefault="00960870" w14:paraId="070ACC74" w14:textId="3943B8B2">
      <w:pPr>
        <w:pStyle w:val="Heading3"/>
      </w:pPr>
      <w:r>
        <w:t>Startup Event</w:t>
      </w:r>
      <w:r>
        <w:rPr>
          <w:u w:val="none"/>
        </w:rPr>
        <w:t xml:space="preserve">: </w:t>
      </w:r>
      <w:r>
        <w:rPr>
          <w:b w:val="0"/>
          <w:bCs w:val="0"/>
          <w:u w:val="none"/>
        </w:rPr>
        <w:t>Defined in Exhibit C (</w:t>
      </w:r>
      <w:r>
        <w:rPr>
          <w:b w:val="0"/>
          <w:bCs w:val="0"/>
          <w:i/>
          <w:u w:val="none"/>
        </w:rPr>
        <w:t>Energy Payment Calculation</w:t>
      </w:r>
      <w:r>
        <w:rPr>
          <w:b w:val="0"/>
          <w:bCs w:val="0"/>
          <w:u w:val="none"/>
        </w:rPr>
        <w:t>), Section 1.3 (</w:t>
      </w:r>
      <w:r>
        <w:rPr>
          <w:b w:val="0"/>
          <w:bCs w:val="0"/>
          <w:i/>
          <w:u w:val="none"/>
        </w:rPr>
        <w:t>Monthly Startup Charges</w:t>
      </w:r>
      <w:r>
        <w:rPr>
          <w:b w:val="0"/>
          <w:bCs w:val="0"/>
          <w:i/>
          <w:iCs/>
          <w:u w:val="none"/>
        </w:rPr>
        <w:t xml:space="preserve"> (MSC)</w:t>
      </w:r>
      <w:r>
        <w:rPr>
          <w:b w:val="0"/>
          <w:bCs w:val="0"/>
          <w:u w:val="none"/>
        </w:rPr>
        <w:t>).</w:t>
      </w:r>
    </w:p>
    <w:p w:rsidRPr="00BF5DF7" w:rsidR="00960870" w:rsidP="00DE7CC7" w:rsidRDefault="00960870" w14:paraId="445238A9" w14:textId="08C1CBBB">
      <w:pPr>
        <w:pStyle w:val="Heading3"/>
      </w:pPr>
      <w:r>
        <w:t>Station Service</w:t>
      </w:r>
      <w:r>
        <w:rPr>
          <w:u w:val="none"/>
        </w:rPr>
        <w:t xml:space="preserve">: </w:t>
      </w:r>
      <w:r>
        <w:rPr>
          <w:b w:val="0"/>
          <w:bCs w:val="0"/>
          <w:u w:val="none"/>
        </w:rPr>
        <w:t>E</w:t>
      </w:r>
      <w:bookmarkStart w:name="_Hlk37504832" w:id="27"/>
      <w:r>
        <w:rPr>
          <w:b w:val="0"/>
          <w:bCs w:val="0"/>
          <w:u w:val="none"/>
        </w:rPr>
        <w:t xml:space="preserve">nergy that is used to serve the electrical requirements of the Facility and includes the transformer losses and line losses between the Facility and the </w:t>
      </w:r>
      <w:bookmarkEnd w:id="27"/>
      <w:r>
        <w:rPr>
          <w:b w:val="0"/>
          <w:bCs w:val="0"/>
          <w:u w:val="none"/>
        </w:rPr>
        <w:t>Electric System.</w:t>
      </w:r>
    </w:p>
    <w:p w:rsidRPr="00A93486" w:rsidR="009B6EA7" w:rsidP="00DE7CC7" w:rsidRDefault="009B6EA7" w14:paraId="1C2BF309" w14:textId="0FE8B494">
      <w:pPr>
        <w:pStyle w:val="Heading3"/>
        <w:rPr>
          <w:b w:val="0"/>
          <w:bCs w:val="0"/>
        </w:rPr>
      </w:pPr>
      <w:r>
        <w:t>STT</w:t>
      </w:r>
      <w:r>
        <w:rPr>
          <w:u w:val="none"/>
        </w:rPr>
        <w:t xml:space="preserve">: </w:t>
      </w:r>
      <w:r>
        <w:rPr>
          <w:b w:val="0"/>
          <w:bCs w:val="0"/>
          <w:u w:val="none"/>
        </w:rPr>
        <w:t>See Southern Transmission Territory.</w:t>
      </w:r>
    </w:p>
    <w:p w:rsidRPr="00A93486" w:rsidR="00960870" w:rsidP="00DE7CC7" w:rsidRDefault="00960870" w14:paraId="21547FEA" w14:textId="561D4E4F">
      <w:pPr>
        <w:pStyle w:val="Heading3"/>
        <w:rPr>
          <w:u w:val="none"/>
        </w:rPr>
      </w:pPr>
      <w:r>
        <w:rPr>
          <w:w w:val="0"/>
        </w:rPr>
        <w:t>Substitute Unit</w:t>
      </w:r>
      <w:r>
        <w:rPr>
          <w:w w:val="0"/>
          <w:u w:val="none"/>
        </w:rPr>
        <w:t xml:space="preserve">: </w:t>
      </w:r>
      <w:r w:rsidRPr="00786F88" w:rsidR="00786F88">
        <w:rPr>
          <w:b w:val="0"/>
          <w:bCs w:val="0"/>
          <w:u w:val="none"/>
        </w:rPr>
        <w:t>Defined in Section 4.4.1 (</w:t>
      </w:r>
      <w:r w:rsidRPr="00786F88" w:rsidR="00786F88">
        <w:rPr>
          <w:b w:val="0"/>
          <w:bCs w:val="0"/>
          <w:i/>
          <w:u w:val="none"/>
        </w:rPr>
        <w:t>Current Unit Replacement with Substitute Unit</w:t>
      </w:r>
      <w:r w:rsidRPr="00786F88" w:rsidR="00786F88">
        <w:rPr>
          <w:b w:val="0"/>
          <w:bCs w:val="0"/>
          <w:u w:val="none"/>
        </w:rPr>
        <w:t>).</w:t>
      </w:r>
    </w:p>
    <w:p w:rsidRPr="00BF5DF7" w:rsidR="00960870" w:rsidP="00DE7CC7" w:rsidRDefault="00960870" w14:paraId="41BC09A7" w14:textId="32B7934D">
      <w:pPr>
        <w:pStyle w:val="Heading3"/>
      </w:pPr>
      <w:r>
        <w:lastRenderedPageBreak/>
        <w:t>Substitution Eligibility Criteria</w:t>
      </w:r>
      <w:r>
        <w:rPr>
          <w:u w:val="none"/>
        </w:rPr>
        <w:t>:</w:t>
      </w:r>
      <w:r>
        <w:rPr>
          <w:w w:val="0"/>
          <w:u w:val="none"/>
        </w:rPr>
        <w:t xml:space="preserve"> </w:t>
      </w:r>
      <w:r>
        <w:rPr>
          <w:b w:val="0"/>
          <w:bCs w:val="0"/>
          <w:w w:val="0"/>
          <w:u w:val="none"/>
        </w:rPr>
        <w:t>Defined in Section 4.4.2 (</w:t>
      </w:r>
      <w:r>
        <w:rPr>
          <w:b w:val="0"/>
          <w:bCs w:val="0"/>
          <w:i/>
          <w:w w:val="0"/>
          <w:u w:val="none"/>
        </w:rPr>
        <w:t>Substitution Eligibility</w:t>
      </w:r>
      <w:r>
        <w:rPr>
          <w:b w:val="0"/>
          <w:bCs w:val="0"/>
          <w:w w:val="0"/>
          <w:u w:val="none"/>
        </w:rPr>
        <w:t>).</w:t>
      </w:r>
    </w:p>
    <w:p w:rsidRPr="00BF5DF7" w:rsidR="00960870" w:rsidP="00DE7CC7" w:rsidRDefault="00960870" w14:paraId="65CB16BE" w14:textId="05C6E5B9">
      <w:pPr>
        <w:pStyle w:val="Heading3"/>
      </w:pPr>
      <w:r>
        <w:rPr>
          <w:w w:val="0"/>
        </w:rPr>
        <w:t>Supplemental Mode Value Factor</w:t>
      </w:r>
      <w:r>
        <w:rPr>
          <w:w w:val="0"/>
          <w:u w:val="none"/>
        </w:rPr>
        <w:t xml:space="preserve">: </w:t>
      </w:r>
      <w:r>
        <w:rPr>
          <w:b w:val="0"/>
          <w:bCs w:val="0"/>
          <w:w w:val="0"/>
          <w:u w:val="none"/>
        </w:rPr>
        <w:t>Defined in Exhibit B (</w:t>
      </w:r>
      <w:r>
        <w:rPr>
          <w:b w:val="0"/>
          <w:bCs w:val="0"/>
          <w:i/>
          <w:w w:val="0"/>
          <w:u w:val="none"/>
        </w:rPr>
        <w:t>Capacity; Capacity Payments</w:t>
      </w:r>
      <w:r>
        <w:rPr>
          <w:b w:val="0"/>
          <w:bCs w:val="0"/>
          <w:i/>
          <w:u w:val="none"/>
        </w:rPr>
        <w:t xml:space="preserve"> and Payment Reductions; Buydown</w:t>
      </w:r>
      <w:r>
        <w:rPr>
          <w:b w:val="0"/>
          <w:bCs w:val="0"/>
          <w:w w:val="0"/>
          <w:u w:val="none"/>
        </w:rPr>
        <w:t>), Section 1.5 (</w:t>
      </w:r>
      <w:r>
        <w:rPr>
          <w:b w:val="0"/>
          <w:bCs w:val="0"/>
          <w:i/>
          <w:w w:val="0"/>
          <w:u w:val="none"/>
        </w:rPr>
        <w:t>Capacity Pricing</w:t>
      </w:r>
      <w:r>
        <w:rPr>
          <w:b w:val="0"/>
          <w:bCs w:val="0"/>
          <w:iCs/>
          <w:w w:val="0"/>
          <w:u w:val="none"/>
        </w:rPr>
        <w:t>).</w:t>
      </w:r>
    </w:p>
    <w:p w:rsidRPr="00BF5DF7" w:rsidR="00960870" w:rsidP="00DE7CC7" w:rsidRDefault="00960870" w14:paraId="3B347760" w14:textId="0A50C4C1">
      <w:pPr>
        <w:pStyle w:val="Heading3"/>
      </w:pPr>
      <w:r>
        <w:rPr>
          <w:w w:val="0"/>
        </w:rPr>
        <w:t>Supplemental Operating Mode</w:t>
      </w:r>
      <w:r>
        <w:rPr>
          <w:w w:val="0"/>
          <w:u w:val="none"/>
        </w:rPr>
        <w:t xml:space="preserve">: </w:t>
      </w:r>
      <w:r>
        <w:rPr>
          <w:b w:val="0"/>
          <w:bCs w:val="0"/>
          <w:w w:val="0"/>
          <w:u w:val="none"/>
        </w:rPr>
        <w:t>Operation of the Facility in Tier 1 or Tier 2 Supplemental Operating Modes, either individually or collectively.</w:t>
      </w:r>
    </w:p>
    <w:p w:rsidRPr="00BF5DF7" w:rsidR="00960870" w:rsidP="00DE7CC7" w:rsidRDefault="00960870" w14:paraId="66D47D7B" w14:textId="4D179FC2">
      <w:pPr>
        <w:pStyle w:val="Heading3"/>
      </w:pPr>
      <w:r>
        <w:rPr>
          <w:w w:val="0"/>
        </w:rPr>
        <w:t>Supplemental Operating Mode Energy</w:t>
      </w:r>
      <w:r>
        <w:rPr>
          <w:w w:val="0"/>
          <w:u w:val="none"/>
        </w:rPr>
        <w:t>:</w:t>
      </w:r>
      <w:r>
        <w:rPr>
          <w:b w:val="0"/>
          <w:bCs w:val="0"/>
          <w:w w:val="0"/>
          <w:u w:val="none"/>
        </w:rPr>
        <w:t xml:space="preserve"> The incremental energy increase produced by the Facility in the Supplemental Operating Mode.</w:t>
      </w:r>
    </w:p>
    <w:p w:rsidRPr="00BF5DF7" w:rsidR="00960870" w:rsidP="00DE7CC7" w:rsidRDefault="00960870" w14:paraId="00DECF33" w14:textId="73855738">
      <w:pPr>
        <w:pStyle w:val="Heading3"/>
      </w:pPr>
      <w:r>
        <w:rPr>
          <w:w w:val="0"/>
        </w:rPr>
        <w:t>System Emergency</w:t>
      </w:r>
      <w:r>
        <w:rPr>
          <w:w w:val="0"/>
          <w:u w:val="none"/>
        </w:rPr>
        <w:t xml:space="preserve">: </w:t>
      </w:r>
      <w:r>
        <w:rPr>
          <w:b w:val="0"/>
          <w:bCs w:val="0"/>
          <w:w w:val="0"/>
          <w:u w:val="none"/>
        </w:rPr>
        <w:t xml:space="preserve">When the Scheduling Center has determined </w:t>
      </w:r>
      <w:r>
        <w:rPr>
          <w:b w:val="0"/>
          <w:bCs w:val="0"/>
          <w:u w:val="none"/>
        </w:rPr>
        <w:t>in accordance with</w:t>
      </w:r>
      <w:r>
        <w:rPr>
          <w:b w:val="0"/>
          <w:bCs w:val="0"/>
          <w:w w:val="0"/>
          <w:u w:val="none"/>
        </w:rPr>
        <w:t xml:space="preserve"> its prevailing practices that conditions are expected to occur or have occurred that could jeopardize the ability to meet projected loads in the SBAA.</w:t>
      </w:r>
    </w:p>
    <w:p w:rsidR="00652FC8" w:rsidP="00652FC8" w:rsidRDefault="00652FC8" w14:paraId="4E0F3374" w14:textId="77777777">
      <w:pPr>
        <w:rPr>
          <w:rFonts w:cs="Arial"/>
          <w:b/>
          <w:bCs/>
          <w:u w:val="single"/>
        </w:rPr>
      </w:pPr>
      <w:r>
        <w:rPr>
          <w:rFonts w:cs="Arial"/>
          <w:b/>
          <w:bCs/>
          <w:u w:val="single"/>
        </w:rPr>
        <w:t xml:space="preserve">Tariff: </w:t>
      </w:r>
      <w:r w:rsidRPr="007B6DCB">
        <w:rPr>
          <w:rFonts w:cs="Arial"/>
        </w:rPr>
        <w:t>Any import tariff, customs duty, trade measure, surcharge, or similar governmental charge imposed on the importation of equipment, components, materials, or supplies used for the construction, repair, operation, or maintenance of the Facility.</w:t>
      </w:r>
    </w:p>
    <w:p w:rsidRPr="00BF5DF7" w:rsidR="00960870" w:rsidP="00DE7CC7" w:rsidRDefault="0065653F" w14:paraId="7EBF8023" w14:textId="250BFF0A">
      <w:pPr>
        <w:pStyle w:val="Heading3"/>
      </w:pPr>
      <w:r>
        <w:t xml:space="preserve">Tax or </w:t>
      </w:r>
      <w:r w:rsidR="00960870">
        <w:t>Taxes</w:t>
      </w:r>
      <w:r w:rsidR="00960870">
        <w:rPr>
          <w:u w:val="none"/>
        </w:rPr>
        <w:t xml:space="preserve">: </w:t>
      </w:r>
      <w:r w:rsidR="00960870">
        <w:rPr>
          <w:b w:val="0"/>
          <w:bCs w:val="0"/>
          <w:u w:val="none"/>
        </w:rPr>
        <w:t>Any income, gross receipts, license, employment, excise, recording, stamp, customs, capital stock, franchise, profits, withholding, social security, unemployment, disability, property (real or personal), sales, use, transfer, value added, net worth, capital gains, payroll, alternative minimum or other tax, or any other charge, fee, levy, tariff, duty, liability, imposition, or other assessment in the nature of a tax, imposed by any Governmental Authority, including any interest, penalties, and additions to tax imposed with respect thereto, and any liability for any of the foregoing of any Person under any applicable law, including as a transferee or successor, by contract or otherwise.</w:t>
      </w:r>
    </w:p>
    <w:p w:rsidRPr="00BF5DF7" w:rsidR="00960870" w:rsidP="00DE7CC7" w:rsidRDefault="00960870" w14:paraId="13A3A9CB" w14:textId="08A53C2D">
      <w:pPr>
        <w:pStyle w:val="Heading3"/>
      </w:pPr>
      <w:r>
        <w:t>Technical Limits</w:t>
      </w:r>
      <w:r>
        <w:rPr>
          <w:u w:val="none"/>
        </w:rPr>
        <w:t xml:space="preserve">: </w:t>
      </w:r>
      <w:r>
        <w:rPr>
          <w:b w:val="0"/>
          <w:bCs w:val="0"/>
          <w:u w:val="none"/>
        </w:rPr>
        <w:t>The operational limits and constraints described in Exhibit D (</w:t>
      </w:r>
      <w:r>
        <w:rPr>
          <w:b w:val="0"/>
          <w:bCs w:val="0"/>
          <w:i/>
          <w:u w:val="none"/>
        </w:rPr>
        <w:t>Technical Limits and Schedule Procedures</w:t>
      </w:r>
      <w:r>
        <w:rPr>
          <w:b w:val="0"/>
          <w:bCs w:val="0"/>
          <w:u w:val="none"/>
        </w:rPr>
        <w:t>), Part 1 (</w:t>
      </w:r>
      <w:r>
        <w:rPr>
          <w:b w:val="0"/>
          <w:bCs w:val="0"/>
          <w:i/>
          <w:u w:val="none"/>
        </w:rPr>
        <w:t>Technical Limits</w:t>
      </w:r>
      <w:r>
        <w:rPr>
          <w:b w:val="0"/>
          <w:bCs w:val="0"/>
          <w:u w:val="none"/>
        </w:rPr>
        <w:t>).</w:t>
      </w:r>
    </w:p>
    <w:p w:rsidRPr="00BF5DF7" w:rsidR="00960870" w:rsidP="00DE7CC7" w:rsidRDefault="00960870" w14:paraId="08B57F21" w14:textId="54CB077A">
      <w:pPr>
        <w:pStyle w:val="Heading3"/>
      </w:pPr>
      <w:r>
        <w:t>Term</w:t>
      </w:r>
      <w:r>
        <w:rPr>
          <w:u w:val="none"/>
        </w:rPr>
        <w:t xml:space="preserve">: </w:t>
      </w:r>
      <w:r>
        <w:rPr>
          <w:b w:val="0"/>
          <w:bCs w:val="0"/>
          <w:u w:val="none"/>
        </w:rPr>
        <w:t>The term of this PPA, which becomes effective on the Effective Date and continues for the number of Annual Periods (5, 10, 15, 20, 25, or 30) specified in Table A-2 (</w:t>
      </w:r>
      <w:r>
        <w:rPr>
          <w:b w:val="0"/>
          <w:bCs w:val="0"/>
          <w:i/>
          <w:u w:val="none"/>
        </w:rPr>
        <w:t>Term, RCOD, and Earliest Delivery Commencement Date</w:t>
      </w:r>
      <w:r>
        <w:rPr>
          <w:b w:val="0"/>
          <w:bCs w:val="0"/>
          <w:u w:val="none"/>
        </w:rPr>
        <w:t>) of</w:t>
      </w:r>
      <w:r>
        <w:rPr>
          <w:u w:val="none"/>
        </w:rPr>
        <w:t xml:space="preserve"> </w:t>
      </w:r>
      <w:r>
        <w:rPr>
          <w:b w:val="0"/>
          <w:bCs w:val="0"/>
          <w:u w:val="none"/>
        </w:rPr>
        <w:t>Exhibit A (</w:t>
      </w:r>
      <w:r>
        <w:rPr>
          <w:b w:val="0"/>
          <w:bCs w:val="0"/>
          <w:i/>
          <w:u w:val="none"/>
        </w:rPr>
        <w:t>Facility Description and Additional Details</w:t>
      </w:r>
      <w:r>
        <w:rPr>
          <w:b w:val="0"/>
          <w:bCs w:val="0"/>
          <w:u w:val="none"/>
        </w:rPr>
        <w:t>), unless terminated earlier as provided in this PPA.</w:t>
      </w:r>
    </w:p>
    <w:p w:rsidRPr="00BF5DF7" w:rsidR="00960870" w:rsidP="00DE7CC7" w:rsidRDefault="00960870" w14:paraId="35DAD92D" w14:textId="55E0319B">
      <w:pPr>
        <w:pStyle w:val="Heading3"/>
      </w:pPr>
      <w:r>
        <w:t>Termination Payment</w:t>
      </w:r>
      <w:r>
        <w:rPr>
          <w:u w:val="none"/>
        </w:rPr>
        <w:t xml:space="preserve">: </w:t>
      </w:r>
      <w:r>
        <w:rPr>
          <w:b w:val="0"/>
          <w:bCs w:val="0"/>
          <w:u w:val="none"/>
        </w:rPr>
        <w:t>Defined in Section 16.3.2 (</w:t>
      </w:r>
      <w:r>
        <w:rPr>
          <w:b w:val="0"/>
          <w:bCs w:val="0"/>
          <w:i/>
          <w:u w:val="none"/>
        </w:rPr>
        <w:t>Termination Payment</w:t>
      </w:r>
      <w:r>
        <w:rPr>
          <w:b w:val="0"/>
          <w:bCs w:val="0"/>
          <w:u w:val="none"/>
        </w:rPr>
        <w:t>).</w:t>
      </w:r>
    </w:p>
    <w:p w:rsidRPr="004F20AD" w:rsidR="0026452C" w:rsidP="00DE7CC7" w:rsidRDefault="00960870" w14:paraId="16A96A24" w14:textId="02EEC6F3">
      <w:pPr>
        <w:pStyle w:val="Heading3"/>
        <w:rPr>
          <w:b w:val="0"/>
          <w:bCs w:val="0"/>
          <w:u w:val="none"/>
        </w:rPr>
      </w:pPr>
      <w:r>
        <w:t>Test Energy Price</w:t>
      </w:r>
      <w:r>
        <w:rPr>
          <w:u w:val="none"/>
        </w:rPr>
        <w:t xml:space="preserve">: </w:t>
      </w:r>
      <w:r>
        <w:rPr>
          <w:b w:val="0"/>
          <w:bCs w:val="0"/>
          <w:u w:val="none"/>
        </w:rPr>
        <w:t>Defined in, and determined in accordance with, Exhibit B (</w:t>
      </w:r>
      <w:r>
        <w:rPr>
          <w:b w:val="0"/>
          <w:bCs w:val="0"/>
          <w:i/>
          <w:u w:val="none"/>
        </w:rPr>
        <w:t>Capacity; Capacity Payments and Payment Reductions; Buydown</w:t>
      </w:r>
      <w:r>
        <w:rPr>
          <w:b w:val="0"/>
          <w:bCs w:val="0"/>
          <w:u w:val="none"/>
        </w:rPr>
        <w:t>), Section 1.2 (</w:t>
      </w:r>
      <w:r>
        <w:rPr>
          <w:b w:val="0"/>
          <w:bCs w:val="0"/>
          <w:i/>
          <w:u w:val="none"/>
        </w:rPr>
        <w:t>Tested Reliable Capacity; Performance Tests</w:t>
      </w:r>
      <w:r>
        <w:rPr>
          <w:b w:val="0"/>
          <w:bCs w:val="0"/>
          <w:u w:val="none"/>
        </w:rPr>
        <w:t>).</w:t>
      </w:r>
    </w:p>
    <w:p w:rsidR="001A227F" w:rsidP="00DE7CC7" w:rsidRDefault="001A227F" w14:paraId="5D98236F" w14:textId="1FCA2DEB">
      <w:pPr>
        <w:pStyle w:val="Heading3"/>
      </w:pPr>
      <w:r>
        <w:t>Tested Base Capacity</w:t>
      </w:r>
      <w:r>
        <w:rPr>
          <w:u w:val="none"/>
        </w:rPr>
        <w:t xml:space="preserve">: </w:t>
      </w:r>
      <w:r>
        <w:rPr>
          <w:b w:val="0"/>
          <w:bCs w:val="0"/>
          <w:u w:val="none"/>
        </w:rPr>
        <w:t>(i) With respect to the Standard Seasonal Performance Periods, the Tested Standard Base Capacity; and (ii) with respect to the Winter Seasonal Performance Period, the Tested Winter Base Capacity.</w:t>
      </w:r>
    </w:p>
    <w:p w:rsidRPr="00C332A7" w:rsidR="5558D2B2" w:rsidP="00DE7CC7" w:rsidRDefault="5558D2B2" w14:paraId="4F6EA096" w14:textId="0816BEE6">
      <w:pPr>
        <w:pStyle w:val="Heading3"/>
      </w:pPr>
      <w:r>
        <w:t>Tested Capacity Values</w:t>
      </w:r>
      <w:r>
        <w:rPr>
          <w:u w:val="none"/>
        </w:rPr>
        <w:t xml:space="preserve">: </w:t>
      </w:r>
      <w:r>
        <w:rPr>
          <w:b w:val="0"/>
          <w:bCs w:val="0"/>
          <w:u w:val="none"/>
        </w:rPr>
        <w:t>Tested Standard Base Capacity, Tested Standard Supplemental Capacity, Tested Standard Reliable Capacity, Tested Winter Base Capacity, Tested Winter Supplemental Capacity, and Tested Winter Reliable Capacity.</w:t>
      </w:r>
    </w:p>
    <w:p w:rsidRPr="00BF5DF7" w:rsidR="004A3D68" w:rsidP="00DE7CC7" w:rsidRDefault="004A3D68" w14:paraId="539D6915" w14:textId="268897E5">
      <w:pPr>
        <w:pStyle w:val="Heading3"/>
      </w:pPr>
      <w:r>
        <w:t>Tested Reliable Capacity</w:t>
      </w:r>
      <w:r>
        <w:rPr>
          <w:u w:val="none"/>
        </w:rPr>
        <w:t xml:space="preserve">: </w:t>
      </w:r>
      <w:r>
        <w:rPr>
          <w:b w:val="0"/>
          <w:bCs w:val="0"/>
          <w:u w:val="none"/>
        </w:rPr>
        <w:t>(i) With respect to the Standard Seasonal Performance Periods, the Tested Standard Reliable Capacity; and (ii) with respect to the Winter Seasonal Performance Period, the Tested Winter Reliable Capacity.</w:t>
      </w:r>
    </w:p>
    <w:p w:rsidRPr="00BF5DF7" w:rsidR="00960870" w:rsidP="00DE7CC7" w:rsidRDefault="00960870" w14:paraId="0F16A08E" w14:textId="108F170E">
      <w:pPr>
        <w:pStyle w:val="Heading3"/>
      </w:pPr>
      <w:r>
        <w:t>Tested Standard Base Capacity</w:t>
      </w:r>
      <w:r>
        <w:rPr>
          <w:u w:val="none"/>
        </w:rPr>
        <w:t xml:space="preserve">: </w:t>
      </w:r>
      <w:r>
        <w:rPr>
          <w:b w:val="0"/>
          <w:bCs w:val="0"/>
          <w:u w:val="none"/>
        </w:rPr>
        <w:t>The capability of the Facility at Reference Conditions for the Standard Seasonal Performance Periods to produce Base Operating Mode Energy as demonstrated by a Performance Test.</w:t>
      </w:r>
    </w:p>
    <w:p w:rsidRPr="004F20AD" w:rsidR="00134577" w:rsidP="00DE7CC7" w:rsidRDefault="00134577" w14:paraId="120AFAD7" w14:textId="7736DF04">
      <w:pPr>
        <w:pStyle w:val="Heading3"/>
        <w:rPr>
          <w:b w:val="0"/>
          <w:bCs w:val="0"/>
        </w:rPr>
      </w:pPr>
      <w:r>
        <w:t>Tested Standard Reliable Capacity</w:t>
      </w:r>
      <w:r>
        <w:rPr>
          <w:u w:val="none"/>
        </w:rPr>
        <w:t xml:space="preserve">: </w:t>
      </w:r>
      <w:r>
        <w:rPr>
          <w:b w:val="0"/>
          <w:bCs w:val="0"/>
          <w:u w:val="none"/>
        </w:rPr>
        <w:t>The sum of the Tested Standard Base Capacity plus the Tested Standard Supplemental Capacity.</w:t>
      </w:r>
    </w:p>
    <w:p w:rsidR="00F707F0" w:rsidP="00DE7CC7" w:rsidRDefault="00F707F0" w14:paraId="5CC6CCFE" w14:textId="5CF63E66">
      <w:pPr>
        <w:pStyle w:val="Heading3"/>
      </w:pPr>
      <w:r>
        <w:t>Tested Standard Supplemental Capacity</w:t>
      </w:r>
      <w:r>
        <w:rPr>
          <w:u w:val="none"/>
        </w:rPr>
        <w:t xml:space="preserve">: </w:t>
      </w:r>
      <w:r>
        <w:rPr>
          <w:b w:val="0"/>
          <w:bCs w:val="0"/>
          <w:u w:val="none"/>
        </w:rPr>
        <w:t>The capability of the Facility at Reference Conditions for the Standard Seasonal Performance Periods to produce Supplemental Operating Mode Energy as demonstrated by a Performance Test.</w:t>
      </w:r>
    </w:p>
    <w:p w:rsidR="00C332A7" w:rsidP="00DE7CC7" w:rsidRDefault="00C71E4C" w14:paraId="2B40FAB7" w14:textId="7A5CE26D">
      <w:pPr>
        <w:pStyle w:val="Heading3"/>
      </w:pPr>
      <w:r>
        <w:t>Tested Supplemental Capacity</w:t>
      </w:r>
      <w:r>
        <w:rPr>
          <w:u w:val="none"/>
        </w:rPr>
        <w:t xml:space="preserve">: </w:t>
      </w:r>
      <w:r>
        <w:rPr>
          <w:b w:val="0"/>
          <w:bCs w:val="0"/>
          <w:u w:val="none"/>
        </w:rPr>
        <w:t>(i) With respect to the Standard Seasonal Performance Periods, the Tested Standard Supplemental Capacity; and (ii) with respect to the Winter Seasonal Performance Period, the Tested Winter Supplemental Capacity.</w:t>
      </w:r>
    </w:p>
    <w:p w:rsidR="00104A66" w:rsidP="00DE7CC7" w:rsidRDefault="00104A66" w14:paraId="4A4B83D1" w14:textId="2F9B172E">
      <w:pPr>
        <w:pStyle w:val="Heading3"/>
      </w:pPr>
      <w:r>
        <w:t>Tested Winter Base Capacity</w:t>
      </w:r>
      <w:r>
        <w:rPr>
          <w:u w:val="none"/>
        </w:rPr>
        <w:t xml:space="preserve">: </w:t>
      </w:r>
      <w:r>
        <w:rPr>
          <w:b w:val="0"/>
          <w:bCs w:val="0"/>
          <w:u w:val="none"/>
        </w:rPr>
        <w:t>The capability of the Facility at Reference Conditions for the Winter Seasonal Performance Period to produce Base Operating Mode Energy as demonstrated by a Performance Test.</w:t>
      </w:r>
    </w:p>
    <w:p w:rsidR="00134577" w:rsidP="00DE7CC7" w:rsidRDefault="00134577" w14:paraId="69FFA429" w14:textId="11CC4940">
      <w:pPr>
        <w:pStyle w:val="Heading3"/>
      </w:pPr>
      <w:r>
        <w:lastRenderedPageBreak/>
        <w:t>Tested Winter Reliable Capacity</w:t>
      </w:r>
      <w:r>
        <w:rPr>
          <w:u w:val="none"/>
        </w:rPr>
        <w:t xml:space="preserve">: </w:t>
      </w:r>
      <w:r>
        <w:rPr>
          <w:b w:val="0"/>
          <w:bCs w:val="0"/>
          <w:u w:val="none"/>
        </w:rPr>
        <w:t>The sum of the Tested Winter Base Capacity plus the Tested Winter Supplemental Capacity.</w:t>
      </w:r>
    </w:p>
    <w:p w:rsidRPr="00BF5DF7" w:rsidR="00D0022D" w:rsidP="00DE7CC7" w:rsidRDefault="00D0022D" w14:paraId="2FBA078E" w14:textId="2DC24315">
      <w:pPr>
        <w:pStyle w:val="Heading3"/>
      </w:pPr>
      <w:r>
        <w:t>Tested Winter Supplemental Capacity</w:t>
      </w:r>
      <w:r>
        <w:rPr>
          <w:u w:val="none"/>
        </w:rPr>
        <w:t xml:space="preserve">: </w:t>
      </w:r>
      <w:r>
        <w:rPr>
          <w:b w:val="0"/>
          <w:bCs w:val="0"/>
          <w:u w:val="none"/>
        </w:rPr>
        <w:t>The capability of the Facility at Reference Conditions for the Winter Seasonal Performance Period to produce Supplemental Operating Mode Energy as demonstrated by a Performance Test.</w:t>
      </w:r>
    </w:p>
    <w:p w:rsidRPr="00196A91" w:rsidR="00A357E0" w:rsidP="00DE7CC7" w:rsidRDefault="00A357E0" w14:paraId="5B65D72C" w14:textId="0EF5ADD8">
      <w:pPr>
        <w:pStyle w:val="Heading3"/>
      </w:pPr>
      <w:r>
        <w:t>Third Arbitrator</w:t>
      </w:r>
      <w:r>
        <w:rPr>
          <w:u w:val="none"/>
        </w:rPr>
        <w:t xml:space="preserve">: </w:t>
      </w:r>
      <w:r>
        <w:rPr>
          <w:b w:val="0"/>
          <w:bCs w:val="0"/>
          <w:u w:val="none"/>
        </w:rPr>
        <w:t>Defined in Section 19.3.2(i) (</w:t>
      </w:r>
      <w:r>
        <w:rPr>
          <w:b w:val="0"/>
          <w:bCs w:val="0"/>
          <w:i/>
          <w:iCs/>
          <w:u w:val="none"/>
        </w:rPr>
        <w:t>Initiation of Arbitration; Selection of Party-Appointed Arbitrators</w:t>
      </w:r>
      <w:r>
        <w:rPr>
          <w:b w:val="0"/>
          <w:bCs w:val="0"/>
          <w:u w:val="none"/>
        </w:rPr>
        <w:t>).</w:t>
      </w:r>
      <w:r>
        <w:rPr>
          <w:u w:val="none"/>
        </w:rPr>
        <w:t> </w:t>
      </w:r>
    </w:p>
    <w:p w:rsidRPr="00BF5DF7" w:rsidR="00960870" w:rsidP="00DE7CC7" w:rsidRDefault="00960870" w14:paraId="61FD6E0D" w14:textId="4A588915">
      <w:pPr>
        <w:pStyle w:val="Heading3"/>
      </w:pPr>
      <w:r>
        <w:t>Threshold Amount</w:t>
      </w:r>
      <w:r>
        <w:rPr>
          <w:u w:val="none"/>
        </w:rPr>
        <w:t xml:space="preserve">: </w:t>
      </w:r>
      <w:r w:rsidRPr="004052A6" w:rsidR="00EE3351">
        <w:rPr>
          <w:b w:val="0"/>
          <w:bCs w:val="0"/>
          <w:u w:val="none"/>
        </w:rPr>
        <w:t>$8.00/kW of Contracted Capacity, expressed in dollars by multiplying $8.00 by the Contracted Capacity (kW)</w:t>
      </w:r>
      <w:r>
        <w:rPr>
          <w:b w:val="0"/>
          <w:bCs w:val="0"/>
          <w:u w:val="none"/>
        </w:rPr>
        <w:t>.</w:t>
      </w:r>
    </w:p>
    <w:p w:rsidRPr="00BF5DF7" w:rsidR="00960870" w:rsidP="00DE7CC7" w:rsidRDefault="00960870" w14:paraId="5273CDF3" w14:textId="268763C0">
      <w:pPr>
        <w:pStyle w:val="Heading3"/>
      </w:pPr>
      <w:r>
        <w:t>Tier 1 Supplemental Capacity Shortfall</w:t>
      </w:r>
      <w:r>
        <w:rPr>
          <w:u w:val="none"/>
        </w:rPr>
        <w:t xml:space="preserve">: </w:t>
      </w:r>
      <w:r>
        <w:rPr>
          <w:b w:val="0"/>
          <w:bCs w:val="0"/>
          <w:u w:val="none"/>
        </w:rPr>
        <w:t>The Capacity Shortfall regarding the Declared Tier 1 Supplemental Capacity.</w:t>
      </w:r>
      <w:r>
        <w:t xml:space="preserve"> </w:t>
      </w:r>
    </w:p>
    <w:p w:rsidRPr="004F20AD" w:rsidR="000F3079" w:rsidP="00DE7CC7" w:rsidRDefault="00960870" w14:paraId="11A59B14" w14:textId="4B520EF5">
      <w:pPr>
        <w:pStyle w:val="Heading3"/>
        <w:rPr>
          <w:b w:val="0"/>
          <w:bCs w:val="0"/>
          <w:u w:val="none"/>
        </w:rPr>
      </w:pPr>
      <w:r>
        <w:t>Tier 1 Supplemental Mode Value Factor</w:t>
      </w:r>
      <w:r>
        <w:rPr>
          <w:u w:val="none"/>
        </w:rPr>
        <w:t xml:space="preserve">: </w:t>
      </w:r>
      <w:r>
        <w:rPr>
          <w:b w:val="0"/>
          <w:bCs w:val="0"/>
          <w:u w:val="none"/>
        </w:rPr>
        <w:t>Defined in Exhibit B (</w:t>
      </w:r>
      <w:r>
        <w:rPr>
          <w:b w:val="0"/>
          <w:bCs w:val="0"/>
          <w:i/>
          <w:u w:val="none"/>
        </w:rPr>
        <w:t>Capacity; Capacity Payments and Payment Reductions; Buydown)</w:t>
      </w:r>
      <w:r>
        <w:rPr>
          <w:b w:val="0"/>
          <w:bCs w:val="0"/>
          <w:u w:val="none"/>
        </w:rPr>
        <w:t>, Section 1.5 (</w:t>
      </w:r>
      <w:r>
        <w:rPr>
          <w:b w:val="0"/>
          <w:bCs w:val="0"/>
          <w:i/>
          <w:u w:val="none"/>
        </w:rPr>
        <w:t>Capacity Pricing</w:t>
      </w:r>
      <w:r>
        <w:rPr>
          <w:b w:val="0"/>
          <w:bCs w:val="0"/>
          <w:u w:val="none"/>
        </w:rPr>
        <w:t>).</w:t>
      </w:r>
    </w:p>
    <w:p w:rsidRPr="004F20AD" w:rsidR="00D078D2" w:rsidP="00DE7CC7" w:rsidRDefault="00960870" w14:paraId="5413932A" w14:textId="78B672C2">
      <w:pPr>
        <w:pStyle w:val="Heading3"/>
        <w:rPr>
          <w:b w:val="0"/>
          <w:bCs w:val="0"/>
          <w:w w:val="0"/>
          <w:u w:val="none"/>
        </w:rPr>
      </w:pPr>
      <w:r>
        <w:rPr>
          <w:w w:val="0"/>
        </w:rPr>
        <w:t>Tier 1 Supplemental Operating Mode</w:t>
      </w:r>
      <w:r>
        <w:rPr>
          <w:w w:val="0"/>
          <w:u w:val="none"/>
        </w:rPr>
        <w:t>:</w:t>
      </w:r>
      <w:r>
        <w:rPr>
          <w:b w:val="0"/>
          <w:bCs w:val="0"/>
          <w:w w:val="0"/>
          <w:u w:val="none"/>
        </w:rPr>
        <w:t xml:space="preserve"> </w:t>
      </w:r>
      <w:r>
        <w:rPr>
          <w:b w:val="0"/>
          <w:bCs w:val="0"/>
          <w:u w:val="none"/>
        </w:rPr>
        <w:t>(i) With respect to the Standard Seasonal Performance Periods, the Tier 1 Supplemental Operating Mode; and (ii) with respect to the Winter Seasonal Performance Period, the Tier 1 Winter Supplemental Operating Mode.</w:t>
      </w:r>
    </w:p>
    <w:p w:rsidRPr="000F3079" w:rsidR="00960870" w:rsidP="00DE7CC7" w:rsidRDefault="00D078D2" w14:paraId="7C9B7F50" w14:textId="7F82B2F5">
      <w:pPr>
        <w:pStyle w:val="Heading3"/>
        <w:rPr>
          <w:w w:val="0"/>
          <w:u w:val="none"/>
        </w:rPr>
      </w:pPr>
      <w:r>
        <w:rPr>
          <w:w w:val="0"/>
        </w:rPr>
        <w:t>Tier 1 Standard Supplemental Operating Mode</w:t>
      </w:r>
      <w:r>
        <w:rPr>
          <w:w w:val="0"/>
          <w:u w:val="none"/>
        </w:rPr>
        <w:t xml:space="preserve">: </w:t>
      </w:r>
      <w:r>
        <w:rPr>
          <w:b w:val="0"/>
          <w:bCs w:val="0"/>
          <w:w w:val="0"/>
          <w:u w:val="none"/>
        </w:rPr>
        <w:t xml:space="preserve">Operation of the Facility in the Supplemental Operating Mode designated as Tier 1 Standard in </w:t>
      </w:r>
      <w:r>
        <w:rPr>
          <w:b w:val="0"/>
          <w:bCs w:val="0"/>
          <w:iCs/>
          <w:u w:val="none"/>
        </w:rPr>
        <w:t>Exhibit A (</w:t>
      </w:r>
      <w:r>
        <w:rPr>
          <w:b w:val="0"/>
          <w:bCs w:val="0"/>
          <w:i/>
          <w:u w:val="none"/>
        </w:rPr>
        <w:t>Facility Description and Additional Details</w:t>
      </w:r>
      <w:r>
        <w:rPr>
          <w:b w:val="0"/>
          <w:bCs w:val="0"/>
          <w:iCs/>
          <w:u w:val="none"/>
        </w:rPr>
        <w:t>)</w:t>
      </w:r>
      <w:r>
        <w:rPr>
          <w:b w:val="0"/>
          <w:bCs w:val="0"/>
          <w:w w:val="0"/>
          <w:u w:val="none"/>
        </w:rPr>
        <w:t>.</w:t>
      </w:r>
    </w:p>
    <w:p w:rsidRPr="00BF5DF7" w:rsidR="00D078D2" w:rsidP="00DE7CC7" w:rsidRDefault="00D078D2" w14:paraId="31059D98" w14:textId="3BFBB9E2">
      <w:pPr>
        <w:pStyle w:val="Heading3"/>
      </w:pPr>
      <w:r>
        <w:rPr>
          <w:w w:val="0"/>
        </w:rPr>
        <w:t>Tier 1 Winter Supplemental Operating Mode</w:t>
      </w:r>
      <w:r>
        <w:rPr>
          <w:w w:val="0"/>
          <w:u w:val="none"/>
        </w:rPr>
        <w:t>:</w:t>
      </w:r>
      <w:r>
        <w:rPr>
          <w:b w:val="0"/>
          <w:bCs w:val="0"/>
          <w:w w:val="0"/>
          <w:u w:val="none"/>
        </w:rPr>
        <w:t xml:space="preserve"> Operation of the Facility in the Supplemental Operating Mode designated as Tier 1 Winter in </w:t>
      </w:r>
      <w:r>
        <w:rPr>
          <w:b w:val="0"/>
          <w:bCs w:val="0"/>
          <w:iCs/>
          <w:u w:val="none"/>
        </w:rPr>
        <w:t>Exhibit A (</w:t>
      </w:r>
      <w:r>
        <w:rPr>
          <w:b w:val="0"/>
          <w:bCs w:val="0"/>
          <w:i/>
          <w:u w:val="none"/>
        </w:rPr>
        <w:t>Facility Description and Additional Details</w:t>
      </w:r>
      <w:r>
        <w:rPr>
          <w:b w:val="0"/>
          <w:bCs w:val="0"/>
          <w:iCs/>
          <w:u w:val="none"/>
        </w:rPr>
        <w:t>)</w:t>
      </w:r>
      <w:r>
        <w:rPr>
          <w:b w:val="0"/>
          <w:bCs w:val="0"/>
          <w:w w:val="0"/>
          <w:u w:val="none"/>
        </w:rPr>
        <w:t>.</w:t>
      </w:r>
    </w:p>
    <w:p w:rsidRPr="00BF5DF7" w:rsidR="00960870" w:rsidP="00DE7CC7" w:rsidRDefault="00960870" w14:paraId="7470273B" w14:textId="54186C12">
      <w:pPr>
        <w:pStyle w:val="Heading3"/>
      </w:pPr>
      <w:r>
        <w:t>Tier 2 Supplemental Capacity Shortfall</w:t>
      </w:r>
      <w:r>
        <w:rPr>
          <w:u w:val="none"/>
        </w:rPr>
        <w:t xml:space="preserve">: </w:t>
      </w:r>
      <w:r>
        <w:rPr>
          <w:b w:val="0"/>
          <w:bCs w:val="0"/>
          <w:u w:val="none"/>
        </w:rPr>
        <w:t>The Capacity Shortfall regarding the Declared Tier 2 Supplemental Capacity.</w:t>
      </w:r>
    </w:p>
    <w:p w:rsidRPr="000F3079" w:rsidR="000F3079" w:rsidP="00DE7CC7" w:rsidRDefault="00960870" w14:paraId="08D94608" w14:textId="3F3AE669">
      <w:pPr>
        <w:pStyle w:val="Heading3"/>
        <w:rPr>
          <w:b w:val="0"/>
          <w:bCs w:val="0"/>
          <w:u w:val="none"/>
        </w:rPr>
      </w:pPr>
      <w:r>
        <w:t>Tier 2 Supplemental Mode Value Factor</w:t>
      </w:r>
      <w:r>
        <w:rPr>
          <w:u w:val="none"/>
        </w:rPr>
        <w:t xml:space="preserve">: </w:t>
      </w:r>
      <w:r>
        <w:rPr>
          <w:b w:val="0"/>
          <w:bCs w:val="0"/>
          <w:u w:val="none"/>
        </w:rPr>
        <w:t>Defined in Exhibit B (</w:t>
      </w:r>
      <w:r>
        <w:rPr>
          <w:b w:val="0"/>
          <w:bCs w:val="0"/>
          <w:i/>
          <w:iCs/>
          <w:u w:val="none"/>
        </w:rPr>
        <w:t>Capacity; Capacity Payments and Payment Reductions; Buydown</w:t>
      </w:r>
      <w:r>
        <w:rPr>
          <w:b w:val="0"/>
          <w:bCs w:val="0"/>
          <w:u w:val="none"/>
        </w:rPr>
        <w:t>), Section 1.5 (</w:t>
      </w:r>
      <w:r>
        <w:rPr>
          <w:b w:val="0"/>
          <w:bCs w:val="0"/>
          <w:i/>
          <w:iCs/>
          <w:u w:val="none"/>
        </w:rPr>
        <w:t>Capacity Pricing</w:t>
      </w:r>
      <w:r>
        <w:rPr>
          <w:b w:val="0"/>
          <w:bCs w:val="0"/>
          <w:u w:val="none"/>
        </w:rPr>
        <w:t>).</w:t>
      </w:r>
    </w:p>
    <w:p w:rsidRPr="000F3079" w:rsidR="00960870" w:rsidP="00DE7CC7" w:rsidRDefault="00960870" w14:paraId="00008E2D" w14:textId="46D44C65">
      <w:pPr>
        <w:pStyle w:val="Heading3"/>
        <w:rPr>
          <w:b w:val="0"/>
          <w:bCs w:val="0"/>
          <w:u w:val="none"/>
        </w:rPr>
      </w:pPr>
      <w:r>
        <w:rPr>
          <w:w w:val="0"/>
        </w:rPr>
        <w:t>Tier 2 Supplemental Operating Mode</w:t>
      </w:r>
      <w:r>
        <w:rPr>
          <w:w w:val="0"/>
          <w:u w:val="none"/>
        </w:rPr>
        <w:t>:</w:t>
      </w:r>
      <w:r>
        <w:rPr>
          <w:b w:val="0"/>
          <w:bCs w:val="0"/>
          <w:w w:val="0"/>
          <w:u w:val="none"/>
        </w:rPr>
        <w:t xml:space="preserve"> (i) With respect to the Standard Seasonal Performance Periods, the Tier 2 Standard Supplemental Operating Mode; and (ii) with respect to the Winter Seasonal Performance Period, the Tier 2 Winter Supplemental Operating Mode.</w:t>
      </w:r>
    </w:p>
    <w:p w:rsidR="00664A5F" w:rsidP="00DE7CC7" w:rsidRDefault="00664A5F" w14:paraId="7C657637" w14:textId="7FA2A3F6">
      <w:pPr>
        <w:pStyle w:val="Heading3"/>
      </w:pPr>
      <w:r>
        <w:t>Tier 2 Standard Supplemental Operating Mode</w:t>
      </w:r>
      <w:r>
        <w:rPr>
          <w:u w:val="none"/>
        </w:rPr>
        <w:t xml:space="preserve">: </w:t>
      </w:r>
      <w:r>
        <w:rPr>
          <w:b w:val="0"/>
          <w:bCs w:val="0"/>
          <w:w w:val="0"/>
          <w:u w:val="none"/>
        </w:rPr>
        <w:t xml:space="preserve">Operation of the Facility in the Supplemental Operating Mode designated as Tier 2 Standard in </w:t>
      </w:r>
      <w:r>
        <w:rPr>
          <w:b w:val="0"/>
          <w:bCs w:val="0"/>
          <w:iCs/>
          <w:u w:val="none"/>
        </w:rPr>
        <w:t>Exhibit A (</w:t>
      </w:r>
      <w:r>
        <w:rPr>
          <w:b w:val="0"/>
          <w:bCs w:val="0"/>
          <w:i/>
          <w:u w:val="none"/>
        </w:rPr>
        <w:t>Facility Description and Additional Details</w:t>
      </w:r>
      <w:r>
        <w:rPr>
          <w:b w:val="0"/>
          <w:bCs w:val="0"/>
          <w:iCs/>
          <w:u w:val="none"/>
        </w:rPr>
        <w:t>)</w:t>
      </w:r>
      <w:r>
        <w:rPr>
          <w:b w:val="0"/>
          <w:bCs w:val="0"/>
          <w:u w:val="none"/>
        </w:rPr>
        <w:t>.</w:t>
      </w:r>
    </w:p>
    <w:p w:rsidRPr="000F3079" w:rsidR="00664A5F" w:rsidP="00DE7CC7" w:rsidRDefault="00664A5F" w14:paraId="542851F4" w14:textId="0C15D1DF">
      <w:pPr>
        <w:pStyle w:val="Heading3"/>
        <w:rPr>
          <w:u w:val="none"/>
        </w:rPr>
      </w:pPr>
      <w:r>
        <w:t>Tier 2 Winter Supplemental Operating Mode</w:t>
      </w:r>
      <w:r>
        <w:rPr>
          <w:u w:val="none"/>
        </w:rPr>
        <w:t xml:space="preserve">: </w:t>
      </w:r>
      <w:r>
        <w:rPr>
          <w:b w:val="0"/>
          <w:bCs w:val="0"/>
          <w:w w:val="0"/>
          <w:u w:val="none"/>
        </w:rPr>
        <w:t xml:space="preserve">Operation of the Facility in the Supplemental Operating Mode designated as Tier 2 Winter in </w:t>
      </w:r>
      <w:r>
        <w:rPr>
          <w:b w:val="0"/>
          <w:bCs w:val="0"/>
          <w:iCs/>
          <w:u w:val="none"/>
        </w:rPr>
        <w:t>Exhibit A (</w:t>
      </w:r>
      <w:r>
        <w:rPr>
          <w:b w:val="0"/>
          <w:bCs w:val="0"/>
          <w:i/>
          <w:u w:val="none"/>
        </w:rPr>
        <w:t>Facility Description and Additional Details</w:t>
      </w:r>
      <w:r>
        <w:rPr>
          <w:b w:val="0"/>
          <w:bCs w:val="0"/>
          <w:iCs/>
          <w:u w:val="none"/>
        </w:rPr>
        <w:t>)</w:t>
      </w:r>
      <w:r>
        <w:rPr>
          <w:b w:val="0"/>
          <w:bCs w:val="0"/>
          <w:u w:val="none"/>
        </w:rPr>
        <w:t>.</w:t>
      </w:r>
    </w:p>
    <w:p w:rsidRPr="000F3079" w:rsidR="001D44E7" w:rsidP="00DE7CC7" w:rsidRDefault="001D44E7" w14:paraId="2542E961" w14:textId="77777777">
      <w:pPr>
        <w:pStyle w:val="Heading3"/>
        <w:rPr>
          <w:b w:val="0"/>
          <w:bCs w:val="0"/>
        </w:rPr>
      </w:pPr>
      <w:r>
        <w:t>Transmission Service Provider</w:t>
      </w:r>
      <w:r>
        <w:rPr>
          <w:u w:val="none"/>
        </w:rPr>
        <w:t xml:space="preserve">: </w:t>
      </w:r>
      <w:r>
        <w:rPr>
          <w:b w:val="0"/>
          <w:bCs w:val="0"/>
          <w:u w:val="none"/>
        </w:rPr>
        <w:t>Any electric utility (or its designated agent) that owns, controls, or operates transmission or distribution facilities used for the transmission of energy in interstate commerce and that provides transmission service under a tariff.</w:t>
      </w:r>
    </w:p>
    <w:p w:rsidRPr="00BF5DF7" w:rsidR="00A357E0" w:rsidP="00DE7CC7" w:rsidRDefault="00A357E0" w14:paraId="13FE805A" w14:textId="5983A3C5">
      <w:pPr>
        <w:pStyle w:val="Heading3"/>
      </w:pPr>
      <w:r>
        <w:t>Ultimate Parent Entity</w:t>
      </w:r>
      <w:r>
        <w:rPr>
          <w:u w:val="none"/>
        </w:rPr>
        <w:t xml:space="preserve">: </w:t>
      </w:r>
      <w:r>
        <w:rPr>
          <w:b w:val="0"/>
          <w:bCs w:val="0"/>
          <w:u w:val="none"/>
        </w:rPr>
        <w:t>With respect to a Party, the Person who (i) directly or indirectly controls 50% or more of the outstanding capital stock or other equity interests in such Party; (ii) has ordinary voting power; and (iii) does not itself have an Ultimate Parent Entity.</w:t>
      </w:r>
    </w:p>
    <w:p w:rsidRPr="00BF5DF7" w:rsidR="00960870" w:rsidP="00DE7CC7" w:rsidRDefault="00960870" w14:paraId="03867040" w14:textId="418FD8D9">
      <w:pPr>
        <w:pStyle w:val="Heading3"/>
      </w:pPr>
      <w:r>
        <w:t>Unavailability Event</w:t>
      </w:r>
      <w:r>
        <w:rPr>
          <w:u w:val="none"/>
        </w:rPr>
        <w:t xml:space="preserve">: </w:t>
      </w:r>
      <w:r>
        <w:rPr>
          <w:b w:val="0"/>
          <w:bCs w:val="0"/>
          <w:u w:val="none"/>
        </w:rPr>
        <w:t>Any single, continuous period during which the Facility or an Alternate Resource (designated in accordance with Section 4.1.4 (</w:t>
      </w:r>
      <w:r>
        <w:rPr>
          <w:b w:val="0"/>
          <w:bCs w:val="0"/>
          <w:i/>
          <w:u w:val="none"/>
        </w:rPr>
        <w:t>Unavailability</w:t>
      </w:r>
      <w:r>
        <w:rPr>
          <w:b w:val="0"/>
          <w:bCs w:val="0"/>
          <w:u w:val="none"/>
        </w:rPr>
        <w:t>)), is Unavailable, in whole or in part.</w:t>
      </w:r>
    </w:p>
    <w:p w:rsidRPr="00BF5DF7" w:rsidR="00960870" w:rsidP="00DE7CC7" w:rsidRDefault="00BF476B" w14:paraId="578CFCD3" w14:textId="527509CB">
      <w:pPr>
        <w:pStyle w:val="Heading3"/>
      </w:pPr>
      <w:r>
        <w:t>Unavailable or Unavailability</w:t>
      </w:r>
      <w:r>
        <w:rPr>
          <w:u w:val="none"/>
        </w:rPr>
        <w:t xml:space="preserve">: </w:t>
      </w:r>
      <w:r>
        <w:rPr>
          <w:b w:val="0"/>
          <w:bCs w:val="0"/>
          <w:u w:val="none"/>
        </w:rPr>
        <w:t>The extent to which, after the Delivery Commencement Date, the Facility or an Alternate Resource (designated in accordance with Section 4.1.4 (</w:t>
      </w:r>
      <w:r>
        <w:rPr>
          <w:b w:val="0"/>
          <w:bCs w:val="0"/>
          <w:i/>
          <w:u w:val="none"/>
        </w:rPr>
        <w:t>Unavailability</w:t>
      </w:r>
      <w:r>
        <w:rPr>
          <w:b w:val="0"/>
          <w:bCs w:val="0"/>
          <w:u w:val="none"/>
        </w:rPr>
        <w:t>)), as the case may be, is unable (in whole or in part) to deliver energy in accordance with a Schedule due to a Scheduled Outage, Maintenance Outage, Forced Outage, Forced Derate, or a Force Majeure Event.</w:t>
      </w:r>
    </w:p>
    <w:p w:rsidRPr="000F3079" w:rsidR="00960870" w:rsidP="00DE7CC7" w:rsidRDefault="00960870" w14:paraId="56CBFF9F" w14:textId="6789DEA8">
      <w:pPr>
        <w:pStyle w:val="Heading3"/>
        <w:rPr>
          <w:b w:val="0"/>
          <w:bCs w:val="0"/>
        </w:rPr>
      </w:pPr>
      <w:r>
        <w:t>Undelivered Energy</w:t>
      </w:r>
      <w:r>
        <w:rPr>
          <w:u w:val="none"/>
        </w:rPr>
        <w:t xml:space="preserve">: </w:t>
      </w:r>
      <w:r>
        <w:rPr>
          <w:rFonts w:eastAsia="Times New Roman"/>
          <w:b w:val="0"/>
          <w:bCs w:val="0"/>
          <w:u w:val="none"/>
        </w:rPr>
        <w:t>Defined</w:t>
      </w:r>
      <w:r>
        <w:rPr>
          <w:b w:val="0"/>
          <w:bCs w:val="0"/>
          <w:u w:val="none"/>
        </w:rPr>
        <w:t xml:space="preserve"> in, and determined in accordance with, Exhibit B (</w:t>
      </w:r>
      <w:r>
        <w:rPr>
          <w:b w:val="0"/>
          <w:bCs w:val="0"/>
          <w:i/>
          <w:u w:val="none"/>
        </w:rPr>
        <w:t>Capacity; Capacity Payments and Payment Reductions; Buydown</w:t>
      </w:r>
      <w:r>
        <w:rPr>
          <w:b w:val="0"/>
          <w:bCs w:val="0"/>
          <w:iCs/>
          <w:u w:val="none"/>
        </w:rPr>
        <w:t xml:space="preserve">), </w:t>
      </w:r>
      <w:r>
        <w:rPr>
          <w:b w:val="0"/>
          <w:bCs w:val="0"/>
          <w:u w:val="none"/>
        </w:rPr>
        <w:t>Section 4.1 (</w:t>
      </w:r>
      <w:r>
        <w:rPr>
          <w:b w:val="0"/>
          <w:bCs w:val="0"/>
          <w:i/>
          <w:u w:val="none"/>
        </w:rPr>
        <w:t>Calculation of Replacement Costs</w:t>
      </w:r>
      <w:r>
        <w:rPr>
          <w:b w:val="0"/>
          <w:bCs w:val="0"/>
          <w:u w:val="none"/>
        </w:rPr>
        <w:t>).</w:t>
      </w:r>
    </w:p>
    <w:p w:rsidRPr="00F10071" w:rsidR="0079359D" w:rsidP="00DE7CC7" w:rsidRDefault="0079359D" w14:paraId="2229F247" w14:textId="0C1AE95B">
      <w:pPr>
        <w:pStyle w:val="Heading3"/>
      </w:pPr>
      <w:r>
        <w:t>Unit NOx Allowances</w:t>
      </w:r>
      <w:r>
        <w:rPr>
          <w:u w:val="none"/>
        </w:rPr>
        <w:t xml:space="preserve">: </w:t>
      </w:r>
      <w:r>
        <w:rPr>
          <w:b w:val="0"/>
          <w:bCs w:val="0"/>
          <w:u w:val="none"/>
        </w:rPr>
        <w:t xml:space="preserve">NOx Allowances allocated to or for the </w:t>
      </w:r>
      <w:r w:rsidR="002123DD">
        <w:rPr>
          <w:b w:val="0"/>
          <w:bCs w:val="0"/>
          <w:u w:val="none"/>
        </w:rPr>
        <w:t>u</w:t>
      </w:r>
      <w:r>
        <w:rPr>
          <w:b w:val="0"/>
          <w:bCs w:val="0"/>
          <w:u w:val="none"/>
        </w:rPr>
        <w:t xml:space="preserve">nit or otherwise granted to Seller for the </w:t>
      </w:r>
      <w:r w:rsidR="002123DD">
        <w:rPr>
          <w:b w:val="0"/>
          <w:bCs w:val="0"/>
          <w:u w:val="none"/>
        </w:rPr>
        <w:t>u</w:t>
      </w:r>
      <w:r>
        <w:rPr>
          <w:b w:val="0"/>
          <w:bCs w:val="0"/>
          <w:u w:val="none"/>
        </w:rPr>
        <w:t>nit.</w:t>
      </w:r>
      <w:r>
        <w:t xml:space="preserve"> </w:t>
      </w:r>
    </w:p>
    <w:p w:rsidR="0079359D" w:rsidP="00DE7CC7" w:rsidRDefault="0079359D" w14:paraId="0B8A8F10" w14:textId="14A4D109">
      <w:pPr>
        <w:pStyle w:val="Heading3"/>
        <w:rPr>
          <w:b w:val="0"/>
          <w:bCs w:val="0"/>
          <w:u w:val="none"/>
        </w:rPr>
      </w:pPr>
      <w:r>
        <w:t>Unit SO</w:t>
      </w:r>
      <w:r>
        <w:rPr>
          <w:rFonts w:ascii="Arial Bold" w:hAnsi="Arial Bold"/>
        </w:rPr>
        <w:t>2</w:t>
      </w:r>
      <w:r>
        <w:t xml:space="preserve"> Allowances</w:t>
      </w:r>
      <w:r>
        <w:rPr>
          <w:u w:val="none"/>
        </w:rPr>
        <w:t xml:space="preserve">: </w:t>
      </w:r>
      <w:r>
        <w:rPr>
          <w:b w:val="0"/>
          <w:bCs w:val="0"/>
          <w:u w:val="none"/>
        </w:rPr>
        <w:t xml:space="preserve">SO2 Allowances allocated to or for the </w:t>
      </w:r>
      <w:r w:rsidR="002123DD">
        <w:rPr>
          <w:b w:val="0"/>
          <w:bCs w:val="0"/>
          <w:u w:val="none"/>
        </w:rPr>
        <w:t>u</w:t>
      </w:r>
      <w:r>
        <w:rPr>
          <w:b w:val="0"/>
          <w:bCs w:val="0"/>
          <w:u w:val="none"/>
        </w:rPr>
        <w:t xml:space="preserve">nit or otherwise granted to Seller for the </w:t>
      </w:r>
      <w:r w:rsidR="002123DD">
        <w:rPr>
          <w:b w:val="0"/>
          <w:bCs w:val="0"/>
          <w:u w:val="none"/>
        </w:rPr>
        <w:t>u</w:t>
      </w:r>
      <w:r>
        <w:rPr>
          <w:b w:val="0"/>
          <w:bCs w:val="0"/>
          <w:u w:val="none"/>
        </w:rPr>
        <w:t>nit.</w:t>
      </w:r>
    </w:p>
    <w:p w:rsidR="00962A5E" w:rsidP="00DE7CC7" w:rsidRDefault="00962A5E" w14:paraId="79D7BAFA" w14:textId="3B4A783A">
      <w:pPr>
        <w:pStyle w:val="Heading3"/>
      </w:pPr>
      <w:r>
        <w:t>Unplanned (Forced) Outage Hours (FOH)</w:t>
      </w:r>
      <w:r>
        <w:rPr>
          <w:u w:val="none"/>
        </w:rPr>
        <w:t xml:space="preserve">: </w:t>
      </w:r>
      <w:r>
        <w:rPr>
          <w:b w:val="0"/>
          <w:bCs w:val="0"/>
          <w:u w:val="none"/>
        </w:rPr>
        <w:t xml:space="preserve">The Hours during which the </w:t>
      </w:r>
      <w:r w:rsidR="0073365E">
        <w:rPr>
          <w:b w:val="0"/>
          <w:bCs w:val="0"/>
          <w:u w:val="none"/>
        </w:rPr>
        <w:t>Facility</w:t>
      </w:r>
      <w:r>
        <w:rPr>
          <w:b w:val="0"/>
          <w:bCs w:val="0"/>
          <w:u w:val="none"/>
        </w:rPr>
        <w:t xml:space="preserve"> experiences a Forced Outage, as further described in, and determined in accordance with, Exhibit B (</w:t>
      </w:r>
      <w:r>
        <w:rPr>
          <w:b w:val="0"/>
          <w:bCs w:val="0"/>
          <w:i/>
          <w:u w:val="none"/>
        </w:rPr>
        <w:t xml:space="preserve">Capacity; Capacity Payments and Payment </w:t>
      </w:r>
      <w:r>
        <w:rPr>
          <w:b w:val="0"/>
          <w:bCs w:val="0"/>
          <w:i/>
          <w:u w:val="none"/>
        </w:rPr>
        <w:lastRenderedPageBreak/>
        <w:t>Reductions; Buydown</w:t>
      </w:r>
      <w:r>
        <w:rPr>
          <w:b w:val="0"/>
          <w:bCs w:val="0"/>
          <w:u w:val="none"/>
        </w:rPr>
        <w:t>), Section 3.2 (</w:t>
      </w:r>
      <w:r>
        <w:rPr>
          <w:b w:val="0"/>
          <w:bCs w:val="0"/>
          <w:i/>
          <w:u w:val="none"/>
        </w:rPr>
        <w:t>Calculation of Monthly Availability Percentage</w:t>
      </w:r>
      <w:r>
        <w:rPr>
          <w:b w:val="0"/>
          <w:bCs w:val="0"/>
          <w:u w:val="none"/>
        </w:rPr>
        <w:t>).</w:t>
      </w:r>
    </w:p>
    <w:p w:rsidRPr="00BF5DF7" w:rsidR="00960870" w:rsidP="00DE7CC7" w:rsidRDefault="00960870" w14:paraId="6B7636E8" w14:textId="6940E680">
      <w:pPr>
        <w:pStyle w:val="Heading3"/>
      </w:pPr>
      <w:r>
        <w:t>Variable Interest (VI)</w:t>
      </w:r>
      <w:r>
        <w:rPr>
          <w:u w:val="none"/>
        </w:rPr>
        <w:t xml:space="preserve">: </w:t>
      </w:r>
      <w:r>
        <w:rPr>
          <w:b w:val="0"/>
          <w:bCs w:val="0"/>
          <w:u w:val="none"/>
        </w:rPr>
        <w:t>Defined in ASC Topic 810 (</w:t>
      </w:r>
      <w:r>
        <w:rPr>
          <w:b w:val="0"/>
          <w:bCs w:val="0"/>
          <w:i/>
          <w:u w:val="none"/>
        </w:rPr>
        <w:t>Consolidation</w:t>
      </w:r>
      <w:r>
        <w:rPr>
          <w:b w:val="0"/>
          <w:bCs w:val="0"/>
          <w:u w:val="none"/>
        </w:rPr>
        <w:t>), as issued and modified from time to time by FASB.</w:t>
      </w:r>
    </w:p>
    <w:p w:rsidRPr="00BF5DF7" w:rsidR="00C823F2" w:rsidP="00962A5E" w:rsidRDefault="00960870" w14:paraId="65A7C9C3" w14:textId="74C144B8">
      <w:pPr>
        <w:pStyle w:val="Heading3"/>
      </w:pPr>
      <w:r>
        <w:t>Variable Interest Entity (VIE)</w:t>
      </w:r>
      <w:r>
        <w:rPr>
          <w:u w:val="none"/>
        </w:rPr>
        <w:t xml:space="preserve">: </w:t>
      </w:r>
      <w:r>
        <w:rPr>
          <w:b w:val="0"/>
          <w:bCs w:val="0"/>
          <w:u w:val="none"/>
        </w:rPr>
        <w:t>Defined in ASC Topic 810 (</w:t>
      </w:r>
      <w:r>
        <w:rPr>
          <w:b w:val="0"/>
          <w:bCs w:val="0"/>
          <w:i/>
          <w:u w:val="none"/>
        </w:rPr>
        <w:t>Consolidation</w:t>
      </w:r>
      <w:r>
        <w:rPr>
          <w:b w:val="0"/>
          <w:bCs w:val="0"/>
          <w:u w:val="none"/>
        </w:rPr>
        <w:t>), as issued and modified from time to time by FASB.</w:t>
      </w:r>
    </w:p>
    <w:p w:rsidR="00C9710D" w:rsidP="00101AA7" w:rsidRDefault="006A1C7B" w14:paraId="54E143BA" w14:textId="77777777">
      <w:pPr>
        <w:pStyle w:val="Heading3"/>
        <w:rPr>
          <w:rStyle w:val="eop"/>
          <w:shd w:val="clear" w:color="auto" w:fill="FFFFFF"/>
        </w:rPr>
      </w:pPr>
      <w:r>
        <w:rPr>
          <w:rStyle w:val="normaltextrun"/>
          <w:shd w:val="clear" w:color="auto" w:fill="FFFFFF"/>
        </w:rPr>
        <w:t>Variable O&amp;M (VOM)</w:t>
      </w:r>
      <w:r>
        <w:rPr>
          <w:rStyle w:val="normaltextrun"/>
          <w:u w:val="none"/>
          <w:shd w:val="clear" w:color="auto" w:fill="FFFFFF"/>
        </w:rPr>
        <w:t xml:space="preserve">: </w:t>
      </w:r>
      <w:r>
        <w:rPr>
          <w:rStyle w:val="normaltextrun"/>
          <w:b w:val="0"/>
          <w:bCs w:val="0"/>
          <w:u w:val="none"/>
          <w:shd w:val="clear" w:color="auto" w:fill="FFFFFF"/>
        </w:rPr>
        <w:t>Variable operation and maintenance costs.</w:t>
      </w:r>
      <w:r>
        <w:rPr>
          <w:rStyle w:val="eop"/>
          <w:u w:val="none"/>
          <w:shd w:val="clear" w:color="auto" w:fill="FFFFFF"/>
        </w:rPr>
        <w:t> </w:t>
      </w:r>
    </w:p>
    <w:p w:rsidRPr="000809F7" w:rsidR="000809F7" w:rsidP="00DE7CC7" w:rsidRDefault="000809F7" w14:paraId="14541453" w14:textId="4474AFBB">
      <w:pPr>
        <w:pStyle w:val="Heading3"/>
        <w:rPr>
          <w:rStyle w:val="eop"/>
        </w:rPr>
      </w:pPr>
      <w:r>
        <w:t>Winter Base Capacity Cap</w:t>
      </w:r>
      <w:r>
        <w:rPr>
          <w:u w:val="none"/>
        </w:rPr>
        <w:t xml:space="preserve">: </w:t>
      </w:r>
      <w:r>
        <w:rPr>
          <w:b w:val="0"/>
          <w:bCs w:val="0"/>
          <w:u w:val="none"/>
        </w:rPr>
        <w:t>Defined in, and determined in accordance with, Exhibit B (</w:t>
      </w:r>
      <w:r>
        <w:rPr>
          <w:b w:val="0"/>
          <w:bCs w:val="0"/>
          <w:i/>
          <w:u w:val="none"/>
        </w:rPr>
        <w:t>Capacity; Capacity Payments and Payment Reductions; Buydown</w:t>
      </w:r>
      <w:r>
        <w:rPr>
          <w:b w:val="0"/>
          <w:bCs w:val="0"/>
          <w:u w:val="none"/>
        </w:rPr>
        <w:t>), Section 1.1.A (</w:t>
      </w:r>
      <w:r>
        <w:rPr>
          <w:b w:val="0"/>
          <w:bCs w:val="0"/>
          <w:i/>
          <w:u w:val="none"/>
        </w:rPr>
        <w:t>Contracted Capacity Cap</w:t>
      </w:r>
      <w:r>
        <w:rPr>
          <w:b w:val="0"/>
          <w:bCs w:val="0"/>
          <w:u w:val="none"/>
        </w:rPr>
        <w:t>).</w:t>
      </w:r>
    </w:p>
    <w:p w:rsidR="00ED7F59" w:rsidP="00DE7CC7" w:rsidRDefault="00ED7F59" w14:paraId="609251B5" w14:textId="61A02661">
      <w:pPr>
        <w:pStyle w:val="Heading3"/>
      </w:pPr>
      <w:r>
        <w:t>Winter Capacity Cap</w:t>
      </w:r>
      <w:r>
        <w:rPr>
          <w:u w:val="none"/>
        </w:rPr>
        <w:t xml:space="preserve">: </w:t>
      </w:r>
      <w:r>
        <w:rPr>
          <w:b w:val="0"/>
          <w:bCs w:val="0"/>
          <w:u w:val="none"/>
        </w:rPr>
        <w:t>Defined in, and determined in accordance with, Exhibit B (</w:t>
      </w:r>
      <w:r>
        <w:rPr>
          <w:b w:val="0"/>
          <w:bCs w:val="0"/>
          <w:i/>
          <w:u w:val="none"/>
        </w:rPr>
        <w:t>Capacity; Capacity Payments and Payment Reductions; Buydown</w:t>
      </w:r>
      <w:r>
        <w:rPr>
          <w:b w:val="0"/>
          <w:bCs w:val="0"/>
          <w:u w:val="none"/>
        </w:rPr>
        <w:t>), Section 1.1.A (</w:t>
      </w:r>
      <w:r>
        <w:rPr>
          <w:b w:val="0"/>
          <w:bCs w:val="0"/>
          <w:i/>
          <w:u w:val="none"/>
        </w:rPr>
        <w:t>Contracted Capacity Cap</w:t>
      </w:r>
      <w:r>
        <w:rPr>
          <w:b w:val="0"/>
          <w:bCs w:val="0"/>
          <w:u w:val="none"/>
        </w:rPr>
        <w:t>).</w:t>
      </w:r>
    </w:p>
    <w:p w:rsidRPr="000F3079" w:rsidR="000809F7" w:rsidP="00DE7CC7" w:rsidRDefault="000809F7" w14:paraId="036BDF50" w14:textId="4A28D33E">
      <w:pPr>
        <w:pStyle w:val="Heading3"/>
        <w:rPr>
          <w:u w:val="none"/>
        </w:rPr>
      </w:pPr>
      <w:r>
        <w:t>Winter Capacity Range</w:t>
      </w:r>
      <w:r>
        <w:rPr>
          <w:u w:val="none"/>
        </w:rPr>
        <w:t xml:space="preserve">: </w:t>
      </w:r>
      <w:r>
        <w:rPr>
          <w:b w:val="0"/>
          <w:bCs w:val="0"/>
          <w:u w:val="none"/>
        </w:rPr>
        <w:t>Defined in, and determined in accordance with, Exhibit B (</w:t>
      </w:r>
      <w:r>
        <w:rPr>
          <w:b w:val="0"/>
          <w:bCs w:val="0"/>
          <w:i/>
          <w:u w:val="none"/>
        </w:rPr>
        <w:t>Capacity; Capacity Payments and Payment Reductions; Buydown</w:t>
      </w:r>
      <w:r>
        <w:rPr>
          <w:b w:val="0"/>
          <w:bCs w:val="0"/>
          <w:u w:val="none"/>
        </w:rPr>
        <w:t>), Section 1.1.B (</w:t>
      </w:r>
      <w:r>
        <w:rPr>
          <w:b w:val="0"/>
          <w:bCs w:val="0"/>
          <w:i/>
          <w:u w:val="none"/>
        </w:rPr>
        <w:t>Contracted Capacity Range</w:t>
      </w:r>
      <w:r>
        <w:rPr>
          <w:b w:val="0"/>
          <w:bCs w:val="0"/>
          <w:u w:val="none"/>
        </w:rPr>
        <w:t>).</w:t>
      </w:r>
    </w:p>
    <w:p w:rsidRPr="000F3079" w:rsidR="00631BCD" w:rsidP="00DE7CC7" w:rsidRDefault="00631BCD" w14:paraId="2494D8DA" w14:textId="5FFE9C45">
      <w:pPr>
        <w:pStyle w:val="Heading3"/>
        <w:rPr>
          <w:b w:val="0"/>
          <w:bCs w:val="0"/>
          <w:u w:val="none"/>
        </w:rPr>
      </w:pPr>
      <w:r>
        <w:t>Winter Supplemental Capacity Cap</w:t>
      </w:r>
      <w:r>
        <w:rPr>
          <w:u w:val="none"/>
        </w:rPr>
        <w:t xml:space="preserve">: </w:t>
      </w:r>
      <w:r>
        <w:rPr>
          <w:b w:val="0"/>
          <w:bCs w:val="0"/>
          <w:u w:val="none"/>
        </w:rPr>
        <w:t>Defined in, and determined in accordance with, Exhibit B (</w:t>
      </w:r>
      <w:r>
        <w:rPr>
          <w:b w:val="0"/>
          <w:bCs w:val="0"/>
          <w:i/>
          <w:u w:val="none"/>
        </w:rPr>
        <w:t>Capacity; Capacity Payments and Payment Reductions; Buydown</w:t>
      </w:r>
      <w:r>
        <w:rPr>
          <w:b w:val="0"/>
          <w:bCs w:val="0"/>
          <w:u w:val="none"/>
        </w:rPr>
        <w:t>), Section 1.1.A (</w:t>
      </w:r>
      <w:r>
        <w:rPr>
          <w:b w:val="0"/>
          <w:bCs w:val="0"/>
          <w:i/>
          <w:u w:val="none"/>
        </w:rPr>
        <w:t>Contracted Capacity Cap</w:t>
      </w:r>
      <w:r>
        <w:rPr>
          <w:b w:val="0"/>
          <w:bCs w:val="0"/>
          <w:u w:val="none"/>
        </w:rPr>
        <w:t>).</w:t>
      </w:r>
    </w:p>
    <w:p w:rsidR="004B3C36" w:rsidP="00F666B7" w:rsidRDefault="004B3C36" w14:paraId="54BC9458" w14:textId="77777777">
      <w:pPr>
        <w:pStyle w:val="zGNormal"/>
        <w:spacing w:before="120" w:after="120"/>
      </w:pPr>
    </w:p>
    <w:p w:rsidRPr="005A1767" w:rsidR="00C9710D" w:rsidP="00F666B7" w:rsidRDefault="00C9710D" w14:paraId="73BBCEF0" w14:textId="6E84546D">
      <w:pPr>
        <w:pStyle w:val="zGNormal"/>
        <w:spacing w:before="120" w:after="120"/>
        <w:sectPr w:rsidRPr="005A1767" w:rsidR="00C9710D" w:rsidSect="005B310E">
          <w:headerReference w:type="default" r:id="rId21"/>
          <w:footerReference w:type="default" r:id="rId22"/>
          <w:pgSz w:w="12240" w:h="15840" w:code="1"/>
          <w:pgMar w:top="1080" w:right="1080" w:bottom="936" w:left="1224" w:header="432" w:footer="576" w:gutter="0"/>
          <w:cols w:space="720"/>
          <w:docGrid w:linePitch="360"/>
        </w:sectPr>
      </w:pPr>
    </w:p>
    <w:p w:rsidR="00E708E6" w:rsidP="0025310E" w:rsidRDefault="001777E2" w14:paraId="28C90671" w14:textId="77777777">
      <w:pPr>
        <w:pStyle w:val="zGTitle14"/>
        <w:rPr>
          <w:color w:val="000000" w:themeColor="text1"/>
          <w:szCs w:val="28"/>
        </w:rPr>
      </w:pPr>
      <w:r>
        <w:rPr>
          <w:color w:val="000000" w:themeColor="text1"/>
          <w:szCs w:val="28"/>
        </w:rPr>
        <w:lastRenderedPageBreak/>
        <w:t>Power Purchase Agreement for</w:t>
      </w:r>
    </w:p>
    <w:p w:rsidR="001777E2" w:rsidP="0025310E" w:rsidRDefault="000B35F9" w14:paraId="45317392" w14:textId="6E62DD46">
      <w:pPr>
        <w:pStyle w:val="zGTitle14"/>
        <w:rPr>
          <w:color w:val="000000" w:themeColor="text1"/>
        </w:rPr>
      </w:pPr>
      <w:r>
        <w:rPr>
          <w:color w:val="000000" w:themeColor="text1"/>
          <w:szCs w:val="28"/>
        </w:rPr>
        <w:t>Firm</w:t>
      </w:r>
      <w:r>
        <w:rPr>
          <w:color w:val="000000" w:themeColor="text1"/>
        </w:rPr>
        <w:t xml:space="preserve"> Capacity, Firm Energy, and Ancillary Services</w:t>
      </w:r>
    </w:p>
    <w:p w:rsidR="0025310E" w:rsidP="0025310E" w:rsidRDefault="008658C2" w14:paraId="3D36C4CE" w14:textId="6E4416F4">
      <w:pPr>
        <w:pStyle w:val="zGTitle14"/>
        <w:rPr>
          <w:color w:val="000000" w:themeColor="text1"/>
        </w:rPr>
      </w:pPr>
      <w:r>
        <w:rPr>
          <w:color w:val="000000" w:themeColor="text1"/>
        </w:rPr>
        <w:t xml:space="preserve">from a Combined Cycle Facility </w:t>
      </w:r>
    </w:p>
    <w:p w:rsidR="0021466C" w:rsidP="00640B3F" w:rsidRDefault="1B8B54E8" w14:paraId="70E5DC5D" w14:textId="77777777">
      <w:pPr>
        <w:pStyle w:val="zGTitle14"/>
        <w:rPr>
          <w:color w:val="000000" w:themeColor="text1"/>
        </w:rPr>
      </w:pPr>
      <w:r>
        <w:rPr>
          <w:color w:val="000000" w:themeColor="text1"/>
        </w:rPr>
        <w:t xml:space="preserve">For 2026 All-Source Capacity Request for Proposals </w:t>
      </w:r>
    </w:p>
    <w:p w:rsidR="1B8B54E8" w:rsidP="00640B3F" w:rsidRDefault="1B8B54E8" w14:paraId="2B4FE455" w14:textId="5D11047B">
      <w:pPr>
        <w:pStyle w:val="zGTitle14"/>
        <w:rPr>
          <w:color w:val="000000" w:themeColor="text1"/>
        </w:rPr>
      </w:pPr>
      <w:r>
        <w:rPr>
          <w:color w:val="000000" w:themeColor="text1"/>
        </w:rPr>
        <w:t>for Need Years 2032</w:t>
      </w:r>
      <w:r>
        <w:rPr>
          <w:rFonts w:cs="Arial"/>
          <w:bCs/>
        </w:rPr>
        <w:t>–</w:t>
      </w:r>
      <w:r>
        <w:rPr>
          <w:color w:val="000000" w:themeColor="text1"/>
        </w:rPr>
        <w:t>2033</w:t>
      </w:r>
    </w:p>
    <w:p w:rsidR="0025310E" w:rsidP="0025310E" w:rsidRDefault="0025310E" w14:paraId="7928F9DC" w14:textId="30712F4C">
      <w:pPr>
        <w:pStyle w:val="zGTitle14"/>
      </w:pPr>
      <w:r>
        <w:t>at</w:t>
      </w:r>
      <w:r>
        <w:rPr>
          <w:color w:val="000000" w:themeColor="text1"/>
        </w:rPr>
        <w:t xml:space="preserve"> </w:t>
      </w:r>
      <w:r>
        <w:rPr>
          <w:color w:val="000000" w:themeColor="text1"/>
          <w:highlight w:val="yellow"/>
        </w:rPr>
        <w:t>(#FacilityName#)</w:t>
      </w:r>
    </w:p>
    <w:p w:rsidR="0025310E" w:rsidP="0025310E" w:rsidRDefault="0025310E" w14:paraId="340663C2" w14:textId="77777777">
      <w:pPr>
        <w:pStyle w:val="zGTitle14"/>
        <w:rPr>
          <w:color w:val="000000" w:themeColor="text1"/>
          <w:szCs w:val="28"/>
        </w:rPr>
      </w:pPr>
      <w:r>
        <w:rPr>
          <w:color w:val="000000" w:themeColor="text1"/>
          <w:szCs w:val="28"/>
        </w:rPr>
        <w:t>between Georgia Power Company</w:t>
      </w:r>
    </w:p>
    <w:p w:rsidR="0025310E" w:rsidP="0025310E" w:rsidRDefault="0025310E" w14:paraId="742DE69C" w14:textId="2222ED07">
      <w:pPr>
        <w:pStyle w:val="zGTitle14"/>
        <w:rPr>
          <w:color w:val="000000" w:themeColor="text1"/>
          <w:szCs w:val="28"/>
        </w:rPr>
      </w:pPr>
      <w:r>
        <w:rPr>
          <w:color w:val="000000" w:themeColor="text1"/>
          <w:szCs w:val="28"/>
        </w:rPr>
        <w:t xml:space="preserve">and </w:t>
      </w:r>
      <w:r>
        <w:rPr>
          <w:color w:val="000000" w:themeColor="text1"/>
          <w:szCs w:val="28"/>
          <w:highlight w:val="yellow"/>
        </w:rPr>
        <w:t>#SellerLegalName#</w:t>
      </w:r>
    </w:p>
    <w:p w:rsidR="0025310E" w:rsidP="0025310E" w:rsidRDefault="0025310E" w14:paraId="1FF4E669" w14:textId="77777777">
      <w:pPr>
        <w:pStyle w:val="zGTitle14"/>
        <w:spacing w:after="0"/>
        <w:rPr>
          <w:color w:val="000000" w:themeColor="text1"/>
          <w:sz w:val="20"/>
        </w:rPr>
      </w:pPr>
    </w:p>
    <w:p w:rsidRPr="00BF5DF7" w:rsidR="003B7D8F" w:rsidP="00305D5B" w:rsidRDefault="003B7D8F" w14:paraId="05C60018" w14:textId="166D9B41">
      <w:pPr>
        <w:pStyle w:val="zGNormal6"/>
        <w:rPr>
          <w:rStyle w:val="eop"/>
          <w:shd w:val="clear" w:color="auto" w:fill="FFFFFF"/>
        </w:rPr>
      </w:pPr>
      <w:r>
        <w:rPr>
          <w:rStyle w:val="normaltextrun"/>
          <w:b/>
        </w:rPr>
        <w:t>Georgia Power Company</w:t>
      </w:r>
      <w:r>
        <w:rPr>
          <w:rStyle w:val="normaltextrun"/>
        </w:rPr>
        <w:t xml:space="preserve"> (“</w:t>
      </w:r>
      <w:r>
        <w:rPr>
          <w:rStyle w:val="normaltextrun"/>
          <w:b/>
        </w:rPr>
        <w:t>GPC</w:t>
      </w:r>
      <w:r>
        <w:rPr>
          <w:rStyle w:val="normaltextrun"/>
        </w:rPr>
        <w:t xml:space="preserve">”), a Georgia corporation, and </w:t>
      </w:r>
      <w:r>
        <w:rPr>
          <w:rStyle w:val="normaltextrun"/>
          <w:b/>
          <w:highlight w:val="yellow"/>
        </w:rPr>
        <w:t>#SellerLegalName#</w:t>
      </w:r>
      <w:r>
        <w:rPr>
          <w:rStyle w:val="normaltextrun"/>
          <w:b/>
        </w:rPr>
        <w:t xml:space="preserve"> </w:t>
      </w:r>
      <w:r>
        <w:rPr>
          <w:rStyle w:val="normaltextrun"/>
          <w:bCs/>
        </w:rPr>
        <w:t>(“</w:t>
      </w:r>
      <w:r>
        <w:rPr>
          <w:rStyle w:val="normaltextrun"/>
          <w:b/>
        </w:rPr>
        <w:t>Seller</w:t>
      </w:r>
      <w:r>
        <w:rPr>
          <w:rStyle w:val="normaltextrun"/>
          <w:bCs/>
        </w:rPr>
        <w:t>”)</w:t>
      </w:r>
      <w:r>
        <w:rPr>
          <w:rStyle w:val="normaltextrun"/>
        </w:rPr>
        <w:t xml:space="preserve"> enter into this </w:t>
      </w:r>
      <w:r>
        <w:rPr>
          <w:rStyle w:val="normaltextrun"/>
          <w:b/>
        </w:rPr>
        <w:t xml:space="preserve">Power Purchase Agreement for Firm Capacity, Firm Energy, and Ancillary Services from a Combined Cycle Facility </w:t>
      </w:r>
      <w:r>
        <w:rPr>
          <w:rFonts w:eastAsia="Arial"/>
          <w:b/>
          <w:bCs/>
          <w:color w:val="000000" w:themeColor="text1"/>
        </w:rPr>
        <w:t>for 2026 All-Source Capacity Request for Proposals for Need Years 2032</w:t>
      </w:r>
      <w:r>
        <w:rPr>
          <w:b/>
        </w:rPr>
        <w:t>–</w:t>
      </w:r>
      <w:r>
        <w:rPr>
          <w:rFonts w:eastAsia="Arial"/>
          <w:b/>
          <w:bCs/>
          <w:color w:val="000000" w:themeColor="text1"/>
        </w:rPr>
        <w:t>2033 at #</w:t>
      </w:r>
      <w:r>
        <w:rPr>
          <w:rFonts w:eastAsia="Arial"/>
          <w:b/>
          <w:bCs/>
          <w:color w:val="000000" w:themeColor="text1"/>
          <w:highlight w:val="yellow"/>
        </w:rPr>
        <w:t>FacilityName</w:t>
      </w:r>
      <w:r>
        <w:rPr>
          <w:rFonts w:eastAsia="Arial"/>
          <w:b/>
          <w:bCs/>
          <w:color w:val="000000" w:themeColor="text1"/>
        </w:rPr>
        <w:t xml:space="preserve"># </w:t>
      </w:r>
      <w:r>
        <w:rPr>
          <w:rStyle w:val="normaltextrun"/>
        </w:rPr>
        <w:t>as of the Effective Date. GPC and Seller acknowledge:</w:t>
      </w:r>
      <w:r>
        <w:rPr>
          <w:rStyle w:val="eop"/>
        </w:rPr>
        <w:t> </w:t>
      </w:r>
    </w:p>
    <w:p w:rsidRPr="00BF5DF7" w:rsidR="000F2B61" w:rsidP="004206E0" w:rsidRDefault="000F2B61" w14:paraId="59D48DE0" w14:textId="02C5AA0F">
      <w:pPr>
        <w:pStyle w:val="zGNormal6"/>
        <w:numPr>
          <w:ilvl w:val="0"/>
          <w:numId w:val="9"/>
        </w:numPr>
      </w:pPr>
      <w:r>
        <w:rPr>
          <w:rStyle w:val="normaltextrun"/>
        </w:rPr>
        <w:t>Seller desires to sell, and GPC desires to purchase, capacity and associated energy and Ancillary Services from the Facility consistent with the Commission’s Orders in Docket Nos. 56002 and 56368; and</w:t>
      </w:r>
    </w:p>
    <w:p w:rsidRPr="00BF5DF7" w:rsidR="00A14308" w:rsidP="004206E0" w:rsidRDefault="000F2B61" w14:paraId="661CB306" w14:textId="531D9913">
      <w:pPr>
        <w:pStyle w:val="zGNormal6"/>
        <w:numPr>
          <w:ilvl w:val="0"/>
          <w:numId w:val="9"/>
        </w:numPr>
        <w:rPr>
          <w:rStyle w:val="normaltextrun"/>
        </w:rPr>
      </w:pPr>
      <w:r>
        <w:rPr>
          <w:rStyle w:val="normaltextrun"/>
        </w:rPr>
        <w:t xml:space="preserve">The Parties desire to set forth the terms and conditions upon which the sale and purchase of capacity and associated energy and Ancillary Services may be conducted between the Parties. </w:t>
      </w:r>
    </w:p>
    <w:p w:rsidRPr="00BF5DF7" w:rsidR="000F2B61" w:rsidP="00305D5B" w:rsidRDefault="000F2B61" w14:paraId="191154E9" w14:textId="6297C7DA">
      <w:pPr>
        <w:pStyle w:val="zGNormal6"/>
      </w:pPr>
      <w:r>
        <w:rPr>
          <w:rStyle w:val="normaltextrun"/>
        </w:rPr>
        <w:t>In consideration of the mutual promises described in this PPA, and other good and valuable consideration, the receipt, adequacy, and sufficiency of which each Party acknowledges, and intending to be legally bound, the Parties agree: </w:t>
      </w:r>
      <w:r>
        <w:rPr>
          <w:rStyle w:val="eop"/>
        </w:rPr>
        <w:t> </w:t>
      </w:r>
    </w:p>
    <w:p w:rsidRPr="00BF5DF7" w:rsidR="00455FA1" w:rsidP="00992395" w:rsidRDefault="001A5684" w14:paraId="11F25CA7" w14:textId="0E54F446">
      <w:pPr>
        <w:pStyle w:val="zGTC01"/>
      </w:pPr>
      <w:bookmarkStart w:name="_Toc212472955" w:id="28"/>
      <w:bookmarkStart w:name="_Toc227840643" w:id="29"/>
      <w:r>
        <w:t>Term of Agreement</w:t>
      </w:r>
      <w:bookmarkEnd w:id="28"/>
      <w:bookmarkEnd w:id="29"/>
    </w:p>
    <w:p w:rsidRPr="00BF5DF7" w:rsidR="001A5684" w:rsidP="001A5684" w:rsidRDefault="00455FA1" w14:paraId="654C1581" w14:textId="77777777">
      <w:pPr>
        <w:pStyle w:val="zGTC02"/>
        <w:rPr>
          <w:rFonts w:ascii="Arial" w:hAnsi="Arial" w:eastAsia="PMingLiU" w:cs="Arial"/>
          <w:vanish/>
          <w:szCs w:val="20"/>
          <w:specVanish/>
        </w:rPr>
      </w:pPr>
      <w:bookmarkStart w:name="_Toc212472956" w:id="30"/>
      <w:bookmarkStart w:name="_Toc227840644" w:id="31"/>
      <w:r>
        <w:rPr>
          <w:rFonts w:ascii="Arial" w:hAnsi="Arial" w:cs="Arial"/>
          <w:szCs w:val="20"/>
        </w:rPr>
        <w:t>Term.</w:t>
      </w:r>
      <w:bookmarkEnd w:id="30"/>
      <w:bookmarkEnd w:id="31"/>
    </w:p>
    <w:p w:rsidRPr="00BF5DF7" w:rsidR="00455FA1" w:rsidP="004223BE" w:rsidRDefault="001A5684" w14:paraId="601A806B" w14:textId="29955072">
      <w:pPr>
        <w:pStyle w:val="zGNormal"/>
      </w:pPr>
      <w:r>
        <w:t xml:space="preserve"> Subject to applicable law and any earlier termination as permitted in this PPA, this PPA becomes effective on the Effective Date and continues for </w:t>
      </w:r>
      <w:bookmarkStart w:name="_Hlk19710508" w:id="32"/>
      <w:r>
        <w:t xml:space="preserve">the Term. </w:t>
      </w:r>
      <w:bookmarkEnd w:id="32"/>
    </w:p>
    <w:p w:rsidRPr="00BF5DF7" w:rsidR="004223BE" w:rsidP="004223BE" w:rsidRDefault="004223BE" w14:paraId="45B0A9FC" w14:textId="2EC6FC46">
      <w:pPr>
        <w:pStyle w:val="zGTC02"/>
        <w:rPr>
          <w:rFonts w:ascii="Arial" w:hAnsi="Arial" w:eastAsia="PMingLiU" w:cs="Arial"/>
          <w:vanish/>
          <w:szCs w:val="20"/>
          <w:specVanish/>
        </w:rPr>
      </w:pPr>
      <w:bookmarkStart w:name="_Toc212472957" w:id="33"/>
      <w:bookmarkStart w:name="_Toc227840645" w:id="34"/>
      <w:r>
        <w:rPr>
          <w:rFonts w:ascii="Arial" w:hAnsi="Arial" w:cs="Arial"/>
          <w:szCs w:val="20"/>
        </w:rPr>
        <w:t>Survival.</w:t>
      </w:r>
      <w:bookmarkEnd w:id="33"/>
      <w:bookmarkEnd w:id="34"/>
    </w:p>
    <w:p w:rsidRPr="00BF5DF7" w:rsidR="001A5684" w:rsidP="004223BE" w:rsidRDefault="004223BE" w14:paraId="5C36B8F5" w14:textId="24D47391">
      <w:pPr>
        <w:pStyle w:val="zGNormal"/>
      </w:pPr>
      <w:r>
        <w:t xml:space="preserve"> PPA provisions that </w:t>
      </w:r>
      <w:r>
        <w:rPr>
          <w:rFonts w:eastAsia="Times New Roman"/>
        </w:rPr>
        <w:t xml:space="preserve">by their nature or context should apply beyond PPA expiration, suspension, cancelation, completion, or termination, </w:t>
      </w:r>
      <w:r>
        <w:t>or after transfer, assignment, novation, merger, or other entity change,</w:t>
      </w:r>
      <w:r>
        <w:rPr>
          <w:rFonts w:eastAsia="Times New Roman"/>
        </w:rPr>
        <w:t xml:space="preserve"> will survive per applicable law or PPA terms, including all provisions of this PPA that must survive to give effect to the rights and obligations of the Parties. Expiration</w:t>
      </w:r>
      <w:r>
        <w:t xml:space="preserve"> or termination of this PPA will </w:t>
      </w:r>
      <w:r>
        <w:rPr>
          <w:rFonts w:eastAsia="Times New Roman"/>
        </w:rPr>
        <w:t>not relieve either Party of its liabilities or obligations that accrue before or at termination, and those liabilities and obligations will survive PPA termination</w:t>
      </w:r>
      <w:r>
        <w:t>.</w:t>
      </w:r>
    </w:p>
    <w:p w:rsidRPr="00BF5DF7" w:rsidR="00FF692D" w:rsidP="00FF692D" w:rsidRDefault="00FF692D" w14:paraId="1765C35E" w14:textId="088D4CEA">
      <w:pPr>
        <w:pStyle w:val="zGTC02"/>
        <w:rPr>
          <w:rFonts w:ascii="Arial" w:hAnsi="Arial" w:eastAsia="PMingLiU" w:cs="Arial"/>
          <w:vanish/>
          <w:szCs w:val="20"/>
          <w:specVanish/>
        </w:rPr>
      </w:pPr>
      <w:bookmarkStart w:name="_Toc212472958" w:id="35"/>
      <w:bookmarkStart w:name="_Toc227840646" w:id="36"/>
      <w:r>
        <w:rPr>
          <w:rFonts w:ascii="Arial" w:hAnsi="Arial" w:cs="Arial"/>
          <w:szCs w:val="20"/>
        </w:rPr>
        <w:t>Conditions Subsequent.</w:t>
      </w:r>
      <w:bookmarkEnd w:id="35"/>
      <w:bookmarkEnd w:id="36"/>
    </w:p>
    <w:p w:rsidRPr="00BF5DF7" w:rsidR="00CE17FB" w:rsidP="008C36E2" w:rsidRDefault="00640ABF" w14:paraId="2826DA00" w14:textId="15D49109">
      <w:pPr>
        <w:pStyle w:val="zGNormal"/>
        <w:rPr>
          <w:b/>
          <w:caps/>
        </w:rPr>
      </w:pPr>
      <w:r>
        <w:t xml:space="preserve"> This PPA is subject to termination for failure of any of the following conditions:</w:t>
      </w:r>
    </w:p>
    <w:p w:rsidRPr="00BF5DF7" w:rsidR="006A6A97" w:rsidP="00C640AF" w:rsidRDefault="00B00D1B" w14:paraId="44831B18" w14:textId="6CC43A6E">
      <w:pPr>
        <w:pStyle w:val="zGTC03"/>
      </w:pPr>
      <w:r>
        <w:rPr>
          <w:b/>
        </w:rPr>
        <w:t>FERC Delay or Rejection</w:t>
      </w:r>
      <w:r>
        <w:rPr>
          <w:b/>
          <w:bCs/>
        </w:rPr>
        <w:t xml:space="preserve">. </w:t>
      </w:r>
      <w:r>
        <w:t xml:space="preserve">If FERC acceptance of this PPA is required by applicable law, and if: (a) FERC issues a valid order rejecting this PPA; or (b) FERC fails to take action or takes action that, in either case, has the effect of delaying the date when FERC will issue an order accepting this PPA to a date beyond 285 Days after the Commission Certificate, then in the case of (a) or (b) the Parties will meet no later than 10 Business Days </w:t>
      </w:r>
      <w:r w:rsidR="003E070C">
        <w:t xml:space="preserve">after </w:t>
      </w:r>
      <w:r>
        <w:t xml:space="preserve">the date of the order or the date that is 285 Days after the Commission Certificate, as applicable, to negotiate amendments to this PPA, an extension of time for FERC to accept this PPA beyond 285 Days from the granting of a Commission Certificate, or other appropriate measure, so that this PPA, as amended or taking into account the appropriate measure, is legal and fully enforceable without materially increasing the risks for either Party or adversely affecting the value of the economic bargain to either Party contemplated by this PPA in its original form. </w:t>
      </w:r>
    </w:p>
    <w:p w:rsidRPr="00BF5DF7" w:rsidR="00E65278" w:rsidP="00A52AAB" w:rsidRDefault="005B178A" w14:paraId="6232A328" w14:textId="32F30D1B">
      <w:pPr>
        <w:pStyle w:val="zGTC04"/>
      </w:pPr>
      <w:r>
        <w:t xml:space="preserve">If the Parties are unable to negotiate any acceptable amendment, or other appropriate measure, then either Party may terminate this PPA upon notice to the other Party, so long as such notice is delivered to the non-terminating Party no later than 30 Days after 285 Days from the granting of a Commission Certificate. In no event will this termination right be available to the Parties, and a Party will be deemed to have waived its termination right, absent receipt of notice by the non-terminating Party before the expiration of the 30-Day period. </w:t>
      </w:r>
    </w:p>
    <w:p w:rsidRPr="00BF5DF7" w:rsidR="006A6A97" w:rsidP="00E65278" w:rsidRDefault="008C5CE9" w14:paraId="12E24075" w14:textId="164D9CA3">
      <w:pPr>
        <w:pStyle w:val="zGTC03"/>
      </w:pPr>
      <w:r>
        <w:rPr>
          <w:b/>
          <w:bCs/>
        </w:rPr>
        <w:lastRenderedPageBreak/>
        <w:t>FERC Acceptance with Modification.</w:t>
      </w:r>
      <w:r>
        <w:t xml:space="preserve"> Despite the preceding provisions, if, before 285 Days after the granting of a Commission Certificate, FERC issues a valid order accepting this PPA subject to material modification or condition(s), including acceptance subject to refund following an administrative proceeding, then the adversely affected Party or Parties (as applicable) will have the right to terminate this PPA if the material modification or condition(s) are not acceptable. By no later than 15 Days after the issuance date of a FERC order, Seller must provide GPC with a copy of the FERC order, along with notice of whether the FERC order is subject to material modification or condition(s) that adversely affect Seller and, if so, whether the material modification or condition(s) are acceptable to Seller. If Seller fails to provide the notice before the</w:t>
      </w:r>
      <w:r>
        <w:rPr>
          <w:vertAlign w:val="superscript"/>
        </w:rPr>
        <w:t xml:space="preserve"> </w:t>
      </w:r>
      <w:r>
        <w:t>15</w:t>
      </w:r>
      <w:r>
        <w:rPr>
          <w:vertAlign w:val="superscript"/>
        </w:rPr>
        <w:t>th</w:t>
      </w:r>
      <w:r>
        <w:t xml:space="preserve"> Day, then Seller will be deemed to have accepted any FERC order accepting this PPA subject to material modification or condition(s). </w:t>
      </w:r>
    </w:p>
    <w:p w:rsidR="00F90EA6" w:rsidP="00A174E2" w:rsidRDefault="00B15491" w14:paraId="0CB1B5F6" w14:textId="2CAABD8B">
      <w:pPr>
        <w:pStyle w:val="zGTC04"/>
      </w:pPr>
      <w:r>
        <w:t xml:space="preserve">By no later than 15 Days </w:t>
      </w:r>
      <w:r w:rsidR="003371FD">
        <w:t xml:space="preserve">after </w:t>
      </w:r>
      <w:r>
        <w:t>the receipt date of a copy of the FERC order from Seller, GPC will provide Seller with notice of whether the FERC order is subject to material modification or condition(s) that adversely affect GPC and, if so, whether such material modification or condition(s) are acceptable to GPC. If GPC does not provide the notice before the 15</w:t>
      </w:r>
      <w:r>
        <w:rPr>
          <w:vertAlign w:val="superscript"/>
        </w:rPr>
        <w:t>th</w:t>
      </w:r>
      <w:r>
        <w:t xml:space="preserve"> Day, then GPC will be deemed to have accepted the FERC order accepting this PPA subject to material modification or condition(s). </w:t>
      </w:r>
    </w:p>
    <w:p w:rsidRPr="00BF5DF7" w:rsidR="00A174E2" w:rsidP="00A174E2" w:rsidRDefault="00A174E2" w14:paraId="41617F46" w14:textId="387A4A1B">
      <w:pPr>
        <w:pStyle w:val="zGTC04"/>
      </w:pPr>
      <w:r>
        <w:t xml:space="preserve">If either Party provides notice that such material modification or condition(s) are not acceptable, then the Parties will meet no later than 10 Business Days following the date of the notice to negotiate an amendment to this PPA, or other appropriate measure, so that this PPA, as amended or taking into account </w:t>
      </w:r>
      <w:r w:rsidR="006A2666">
        <w:t xml:space="preserve">any </w:t>
      </w:r>
      <w:r>
        <w:t>other appropriate measure, is legal and fully enforceable, without materially increasing the risks for either Party or adversely affecting the value of the economic bargain to either Party contemplated by this PPA in its original form. If the Parties are unable to negotiate any acceptable amendment, or other appropriate measure, then the Party who delivers the notice will have the right to terminate this PPA upon notice to the other Party, so long as the notice is delivered no later than 30 Days after the 285 Days from the granting of a Commission Certificate. Upon termination in accordance with this Section 1.3.2, (</w:t>
      </w:r>
      <w:r>
        <w:rPr>
          <w:i/>
          <w:iCs/>
        </w:rPr>
        <w:t>FERC Acceptance with Modification</w:t>
      </w:r>
      <w:r>
        <w:t>) neither Party will have any liability to the other Party under this PPA, and GPC will return to Seller the Eligible Collateral then held by GPC.</w:t>
      </w:r>
    </w:p>
    <w:p w:rsidRPr="00BB6EFC" w:rsidR="0037363E" w:rsidP="005B178A" w:rsidRDefault="003544C9" w14:paraId="1455B362" w14:textId="77777777">
      <w:pPr>
        <w:pStyle w:val="zGTC03"/>
        <w:rPr>
          <w:b/>
          <w:bCs/>
        </w:rPr>
      </w:pPr>
      <w:r>
        <w:rPr>
          <w:b/>
          <w:bCs/>
        </w:rPr>
        <w:t xml:space="preserve">Commission Certificate Target Date Conditions. </w:t>
      </w:r>
    </w:p>
    <w:p w:rsidRPr="00F57DDA" w:rsidR="00F57DDA" w:rsidP="008B1C4A" w:rsidRDefault="002D27D5" w14:paraId="029F08C7" w14:textId="459FE300">
      <w:pPr>
        <w:pStyle w:val="zGTC04"/>
      </w:pPr>
      <w:r>
        <w:rPr>
          <w:b/>
          <w:bCs/>
        </w:rPr>
        <w:t xml:space="preserve">Initial Termination Rights for Commission Certificate Target Conditions. </w:t>
      </w:r>
      <w:r>
        <w:t>If: (a) after the Commission Certificate Target Date the Commission has not approved this PPA through a Commission Certificate; or (b) the Commission has issued a Commission Certificate that is subject to material qualification or condition(s) that adversely affect GPC or Seller, then (x) in the case of clause (a), either Party may terminate this PPA upon notice to the other Party, so long as the notice is delivered to the other Party by no later than 30 Days after the Commission Certificate Target Date; or (y) in the case of clause (b), the Party or Parties (as applicable) that is or are adversely affected by the Commission Certificate may terminate this PPA upon notice to the other Party, so long as the notice is delivered by no later than 30 Days after the date the Commission issued the Commission Certificate that is subject to material qualification or condition(s) that adversely affects such Party or Parties (as applicable). If Commission certification is delayed for reasons not attributable to Seller and GPC does not elect to terminate this PPA, Seller will be entitled to an RCOD extension.</w:t>
      </w:r>
      <w:r>
        <w:rPr>
          <w:b/>
        </w:rPr>
        <w:t xml:space="preserve"> </w:t>
      </w:r>
    </w:p>
    <w:p w:rsidRPr="00BF5DF7" w:rsidR="007D2D79" w:rsidP="008B1C4A" w:rsidRDefault="00F57DDA" w14:paraId="59C9BBDA" w14:textId="2757BA0C">
      <w:pPr>
        <w:pStyle w:val="zGTC04"/>
      </w:pPr>
      <w:r>
        <w:rPr>
          <w:b/>
          <w:bCs/>
        </w:rPr>
        <w:t xml:space="preserve">Motion to Reconsider or Appeal; Extended PPA Termination Rights for Commission Certificate Target Conditions. </w:t>
      </w:r>
      <w:r>
        <w:t xml:space="preserve">If, within 30 Days after the issuance of the Commission Certificate or an order denying a Commission Certificate, </w:t>
      </w:r>
      <w:r w:rsidR="006C208E">
        <w:t>any Person</w:t>
      </w:r>
      <w:r>
        <w:t xml:space="preserve"> files a motion to reconsider with the Commission or an appeal with Fulton County Superior Court regarding the issuance or denial of the Commission Certificate, then either Party may terminate this PPA upon notice to the other Party, so long as the notice is delivered to the other Party no later than 80 Days after the Commission Certificate Target Date; </w:t>
      </w:r>
      <w:r w:rsidR="00BE52FB">
        <w:t>however, Seller will not have a termination right under this Section 1.3.3(ii) (</w:t>
      </w:r>
      <w:r w:rsidRPr="00A61C3A" w:rsidR="00BE52FB">
        <w:rPr>
          <w:i/>
          <w:iCs/>
        </w:rPr>
        <w:t>Motion to Reconsider or Appeal; Extended PPA Termination Rights for Commission Certificate Target Conditions</w:t>
      </w:r>
      <w:r w:rsidR="00BE52FB">
        <w:t>) so long as the Commission Certificate remains in effect with respect to this PPA or this PPA otherwise remains certified.</w:t>
      </w:r>
      <w:r w:rsidDel="00F152A2" w:rsidR="00BE52FB">
        <w:t xml:space="preserve"> </w:t>
      </w:r>
    </w:p>
    <w:p w:rsidRPr="00BF5DF7" w:rsidR="00186211" w:rsidP="008B1C4A" w:rsidRDefault="00186211" w14:paraId="072FFBB4" w14:textId="23B9DEC5">
      <w:pPr>
        <w:pStyle w:val="zGTC04"/>
      </w:pPr>
      <w:r>
        <w:rPr>
          <w:b/>
        </w:rPr>
        <w:t xml:space="preserve">Waiver of PPA Termination Right. </w:t>
      </w:r>
      <w:r>
        <w:t>If, within the applicable notice period, a Party does not exercise its termination right in accordance with this Section 1.3.3 (</w:t>
      </w:r>
      <w:r>
        <w:rPr>
          <w:i/>
        </w:rPr>
        <w:t>Commission Certificate Target Date Conditions</w:t>
      </w:r>
      <w:r>
        <w:t>), then the Party will be deemed to have waived the termination right.</w:t>
      </w:r>
    </w:p>
    <w:p w:rsidRPr="00BF5DF7" w:rsidR="00AF7A0A" w:rsidP="008B1C4A" w:rsidRDefault="00186211" w14:paraId="7F794AE5" w14:textId="271428F4">
      <w:pPr>
        <w:pStyle w:val="zGTC04"/>
      </w:pPr>
      <w:r>
        <w:rPr>
          <w:b/>
          <w:bCs/>
        </w:rPr>
        <w:lastRenderedPageBreak/>
        <w:t xml:space="preserve">Obligations following PPA Termination. </w:t>
      </w:r>
      <w:r>
        <w:t>Upon PPA termination in accordance with this Section 1.3.3: (</w:t>
      </w:r>
      <w:r>
        <w:rPr>
          <w:i/>
        </w:rPr>
        <w:t>Commission Certificate Target Date Conditions</w:t>
      </w:r>
      <w:r>
        <w:t xml:space="preserve">) (a) neither Party will have any further liability to the other Party under this PPA; and (b) GPC will promptly return to Seller any unused portion of Performance Security.  </w:t>
      </w:r>
    </w:p>
    <w:p w:rsidRPr="00BF5DF7" w:rsidR="00FF7FD8" w:rsidP="00BB2F81" w:rsidRDefault="00AF7A0A" w14:paraId="09709052" w14:textId="0CB367FE">
      <w:pPr>
        <w:pStyle w:val="zGTC03"/>
      </w:pPr>
      <w:r>
        <w:rPr>
          <w:b/>
        </w:rPr>
        <w:t>Revocation, Qualifications, or Conditions.</w:t>
      </w:r>
      <w:r>
        <w:t xml:space="preserve"> Despite Section 1.3.3 (</w:t>
      </w:r>
      <w:r>
        <w:rPr>
          <w:i/>
        </w:rPr>
        <w:t>Commission Certificate Target Date Conditions</w:t>
      </w:r>
      <w:r>
        <w:t>), if, at any time during the Term, the Commission issues an amendment to the Commission Certificate regarding this PPA (“</w:t>
      </w:r>
      <w:r>
        <w:rPr>
          <w:b/>
        </w:rPr>
        <w:t>Amended Commission Certificate</w:t>
      </w:r>
      <w:r>
        <w:t xml:space="preserve">”) that </w:t>
      </w:r>
      <w:r w:rsidR="002C4007">
        <w:t xml:space="preserve">revokes </w:t>
      </w:r>
      <w:r w:rsidR="00145A1A">
        <w:t xml:space="preserve">the Commission Certificate </w:t>
      </w:r>
      <w:r w:rsidR="002C4007">
        <w:t xml:space="preserve">or </w:t>
      </w:r>
      <w:r>
        <w:t xml:space="preserve">imposes a material qualification or condition that adversely affects either Party and that is not acceptable to the affected Party, then </w:t>
      </w:r>
      <w:r w:rsidR="002D270B">
        <w:t>the affected</w:t>
      </w:r>
      <w:r>
        <w:t xml:space="preserve"> Party will have the right to terminate this PPA, unless GPC and Seller agree to amend in accordance with Section 1.3.6 (</w:t>
      </w:r>
      <w:r>
        <w:rPr>
          <w:i/>
        </w:rPr>
        <w:t>PPA Amendment</w:t>
      </w:r>
      <w:r>
        <w:t xml:space="preserve">). Within 15 Days after the issuance of the Amended Commission Certificate, </w:t>
      </w:r>
      <w:r w:rsidR="001908F2">
        <w:t xml:space="preserve">each Party must </w:t>
      </w:r>
      <w:r>
        <w:t xml:space="preserve">provide </w:t>
      </w:r>
      <w:r w:rsidR="001908F2">
        <w:t xml:space="preserve">the other Party </w:t>
      </w:r>
      <w:r>
        <w:t xml:space="preserve">with notice of whether the Amended Commission Certificate is subject to material qualification or condition and, if so, whether the material qualification or condition is acceptable. If </w:t>
      </w:r>
      <w:r w:rsidR="001908F2">
        <w:t xml:space="preserve">a Party </w:t>
      </w:r>
      <w:r>
        <w:t xml:space="preserve">does not provide notice within the 15-Day period, the Amended Commission Certificate will be deemed to be acceptable to </w:t>
      </w:r>
      <w:r w:rsidR="00AC6F4D">
        <w:t>that Party</w:t>
      </w:r>
      <w:r>
        <w:t>. Upon a termination in accordance with this Section 1.3.4 (</w:t>
      </w:r>
      <w:r>
        <w:rPr>
          <w:i/>
          <w:iCs/>
        </w:rPr>
        <w:t>Revocation, Qualifications, or Conditions</w:t>
      </w:r>
      <w:r>
        <w:t>)</w:t>
      </w:r>
      <w:r w:rsidR="00910FA2">
        <w:t>:</w:t>
      </w:r>
      <w:r>
        <w:t xml:space="preserve"> (i) neither Party will have any further liability to the other Party under this PPA; and (ii) GPC will promptly return to Seller any unused portion of the Performance Security</w:t>
      </w:r>
      <w:r w:rsidR="00AF6CD7">
        <w:t>, if applicable</w:t>
      </w:r>
      <w:r>
        <w:t xml:space="preserve">. </w:t>
      </w:r>
    </w:p>
    <w:p w:rsidRPr="00BF5DF7" w:rsidR="005B178A" w:rsidP="005B178A" w:rsidRDefault="00492032" w14:paraId="6F04FF91" w14:textId="000AFDAE">
      <w:pPr>
        <w:pStyle w:val="zGTC03"/>
      </w:pPr>
      <w:r>
        <w:rPr>
          <w:b/>
        </w:rPr>
        <w:t xml:space="preserve">Change in Economic Circumstances or Market Conditions. </w:t>
      </w:r>
      <w:r>
        <w:t>Despite any other provision in this PPA, and so long as it is not required by Commission Rule 515-3-4.08, neither Party will seek to have the Commission revoke the Commission Certificate of its own initiative for reasons solely related to changed economic circumstances or market conditions affecting this PPA.</w:t>
      </w:r>
    </w:p>
    <w:p w:rsidRPr="00BF5DF7" w:rsidR="005B178A" w:rsidP="005B178A" w:rsidRDefault="00FF6B70" w14:paraId="0CCAEF06" w14:textId="58D0CEB6">
      <w:pPr>
        <w:pStyle w:val="zGTC03"/>
      </w:pPr>
      <w:r>
        <w:rPr>
          <w:b/>
        </w:rPr>
        <w:t xml:space="preserve">PPA Amendment. </w:t>
      </w:r>
      <w:r>
        <w:t>If the Commission issues an Order approving this PPA with any modification or condition, or issues an Amended Commission Certificate, as applicable, this PPA will not be amended to include the modification or condition unless the Parties execute a written amendment agreeing to the modification or condition. If GPC requests, within 30 Days after issuance of the Order, that Seller execute a written amendment agreeing to the modification or condition, and Seller does not execute the written amendment by no later than 30 Days after the date of GPC's request, GPC may terminate this PPA. Upon termination of this PPA in accordance with this Section 1.3.6 (</w:t>
      </w:r>
      <w:r>
        <w:rPr>
          <w:i/>
          <w:iCs/>
        </w:rPr>
        <w:t>PPA Amendment</w:t>
      </w:r>
      <w:r>
        <w:t>): (i) GPC will promptly return to Seller any unused portion of the Performance Security</w:t>
      </w:r>
      <w:r w:rsidR="00AF6CD7">
        <w:t>, if applicable</w:t>
      </w:r>
      <w:r>
        <w:t>; and (ii) neither Party will have any further obligation to the other Party under this PPA.</w:t>
      </w:r>
    </w:p>
    <w:p w:rsidRPr="00FB6026" w:rsidR="00C13ED0" w:rsidP="00C13ED0" w:rsidRDefault="00B41EC4" w14:paraId="2FFAD641" w14:textId="1DEA781B">
      <w:pPr>
        <w:pStyle w:val="zGTC03"/>
      </w:pPr>
      <w:r w:rsidRPr="00C13ED0">
        <w:rPr>
          <w:b/>
          <w:bCs/>
        </w:rPr>
        <w:t>Payment of Winner’s Fee</w:t>
      </w:r>
      <w:r>
        <w:t xml:space="preserve">. </w:t>
      </w:r>
      <w:r w:rsidRPr="00FB6026" w:rsidR="00C13ED0">
        <w:t xml:space="preserve">After the Commission approves this PPA through a Commission Certificate, </w:t>
      </w:r>
      <w:r w:rsidR="00C13ED0">
        <w:t xml:space="preserve">GPC will calculate the winner’s fee owed by Seller per the terms of GPC’s 2026 All-Source Capacity Request for Proposals for Need Years 2032 - 2033 and notify Seller of the amount. Seller must pay the winner’s fee to GPC: (i) within 10 Days after receipt of GPC’s notice; and (ii) following the instructions in the notice. Seller’s failure to timely pay the winner’s fee as required by this Section 1.3.7 </w:t>
      </w:r>
      <w:r w:rsidR="00AF5A10">
        <w:t>(</w:t>
      </w:r>
      <w:r w:rsidRPr="00AF5A10" w:rsidR="00AF5A10">
        <w:rPr>
          <w:i/>
          <w:iCs/>
        </w:rPr>
        <w:t>Payment of Winner’s Fee</w:t>
      </w:r>
      <w:r w:rsidR="00AF5A10">
        <w:t xml:space="preserve">) </w:t>
      </w:r>
      <w:r w:rsidR="00C13ED0">
        <w:t>will be a Seller Event of Default.</w:t>
      </w:r>
    </w:p>
    <w:p w:rsidRPr="00BF5DF7" w:rsidR="00AD564A" w:rsidP="006A6A97" w:rsidRDefault="000B73ED" w14:paraId="53EF7AC8" w14:textId="21A1168C">
      <w:pPr>
        <w:pStyle w:val="zGTC01"/>
      </w:pPr>
      <w:bookmarkStart w:name="_Toc212472959" w:id="37"/>
      <w:bookmarkStart w:name="_Toc227840647" w:id="38"/>
      <w:r>
        <w:t>Representations, Warranties, and Covenants</w:t>
      </w:r>
      <w:bookmarkEnd w:id="37"/>
      <w:bookmarkEnd w:id="38"/>
    </w:p>
    <w:p w:rsidRPr="00BF5DF7" w:rsidR="00FF692D" w:rsidP="00FF692D" w:rsidRDefault="00F85ED2" w14:paraId="4637EA2B" w14:textId="703DADC8">
      <w:pPr>
        <w:pStyle w:val="zGTC02"/>
        <w:rPr>
          <w:rFonts w:ascii="Arial" w:hAnsi="Arial" w:eastAsia="PMingLiU" w:cs="Arial"/>
          <w:vanish/>
          <w:szCs w:val="20"/>
          <w:specVanish/>
        </w:rPr>
      </w:pPr>
      <w:bookmarkStart w:name="_Toc212472960" w:id="39"/>
      <w:bookmarkStart w:name="_Toc227840648" w:id="40"/>
      <w:r>
        <w:rPr>
          <w:rFonts w:ascii="Arial" w:hAnsi="Arial" w:cs="Arial"/>
          <w:szCs w:val="20"/>
        </w:rPr>
        <w:t>Seller Representations, Warranties, and Covenants.</w:t>
      </w:r>
      <w:bookmarkEnd w:id="39"/>
      <w:bookmarkEnd w:id="40"/>
    </w:p>
    <w:p w:rsidRPr="00BF5DF7" w:rsidR="00802DDF" w:rsidP="00D900C6" w:rsidRDefault="00D900C6" w14:paraId="0D4C072A" w14:textId="1E958919">
      <w:pPr>
        <w:pStyle w:val="zGNormal"/>
      </w:pPr>
      <w:r>
        <w:t xml:space="preserve"> Seller makes to GPC the following additional representations, warranties, </w:t>
      </w:r>
      <w:r w:rsidR="00AF6CD7">
        <w:t>and</w:t>
      </w:r>
      <w:r>
        <w:t xml:space="preserve"> covenants as the basis for the benefits and obligations contained in this PPA:</w:t>
      </w:r>
    </w:p>
    <w:p w:rsidRPr="00BF5DF7" w:rsidR="00D900C6" w:rsidP="33351F9A" w:rsidRDefault="0029096D" w14:paraId="34562F08" w14:textId="727704F6">
      <w:pPr>
        <w:pStyle w:val="zGTC03"/>
      </w:pPr>
      <w:r>
        <w:rPr>
          <w:b/>
          <w:bCs/>
        </w:rPr>
        <w:t>Organization; Facility Ownership; Legal Power and Authority.</w:t>
      </w:r>
      <w:r>
        <w:t xml:space="preserve"> Seller is duly organized and validly existing in accordance with the Seller information provided in Exhibit A (</w:t>
      </w:r>
      <w:r>
        <w:rPr>
          <w:i/>
          <w:iCs/>
        </w:rPr>
        <w:t>Facility Description and Additional Details</w:t>
      </w:r>
      <w:r>
        <w:t>), in good standing under the laws of the state of Georgia, qualified to do business in the state of Georgia, the sole owner and operator of the Facility, and has the legal power and authority to: (i) own its properties; (ii) carry on its business as now being conducted; (iii) enter into this PPA; (iv) to otherwise carry out the transactions contemplated by this PPA; and (v) perform and fulfill all covenants and obligations on Seller’s part to be performed under this PPA.</w:t>
      </w:r>
    </w:p>
    <w:p w:rsidRPr="00BF5DF7" w:rsidR="00D900C6" w:rsidP="00D900C6" w:rsidRDefault="00391313" w14:paraId="16A37B97" w14:textId="14704A0C">
      <w:pPr>
        <w:pStyle w:val="zGTC03"/>
      </w:pPr>
      <w:r>
        <w:rPr>
          <w:b/>
        </w:rPr>
        <w:t>Authorization.</w:t>
      </w:r>
      <w:r>
        <w:t xml:space="preserve"> The execution, delivery, and performance by Seller of this PPA have been duly authorized by all necessary action, and do not and will not require any consent or approval of any Person other than those already properly obtained.</w:t>
      </w:r>
    </w:p>
    <w:p w:rsidRPr="00BF5DF7" w:rsidR="00D900C6" w:rsidP="33351F9A" w:rsidRDefault="0009530F" w14:paraId="5BB838DE" w14:textId="09167696">
      <w:pPr>
        <w:pStyle w:val="zGTC03"/>
      </w:pPr>
      <w:r>
        <w:rPr>
          <w:b/>
          <w:bCs/>
        </w:rPr>
        <w:t xml:space="preserve">No Conflict or Breach. </w:t>
      </w:r>
      <w:r>
        <w:t xml:space="preserve">The execution and delivery of this PPA, the consummation of the transactions contemplated by this PPA, and the fulfillment of and compliance with this PPA, do not and will not conflict with or constitute a breach of or a default under, any of the terms, conditions, or provisions of any applicable law, charter, bylaw, operating agreement, or other formation or organizational document </w:t>
      </w:r>
      <w:r>
        <w:lastRenderedPageBreak/>
        <w:t>of Seller, or any deed of trust, mortgage, loan agreement, other evidence of Indebtedness, or any other agreement or instrument to which Seller is a party or by which Seller or any of its property is bound.</w:t>
      </w:r>
    </w:p>
    <w:p w:rsidRPr="00BF5DF7" w:rsidR="00077104" w:rsidP="00D900C6" w:rsidRDefault="000B6FB1" w14:paraId="691CDD37" w14:textId="74B2B660">
      <w:pPr>
        <w:pStyle w:val="zGTC03"/>
      </w:pPr>
      <w:r>
        <w:rPr>
          <w:b/>
        </w:rPr>
        <w:t xml:space="preserve">Legal, Valid, and Binding Obligations. </w:t>
      </w:r>
      <w:r>
        <w:t>This PPA contains the legal, valid, and binding obligations of Seller that are enforceable in accordance with their terms, except as the enforceability may be limited by bankruptcy, insolvency, reorganization, or similar laws relating to or affecting the enforcement of creditors’ rights generally or by general equitable principles, regardless of whether the enforceability is considered in a proceeding in equity or at law.</w:t>
      </w:r>
    </w:p>
    <w:p w:rsidRPr="00BF5DF7" w:rsidR="00077104" w:rsidP="00D900C6" w:rsidRDefault="006E1616" w14:paraId="490B007F" w14:textId="56C109D0">
      <w:pPr>
        <w:pStyle w:val="zGTC03"/>
      </w:pPr>
      <w:r>
        <w:rPr>
          <w:b/>
          <w:bCs/>
        </w:rPr>
        <w:t xml:space="preserve">No Proceeding Impacting Legality, Validity, or Enforceability of this PPA. </w:t>
      </w:r>
      <w:r>
        <w:t>As of the Effective Date, there is no pending, or to the knowledge of Seller, threatened action or proceeding affecting Seller before any Governmental Authority that purports to affect the legality, validity, or enforceability of this PPA or that could reasonably be expected to have a material adverse effect on Seller.</w:t>
      </w:r>
    </w:p>
    <w:p w:rsidRPr="00BF5DF7" w:rsidR="00077104" w:rsidP="00D900C6" w:rsidRDefault="0088151C" w14:paraId="2CD62728" w14:textId="5B064D73">
      <w:pPr>
        <w:pStyle w:val="zGTC03"/>
      </w:pPr>
      <w:r>
        <w:rPr>
          <w:b/>
        </w:rPr>
        <w:t xml:space="preserve">No </w:t>
      </w:r>
      <w:r>
        <w:rPr>
          <w:b/>
          <w:bCs/>
        </w:rPr>
        <w:t>Bankruptcy Proceeding.</w:t>
      </w:r>
      <w:r>
        <w:t xml:space="preserve"> There </w:t>
      </w:r>
      <w:r w:rsidR="00B0756A">
        <w:t xml:space="preserve">are </w:t>
      </w:r>
      <w:r>
        <w:t>no bankruptcy proceeding</w:t>
      </w:r>
      <w:r w:rsidR="00B0756A">
        <w:t>s</w:t>
      </w:r>
      <w:r>
        <w:t xml:space="preserve"> pending or being contemplated by Seller or, to Seller’s knowledge, threatened against Seller.</w:t>
      </w:r>
    </w:p>
    <w:p w:rsidRPr="00BF5DF7" w:rsidR="00077104" w:rsidP="00D900C6" w:rsidRDefault="00FB026A" w14:paraId="54965FA0" w14:textId="31F6474A">
      <w:pPr>
        <w:pStyle w:val="zGTC03"/>
      </w:pPr>
      <w:r>
        <w:rPr>
          <w:b/>
        </w:rPr>
        <w:t xml:space="preserve">No Federal Debarment. </w:t>
      </w:r>
      <w:r>
        <w:t>Seller is not debarred, suspended, or proposed for debarment as a contractor or subcontractor to any department, agency, or other division of the United States Government.</w:t>
      </w:r>
    </w:p>
    <w:p w:rsidRPr="002514E0" w:rsidR="002514E0" w:rsidP="006673E0" w:rsidRDefault="00A41424" w14:paraId="26C2382A" w14:textId="0D01442D">
      <w:pPr>
        <w:pStyle w:val="zGTC03"/>
      </w:pPr>
      <w:r>
        <w:rPr>
          <w:b/>
        </w:rPr>
        <w:t>VIE Certification.</w:t>
      </w:r>
      <w:r>
        <w:t xml:space="preserve"> </w:t>
      </w:r>
    </w:p>
    <w:p w:rsidRPr="000738B4" w:rsidR="007A0EB6" w:rsidP="002514E0" w:rsidRDefault="002514E0" w14:paraId="08699320" w14:textId="7D87A233">
      <w:pPr>
        <w:pStyle w:val="zGTC04"/>
      </w:pPr>
      <w:r>
        <w:t>As of the Effective Date, Seller has determined that Seller does not constitute a VIE for which GPC is the Primary Beneficiary and therefore that GPC is not required to consolidate Seller or any of its Affiliates in GPC’s financial statements under ASC Topic 810 (Consolidation) and related applicable accounting standards (“</w:t>
      </w:r>
      <w:r>
        <w:rPr>
          <w:b/>
          <w:bCs/>
        </w:rPr>
        <w:t>GPC Consolidation</w:t>
      </w:r>
      <w:r>
        <w:t>”) as in effect on the Effective Date (“</w:t>
      </w:r>
      <w:r>
        <w:rPr>
          <w:b/>
          <w:bCs/>
        </w:rPr>
        <w:t>Effective Date Accounting Standards</w:t>
      </w:r>
      <w:r>
        <w:t>”).</w:t>
      </w:r>
    </w:p>
    <w:p w:rsidR="00106C79" w:rsidP="00106C79" w:rsidRDefault="007A0EB6" w14:paraId="225F405B" w14:textId="77777777">
      <w:pPr>
        <w:pStyle w:val="zGTC04"/>
      </w:pPr>
      <w:r>
        <w:t>Seller must not take any action that would reasonably cause, and must take any commercially reasonable action necessary to avoid, GPC Consolidation.</w:t>
      </w:r>
    </w:p>
    <w:p w:rsidR="00C97FAE" w:rsidP="00106C79" w:rsidRDefault="00B63E83" w14:paraId="33BBD0E4" w14:textId="1BD61DE7">
      <w:pPr>
        <w:pStyle w:val="zGTC04"/>
      </w:pPr>
      <w:r>
        <w:t xml:space="preserve">Seller must promptly notify GPC of any determination made by Seller or Seller’s independent auditor that: (a) Seller’s VIE status has changed; or (b) Seller constitutes a VIE for which GPC is the Primary Beneficiary, considering this PPA individually or together with any other power purchase agreement between Seller and GPC. </w:t>
      </w:r>
    </w:p>
    <w:p w:rsidR="19E1EAA3" w:rsidP="3315BD22" w:rsidRDefault="19E1EAA3" w14:paraId="14E5B1B6" w14:textId="0045FAB1">
      <w:pPr>
        <w:pStyle w:val="zGTC04"/>
      </w:pPr>
      <w:r>
        <w:rPr>
          <w:rFonts w:eastAsia="Arial"/>
          <w:szCs w:val="20"/>
        </w:rPr>
        <w:t>If during the Term (x) existing accounting standards are modified or new standards are adopted and implemented by FASB that supersede the Effective Date Accounting Standards (“</w:t>
      </w:r>
      <w:r>
        <w:rPr>
          <w:rFonts w:eastAsia="Arial"/>
          <w:b/>
          <w:szCs w:val="20"/>
        </w:rPr>
        <w:t>Change in Accounting Standards</w:t>
      </w:r>
      <w:r>
        <w:rPr>
          <w:rFonts w:eastAsia="Arial"/>
          <w:szCs w:val="20"/>
        </w:rPr>
        <w:t>”) and GPC or its independent auditor determines in good faith that GPC Consolidation is required, Seller and GPC must, as soon as practicable, cooperate in good faith to implement contractual or operational modifications to avoid such determination. If, despite the Parties’ best efforts, the Parties are unable to avoid the GPC Consolidation determination before the fifth Business Day before the end of the first reporting period during which such GPC Consolidation is required, GPC may terminate this PPA upon notice to Seller under this Section 2.1.8 (</w:t>
      </w:r>
      <w:r>
        <w:rPr>
          <w:rFonts w:eastAsia="Arial"/>
          <w:i/>
          <w:szCs w:val="20"/>
        </w:rPr>
        <w:t>VIE Certification</w:t>
      </w:r>
      <w:r>
        <w:rPr>
          <w:rFonts w:eastAsia="Arial"/>
          <w:szCs w:val="20"/>
        </w:rPr>
        <w:t>) and the Parties will have no further liability or obligation except for any liability or obligation arising before the termination.</w:t>
      </w:r>
      <w:r>
        <w:t xml:space="preserve"> </w:t>
      </w:r>
    </w:p>
    <w:p w:rsidR="003F68B8" w:rsidP="00106C79" w:rsidRDefault="00B63E83" w14:paraId="681E65A5" w14:textId="01303E3F">
      <w:pPr>
        <w:pStyle w:val="zGTC04"/>
      </w:pPr>
      <w:r>
        <w:t>Seller must provide to GPC a VIE certification substantially in the form of Exhibit J (</w:t>
      </w:r>
      <w:r>
        <w:rPr>
          <w:i/>
        </w:rPr>
        <w:t>VIE Certification</w:t>
      </w:r>
      <w:r>
        <w:t xml:space="preserve">) signed by the chief financial officer of Seller: (a) at the time of execution of this PPA; (b) before each Delivery Commencement Date anniversary during the Term; (c) at any time this PPA is amended by the Parties; and (d) with any Change of Control Transaction.  </w:t>
      </w:r>
    </w:p>
    <w:p w:rsidRPr="00BF5DF7" w:rsidR="00077104" w:rsidP="00D014F4" w:rsidRDefault="000D1150" w14:paraId="12E7B66D" w14:textId="17AF0EA0">
      <w:pPr>
        <w:pStyle w:val="zGTC04"/>
      </w:pPr>
      <w:r>
        <w:t>If existing accounting standards are modified or new standards are adopted that supersede the Effective Date Accounting Standards, Seller must provide GPC with a then current certification in the form of Exhibit J (</w:t>
      </w:r>
      <w:r>
        <w:rPr>
          <w:i/>
          <w:iCs/>
        </w:rPr>
        <w:t>VIE Certification</w:t>
      </w:r>
      <w:r>
        <w:t xml:space="preserve">), modified accordingly to account for and comply with any modification to existing accounting standards or adoption of new accounting standards. </w:t>
      </w:r>
    </w:p>
    <w:p w:rsidRPr="00BF5DF7" w:rsidR="00DF0E64" w:rsidP="00DF0E64" w:rsidRDefault="005323D8" w14:paraId="44F230A9" w14:textId="79268213">
      <w:pPr>
        <w:pStyle w:val="zGTC03"/>
      </w:pPr>
      <w:r>
        <w:rPr>
          <w:b/>
        </w:rPr>
        <w:t xml:space="preserve">Facility Modification Resulting in Material Adverse Effect. </w:t>
      </w:r>
      <w:r>
        <w:t xml:space="preserve">No modification to, or expansion of, the Facility that would have a material adverse effect on GPC’s rights or obligations under this PPA will occur without GPC’s prior written consent, </w:t>
      </w:r>
      <w:r>
        <w:rPr>
          <w:rStyle w:val="DeltaViewInsertion"/>
          <w:color w:val="auto"/>
          <w:w w:val="0"/>
          <w:u w:val="none"/>
        </w:rPr>
        <w:t>which consent will not be unreasonably withheld, conditioned, or delayed</w:t>
      </w:r>
      <w:r>
        <w:t>.</w:t>
      </w:r>
    </w:p>
    <w:p w:rsidRPr="00BF5DF7" w:rsidR="00DF0E64" w:rsidP="00DF0E64" w:rsidRDefault="00DF2B7B" w14:paraId="1A418A34" w14:textId="31D0DE0E">
      <w:pPr>
        <w:pStyle w:val="zGTC03"/>
      </w:pPr>
      <w:r>
        <w:rPr>
          <w:b/>
        </w:rPr>
        <w:t xml:space="preserve">Sale, Lease, Transfer, or Other Disposal of Business or Assets Resulting in Material Adverse Effect. </w:t>
      </w:r>
      <w:r>
        <w:t xml:space="preserve">Seller must not sell, lease, transfer, or otherwise dispose of all or substantially all of its business or assets, whether now owned or later acquired, to the extent that the sale, lease, transfer, or other disposition would have a material adverse effect on GPC’s rights or obligations under this PPA </w:t>
      </w:r>
      <w:r>
        <w:lastRenderedPageBreak/>
        <w:t xml:space="preserve">without GPC’s prior written consent, </w:t>
      </w:r>
      <w:r>
        <w:rPr>
          <w:rStyle w:val="DeltaViewInsertion"/>
          <w:color w:val="auto"/>
          <w:w w:val="0"/>
          <w:u w:val="none"/>
        </w:rPr>
        <w:t>which consent will not be unreasonably withheld, conditioned, or delayed</w:t>
      </w:r>
      <w:r w:rsidRPr="00A06FF1" w:rsidR="00A06FF1">
        <w:rPr>
          <w:rStyle w:val="DeltaViewInsertion"/>
          <w:color w:val="auto"/>
          <w:u w:val="none"/>
        </w:rPr>
        <w:t>, subject to Seller’s compliance with all requirements in Part 18 (</w:t>
      </w:r>
      <w:r w:rsidRPr="00A06FF1" w:rsidR="00A06FF1">
        <w:rPr>
          <w:rStyle w:val="DeltaViewInsertion"/>
          <w:i/>
          <w:iCs/>
          <w:color w:val="auto"/>
          <w:u w:val="none"/>
        </w:rPr>
        <w:t>Assignment, Transfers, and Changes of Control</w:t>
      </w:r>
      <w:r w:rsidRPr="00A06FF1" w:rsidR="00A06FF1">
        <w:rPr>
          <w:rStyle w:val="DeltaViewInsertion"/>
          <w:color w:val="auto"/>
          <w:u w:val="none"/>
        </w:rPr>
        <w:t>)</w:t>
      </w:r>
      <w:r w:rsidRPr="00A06FF1" w:rsidR="00A06FF1">
        <w:t>.</w:t>
      </w:r>
    </w:p>
    <w:p w:rsidRPr="00BF5DF7" w:rsidR="00DF0E64" w:rsidP="00DF0E64" w:rsidRDefault="00E71507" w14:paraId="76553CC0" w14:textId="34E37D55">
      <w:pPr>
        <w:pStyle w:val="zGTC03"/>
        <w:rPr>
          <w:rStyle w:val="DeltaViewInsertion"/>
          <w:color w:val="auto"/>
          <w:u w:val="none"/>
        </w:rPr>
      </w:pPr>
      <w:r>
        <w:rPr>
          <w:rStyle w:val="DeltaViewInsertion"/>
          <w:b/>
          <w:color w:val="auto"/>
          <w:w w:val="0"/>
          <w:u w:val="none"/>
        </w:rPr>
        <w:t xml:space="preserve">Legal Right to Possess and Operate Facility and Deliver Capacity, Energy, and Ancillary Services. </w:t>
      </w:r>
      <w:r>
        <w:rPr>
          <w:rStyle w:val="DeltaViewInsertion"/>
          <w:color w:val="auto"/>
          <w:w w:val="0"/>
          <w:u w:val="none"/>
        </w:rPr>
        <w:t xml:space="preserve">Except as may be allowed </w:t>
      </w:r>
      <w:r>
        <w:t>under</w:t>
      </w:r>
      <w:r>
        <w:rPr>
          <w:rStyle w:val="DeltaViewInsertion"/>
          <w:color w:val="auto"/>
          <w:w w:val="0"/>
          <w:u w:val="none"/>
        </w:rPr>
        <w:t xml:space="preserve"> Sections 2.1.10 (</w:t>
      </w:r>
      <w:r>
        <w:rPr>
          <w:i/>
        </w:rPr>
        <w:t>Sale, Lease, Transfer, or Other Disposal of Business or Assets Resulting in Material Adverse Effect</w:t>
      </w:r>
      <w:r>
        <w:rPr>
          <w:rStyle w:val="DeltaViewInsertion"/>
          <w:color w:val="auto"/>
          <w:w w:val="0"/>
          <w:u w:val="none"/>
        </w:rPr>
        <w:t>), 18.1 (</w:t>
      </w:r>
      <w:r>
        <w:rPr>
          <w:rStyle w:val="DeltaViewInsertion"/>
          <w:i/>
          <w:color w:val="auto"/>
          <w:w w:val="0"/>
          <w:u w:val="none"/>
        </w:rPr>
        <w:t xml:space="preserve">Assignment, Transfers, and Changes of </w:t>
      </w:r>
      <w:r>
        <w:rPr>
          <w:rStyle w:val="Emphasis"/>
        </w:rPr>
        <w:t>Control</w:t>
      </w:r>
      <w:r>
        <w:rPr>
          <w:rStyle w:val="DeltaViewInsertion"/>
          <w:color w:val="auto"/>
          <w:w w:val="0"/>
          <w:u w:val="none"/>
        </w:rPr>
        <w:t xml:space="preserve">), or any other provision of this PPA, Seller must maintain the legal right to and will possess and operate the Facility and deliver </w:t>
      </w:r>
      <w:r w:rsidDel="003D7F34">
        <w:rPr>
          <w:rStyle w:val="DeltaViewInsertion"/>
          <w:color w:val="auto"/>
          <w:w w:val="0"/>
          <w:u w:val="none"/>
        </w:rPr>
        <w:t xml:space="preserve">to GPC </w:t>
      </w:r>
      <w:r>
        <w:rPr>
          <w:rStyle w:val="DeltaViewInsertion"/>
          <w:color w:val="auto"/>
          <w:w w:val="0"/>
          <w:u w:val="none"/>
        </w:rPr>
        <w:t xml:space="preserve">the capacity, energy, </w:t>
      </w:r>
      <w:r>
        <w:t xml:space="preserve">and Ancillary Services </w:t>
      </w:r>
      <w:r w:rsidR="003D7F34">
        <w:t xml:space="preserve">of the Facility to GPC </w:t>
      </w:r>
      <w:r>
        <w:rPr>
          <w:rStyle w:val="DeltaViewInsertion"/>
          <w:color w:val="auto"/>
          <w:w w:val="0"/>
          <w:u w:val="none"/>
        </w:rPr>
        <w:t>in accordance with this PPA.</w:t>
      </w:r>
    </w:p>
    <w:p w:rsidRPr="00BF5DF7" w:rsidR="0075660E" w:rsidP="0075660E" w:rsidRDefault="0075660E" w14:paraId="29A02002" w14:textId="47BB2902">
      <w:pPr>
        <w:pStyle w:val="zGTC03"/>
        <w:rPr>
          <w:rStyle w:val="DeltaViewInsertion"/>
          <w:color w:val="auto"/>
          <w:u w:val="none"/>
        </w:rPr>
      </w:pPr>
      <w:r>
        <w:rPr>
          <w:rStyle w:val="DeltaViewInsertion"/>
          <w:b/>
          <w:color w:val="auto"/>
          <w:u w:val="none"/>
        </w:rPr>
        <w:t>GPC's Exclusive Right to Environmental Attributes.</w:t>
      </w:r>
      <w:r>
        <w:rPr>
          <w:rStyle w:val="DeltaViewInsertion"/>
          <w:color w:val="auto"/>
          <w:u w:val="none"/>
        </w:rPr>
        <w:t xml:space="preserve"> GPC will have exclusive rights to all Environmental Attributes associated with the Facility, which include the exclusive right to: (i) report to any Governmental Authority, or other Person for compliance with any applicable law or other purpose, that it owns the Environmental Attributes; and (ii) claim the Environmental Attributes to customers or potential customers for purposes of marketing and advertising. However, Seller and Seller’s Affiliates may issue marketing materials and other statements regarding their respective operations and business activities so long as the issuance of the materials and statements does not: (a) reduce the economic value to GPC of the Environmental Attributes; (b) reduce GPC’s claims to the Environmental Attributes; or (c) result in the double counting of the Environmental Attributes. </w:t>
      </w:r>
    </w:p>
    <w:p w:rsidRPr="00BF5DF7" w:rsidR="001F36CF" w:rsidP="001F36CF" w:rsidRDefault="001F36CF" w14:paraId="69C85E10" w14:textId="7D787DAF">
      <w:pPr>
        <w:pStyle w:val="zGTC03"/>
        <w:rPr>
          <w:rStyle w:val="DeltaViewInsertion"/>
          <w:color w:val="auto"/>
          <w:u w:val="none"/>
        </w:rPr>
      </w:pPr>
      <w:r>
        <w:rPr>
          <w:rStyle w:val="DeltaViewInsertion"/>
          <w:color w:val="auto"/>
          <w:u w:val="none"/>
        </w:rPr>
        <w:t xml:space="preserve"> </w:t>
      </w:r>
      <w:r>
        <w:rPr>
          <w:rStyle w:val="DeltaViewInsertion"/>
          <w:b/>
          <w:color w:val="auto"/>
          <w:u w:val="none"/>
        </w:rPr>
        <w:t>Information Regarding Environmental Attributes.</w:t>
      </w:r>
      <w:r>
        <w:rPr>
          <w:rStyle w:val="DeltaViewInsertion"/>
          <w:color w:val="auto"/>
          <w:u w:val="none"/>
        </w:rPr>
        <w:t xml:space="preserve"> Seller must maintain and provide to GPC (or, if directed by GPC, other applicable Persons) the information as necessary to substantiate, account for, or track the quantity of Environmental Attributes</w:t>
      </w:r>
      <w:r w:rsidR="00090BFA">
        <w:rPr>
          <w:rStyle w:val="DeltaViewInsertion"/>
          <w:color w:val="auto"/>
          <w:u w:val="none"/>
        </w:rPr>
        <w:t>, if any,</w:t>
      </w:r>
      <w:r>
        <w:rPr>
          <w:rStyle w:val="DeltaViewInsertion"/>
          <w:color w:val="auto"/>
          <w:u w:val="none"/>
        </w:rPr>
        <w:t xml:space="preserve"> delivered to GPC under this PPA, including all information necessary for GPC to comply with the requirements of any Governmental Authority or other certifying or standard-setting body relating to the Environmental Attributes. Seller must provide GPC with attestations regarding the accuracy of the information as reasonably requested by GPC. Upon GPC’s request, Seller, at Seller’s expense, must use reasonable efforts to obtain verification, from a certification authority mutually agreed upon by the Parties, that the Environmental Attributes sold to GPC in accordance with this PPA comply with the standards set by the certification authority. Seller is responsible for the costs associated with registering, qualifying, or recording any Environmental Attributes with any applicable Governmental Authority or other certifying or standard-setting body at GPC’s request. GPC will have the right to disclose the information publicly or to any third party, without Seller’s prior consent, as reasonably required </w:t>
      </w:r>
      <w:r w:rsidR="0064117C">
        <w:rPr>
          <w:rStyle w:val="DeltaViewInsertion"/>
          <w:color w:val="auto"/>
          <w:u w:val="none"/>
        </w:rPr>
        <w:t xml:space="preserve">in connection with </w:t>
      </w:r>
      <w:r>
        <w:rPr>
          <w:rStyle w:val="DeltaViewInsertion"/>
          <w:color w:val="auto"/>
          <w:u w:val="none"/>
        </w:rPr>
        <w:t>the operation of GPC’s business, including disclosures: (i) to any Person that purchases the Environmental Attributes from GPC; (ii) to any Governmental Authority; (iii) to any auditor or any Person that certifies or sets standards with respect to Environmental Attributes; or (iv) as necessary for GPC to defend, verify, or substantiate its ownership of the Environmental Attributes.</w:t>
      </w:r>
    </w:p>
    <w:p w:rsidRPr="00BF5DF7" w:rsidR="00E21F5F" w:rsidP="00DF0E64" w:rsidRDefault="00E21F5F" w14:paraId="7D8B2E2F" w14:textId="4FDB43C6">
      <w:pPr>
        <w:pStyle w:val="zGTC03"/>
      </w:pPr>
      <w:r>
        <w:rPr>
          <w:rStyle w:val="DeltaViewInsertion"/>
          <w:b/>
          <w:color w:val="auto"/>
          <w:w w:val="0"/>
          <w:u w:val="none"/>
        </w:rPr>
        <w:t xml:space="preserve">Environmental Compliance Certification. </w:t>
      </w:r>
      <w:r>
        <w:t xml:space="preserve">On each anniversary of the </w:t>
      </w:r>
      <w:r w:rsidDel="00414DFE">
        <w:t xml:space="preserve">COD </w:t>
      </w:r>
      <w:r>
        <w:t xml:space="preserve">through the end of the Term, Seller </w:t>
      </w:r>
      <w:r w:rsidR="0066170A">
        <w:t xml:space="preserve">must </w:t>
      </w:r>
      <w:r>
        <w:t>provide to GPC an Environmental Compliance certificate in the form of Exhibit L (</w:t>
      </w:r>
      <w:r>
        <w:rPr>
          <w:i/>
          <w:iCs/>
        </w:rPr>
        <w:t>Environmental Compliance Certification</w:t>
      </w:r>
      <w:r>
        <w:t>), signed by a duly authorized officer of Seller.</w:t>
      </w:r>
    </w:p>
    <w:p w:rsidRPr="00BF5DF7" w:rsidR="007C18D9" w:rsidP="00DF0E64" w:rsidRDefault="009F4F1A" w14:paraId="6060CE01" w14:textId="45351921">
      <w:pPr>
        <w:pStyle w:val="zGTC03"/>
      </w:pPr>
      <w:r>
        <w:rPr>
          <w:b/>
        </w:rPr>
        <w:t xml:space="preserve">Extreme Weather Technical Requirements. </w:t>
      </w:r>
      <w:r>
        <w:t>Throughout the Term, the Facility will comply with NERC EOP-012-</w:t>
      </w:r>
      <w:r w:rsidR="00C31CAB">
        <w:t>1</w:t>
      </w:r>
      <w:r>
        <w:t xml:space="preserve"> (</w:t>
      </w:r>
      <w:r>
        <w:rPr>
          <w:i/>
        </w:rPr>
        <w:t>Extreme Cold Weather Preparedness and Operations</w:t>
      </w:r>
      <w:r>
        <w:t>) or successor reliability standard, to the extent applicable, as further described in Section 7.1.1 (</w:t>
      </w:r>
      <w:r>
        <w:rPr>
          <w:i/>
          <w:iCs/>
        </w:rPr>
        <w:t>Facility Design</w:t>
      </w:r>
      <w:r>
        <w:t>).</w:t>
      </w:r>
    </w:p>
    <w:p w:rsidRPr="00BF5DF7" w:rsidR="00FF692D" w:rsidP="00FF692D" w:rsidRDefault="00730E1C" w14:paraId="5635358B" w14:textId="73C046E9">
      <w:pPr>
        <w:pStyle w:val="zGTC02"/>
        <w:rPr>
          <w:rFonts w:ascii="Arial" w:hAnsi="Arial" w:eastAsia="PMingLiU" w:cs="Arial"/>
          <w:vanish/>
          <w:szCs w:val="20"/>
          <w:specVanish/>
        </w:rPr>
      </w:pPr>
      <w:bookmarkStart w:name="_Toc212472961" w:id="41"/>
      <w:bookmarkStart w:name="_Toc227840649" w:id="42"/>
      <w:r>
        <w:rPr>
          <w:rFonts w:ascii="Arial" w:hAnsi="Arial" w:cs="Arial"/>
          <w:szCs w:val="20"/>
        </w:rPr>
        <w:t>GPC Representations, Warranties, and Covenants.</w:t>
      </w:r>
      <w:bookmarkEnd w:id="41"/>
      <w:bookmarkEnd w:id="42"/>
    </w:p>
    <w:p w:rsidRPr="00BF5DF7" w:rsidR="00802DDF" w:rsidP="00077104" w:rsidRDefault="00077104" w14:paraId="6D855D4E" w14:textId="2111DD3C">
      <w:pPr>
        <w:pStyle w:val="zGNormal"/>
      </w:pPr>
      <w:r>
        <w:t xml:space="preserve"> GPC makes the following representations, warranties, </w:t>
      </w:r>
      <w:r w:rsidR="00B0108B">
        <w:t xml:space="preserve">and </w:t>
      </w:r>
      <w:r>
        <w:t xml:space="preserve">covenants to Seller </w:t>
      </w:r>
      <w:r w:rsidR="00B0108B">
        <w:t xml:space="preserve">as of the Effective Date </w:t>
      </w:r>
      <w:r>
        <w:t>as the basis for the benefits and obligations contained in this PPA:</w:t>
      </w:r>
    </w:p>
    <w:p w:rsidRPr="00BF5DF7" w:rsidR="00077104" w:rsidP="33351F9A" w:rsidRDefault="00597509" w14:paraId="388CC11D" w14:textId="27C8FA62">
      <w:pPr>
        <w:pStyle w:val="zGTC03"/>
      </w:pPr>
      <w:r>
        <w:rPr>
          <w:b/>
          <w:bCs/>
        </w:rPr>
        <w:t xml:space="preserve">Organization; Facility Ownership; Legal Power and Authority. </w:t>
      </w:r>
      <w:r>
        <w:t>GPC is a corporation, duly organized, validly existing, and in good standing under the laws of the state of Georgia, that is qualified to do business in the state of Georgia and has the legal power and authority to own its properties, to carry on its business as now being conducted and to enter into this PPA and carry out the transactions contemplated by this PPA, and perform and fulfill all covenants and obligations on its part to be performed under this PPA.</w:t>
      </w:r>
    </w:p>
    <w:p w:rsidRPr="00BF5DF7" w:rsidR="00077104" w:rsidP="00077104" w:rsidRDefault="004A5F38" w14:paraId="0A7862ED" w14:textId="25982CF1">
      <w:pPr>
        <w:pStyle w:val="zGTC03"/>
      </w:pPr>
      <w:r>
        <w:rPr>
          <w:b/>
        </w:rPr>
        <w:t>Authorization.</w:t>
      </w:r>
      <w:r>
        <w:t xml:space="preserve"> The execution, delivery, and performance by GPC of this PPA have been duly authorized by all necessary corporate action and does not and will not require any consent or approval of GPC’s board of directors or shareholders other than that already obtained.</w:t>
      </w:r>
    </w:p>
    <w:p w:rsidRPr="00BF5DF7" w:rsidR="00077104" w:rsidP="33351F9A" w:rsidRDefault="00807C09" w14:paraId="10DDA69D" w14:textId="4560FCE5">
      <w:pPr>
        <w:pStyle w:val="zGTC03"/>
      </w:pPr>
      <w:r>
        <w:rPr>
          <w:b/>
          <w:bCs/>
        </w:rPr>
        <w:t xml:space="preserve">No Conflict or Breach. </w:t>
      </w:r>
      <w:r>
        <w:t>Subject to Section 1.3 (</w:t>
      </w:r>
      <w:r>
        <w:rPr>
          <w:i/>
        </w:rPr>
        <w:t>Conditions Subsequent</w:t>
      </w:r>
      <w:r>
        <w:t xml:space="preserve">), the execution and delivery of this PPA, the consummation of the transactions contemplated by this PPA, and the fulfillment of and compliance with this PPA do not and will not conflict with any of the terms, conditions, or provisions </w:t>
      </w:r>
      <w:r>
        <w:lastRenderedPageBreak/>
        <w:t>of any applicable laws applicable to GPC, or of any partnership agreement, deed of trust, mortgage, loan agreement, other evidence of Indebtedness, or any other agreement or instrument to which GPC is a party or by which GPC or any of its property is bound, or result in a breach of or a default under any of the foregoing.</w:t>
      </w:r>
    </w:p>
    <w:p w:rsidRPr="00BF5DF7" w:rsidR="00077104" w:rsidP="00077104" w:rsidRDefault="000B6FB1" w14:paraId="4CFDB1E3" w14:textId="4841E886">
      <w:pPr>
        <w:pStyle w:val="zGTC03"/>
      </w:pPr>
      <w:r>
        <w:rPr>
          <w:b/>
        </w:rPr>
        <w:t xml:space="preserve">Legal, Valid, and Binding Obligations. </w:t>
      </w:r>
      <w:r>
        <w:t>This PPA constitutes the legal, valid, and binding obligation of GPC that is enforceable in accordance with its terms, except as such enforceability may be limited by bankruptcy, insolvency, reorganization, or similar laws relating to or affecting the enforcement of creditors’ rights generally or by general equitable principles, regardless of whether such enforceability is considered in a proceeding in equity or at law.</w:t>
      </w:r>
    </w:p>
    <w:p w:rsidRPr="00BF5DF7" w:rsidR="00077104" w:rsidP="00077104" w:rsidRDefault="000B6FB1" w14:paraId="7F28B2D3" w14:textId="415AF203">
      <w:pPr>
        <w:pStyle w:val="zGTC03"/>
      </w:pPr>
      <w:r>
        <w:rPr>
          <w:b/>
          <w:bCs/>
        </w:rPr>
        <w:t xml:space="preserve">No Proceeding Impacting Legality, Validity, or Enforceability of this PPA. </w:t>
      </w:r>
      <w:r>
        <w:t>There is no pending or, to the knowledge of GPC, threatened action or proceeding affecting GPC before any Governmental Authority that purports to materially adversely affect the legality, validity, or enforceability of this PPA or that reasonably could be expected to have a material adverse effect on GPC’s ability to perform its obligations under this PPA.</w:t>
      </w:r>
    </w:p>
    <w:p w:rsidRPr="00BF5DF7" w:rsidR="00077104" w:rsidP="00077104" w:rsidRDefault="00DE75C2" w14:paraId="24FC3662" w14:textId="028E986C">
      <w:pPr>
        <w:pStyle w:val="zGTC03"/>
      </w:pPr>
      <w:r>
        <w:rPr>
          <w:b/>
        </w:rPr>
        <w:t>C</w:t>
      </w:r>
      <w:r>
        <w:rPr>
          <w:b/>
          <w:bCs/>
        </w:rPr>
        <w:t>reditworthiness and No Bankruptcy Proceedings.</w:t>
      </w:r>
      <w:r>
        <w:t xml:space="preserve"> GPC is Creditworthy (determined solely by clause (i) of the definition of Creditworthy) and there are no bankruptcy proceedings pending or being contemplated by it or, to its knowledge, threatened against it.</w:t>
      </w:r>
    </w:p>
    <w:p w:rsidR="00D21B7F" w:rsidP="00C224D1" w:rsidRDefault="00DE75C2" w14:paraId="1E0ECC82" w14:textId="4440C347">
      <w:pPr>
        <w:pStyle w:val="zGTC03"/>
      </w:pPr>
      <w:r>
        <w:rPr>
          <w:b/>
        </w:rPr>
        <w:t>Designation of Alternate Resource as a Secondary Resource.</w:t>
      </w:r>
      <w:r>
        <w:rPr>
          <w:bCs/>
        </w:rPr>
        <w:t xml:space="preserve"> G</w:t>
      </w:r>
      <w:r>
        <w:t>PC, at the request of Seller, but only to the extent permissible under the Southern OATT, will designate any Alternate Resource as a secondary Network Resource (or similar designation) for the period during which the Alternate Resource is used to provide GPC with energy in accordance with this PPA.</w:t>
      </w:r>
    </w:p>
    <w:p w:rsidRPr="00BF5DF7" w:rsidR="001A5684" w:rsidP="00D21B7F" w:rsidRDefault="006447CD" w14:paraId="4E86C170" w14:textId="68749E76">
      <w:pPr>
        <w:pStyle w:val="zGTC01"/>
        <w:rPr>
          <w:rFonts w:ascii="Arial" w:hAnsi="Arial"/>
          <w:szCs w:val="20"/>
        </w:rPr>
      </w:pPr>
      <w:bookmarkStart w:name="_Toc212472962" w:id="43"/>
      <w:bookmarkStart w:name="_Toc227840650" w:id="44"/>
      <w:r>
        <w:rPr>
          <w:rFonts w:ascii="Arial" w:hAnsi="Arial"/>
          <w:szCs w:val="20"/>
        </w:rPr>
        <w:t>Preservation of Terms; Consents; Taxes</w:t>
      </w:r>
      <w:bookmarkEnd w:id="43"/>
      <w:bookmarkEnd w:id="44"/>
    </w:p>
    <w:p w:rsidRPr="00BF5DF7" w:rsidR="00D21B7F" w:rsidP="00D21B7F" w:rsidRDefault="00D21B7F" w14:paraId="4BE5F187" w14:textId="6FAF780A">
      <w:pPr>
        <w:pStyle w:val="zGTC02"/>
        <w:rPr>
          <w:rFonts w:ascii="Arial" w:hAnsi="Arial" w:eastAsia="PMingLiU" w:cs="Arial"/>
          <w:vanish/>
          <w:szCs w:val="20"/>
          <w:specVanish/>
        </w:rPr>
      </w:pPr>
      <w:bookmarkStart w:name="_Toc212472963" w:id="45"/>
      <w:bookmarkStart w:name="_Toc227840651" w:id="46"/>
      <w:r>
        <w:rPr>
          <w:rFonts w:ascii="Arial" w:hAnsi="Arial" w:cs="Arial"/>
          <w:szCs w:val="20"/>
        </w:rPr>
        <w:t>Preservation of Terms.</w:t>
      </w:r>
      <w:bookmarkEnd w:id="45"/>
      <w:bookmarkEnd w:id="46"/>
    </w:p>
    <w:p w:rsidRPr="00BF5DF7" w:rsidR="003124C1" w:rsidP="0008344A" w:rsidRDefault="00E57849" w14:paraId="32205C4D" w14:textId="2E9739AA">
      <w:pPr>
        <w:pStyle w:val="zGTC03"/>
        <w:numPr>
          <w:ilvl w:val="0"/>
          <w:numId w:val="0"/>
        </w:numPr>
        <w:ind w:left="1350"/>
      </w:pPr>
      <w:r>
        <w:t xml:space="preserve"> Each Party agrees that, subject to Section 3.2 (</w:t>
      </w:r>
      <w:r>
        <w:rPr>
          <w:i/>
        </w:rPr>
        <w:t>Other Approvals</w:t>
      </w:r>
      <w:r>
        <w:t>), except with the prior written consent of the other Party, the Party will not institute or voluntarily cooperate in the institution or conduct of any claim, action, or proceeding before FERC under Section 205, Section 206, or any other portion of the Federal Power Act, or before any other Governmental Authority under any applicable law that is intended to, or could reasonably be expected to, change PPA terms then in effect. Without limiting the preceding sentence, but subject to the terms of this PPA, the Parties agree that the rates for service specified in this PPA will remain in effect for the Term and will not be subject to change through application to FERC in accordance with Section 205 or 206 of the Federal Power Act, or to any other Governmental Authority under any provision of federal law, Georgia state, or local law, or any other applicable law, absent written agreement of the Parties.</w:t>
      </w:r>
    </w:p>
    <w:p w:rsidRPr="00BF5DF7" w:rsidR="00836D05" w:rsidP="0008344A" w:rsidRDefault="00836D05" w14:paraId="009DC2FA" w14:textId="1C8AC660">
      <w:pPr>
        <w:pStyle w:val="zGTC03"/>
      </w:pPr>
      <w:r>
        <w:rPr>
          <w:b/>
        </w:rPr>
        <w:t xml:space="preserve">FERC Filings Waiver; Standard of Review. </w:t>
      </w:r>
      <w:r>
        <w:t>Each Party waives all rights to submit filings to FERC seeking modification or rescission of this PPA under Section 205 or 206 of the Federal Power Act.</w:t>
      </w:r>
      <w:r>
        <w:rPr>
          <w:b/>
        </w:rPr>
        <w:t xml:space="preserve"> </w:t>
      </w:r>
    </w:p>
    <w:p w:rsidRPr="00BF5DF7" w:rsidR="003124C1" w:rsidP="008309F1" w:rsidRDefault="007551AC" w14:paraId="6333D54A" w14:textId="09DEEE56">
      <w:pPr>
        <w:pStyle w:val="zGTC04"/>
      </w:pPr>
      <w:r>
        <w:rPr>
          <w:b/>
          <w:bCs/>
        </w:rPr>
        <w:t xml:space="preserve">FERC Standard of Review. </w:t>
      </w:r>
      <w:r>
        <w:t xml:space="preserve">In any proceeding before FERC involving this PPA, the Parties will request that FERC review all aspects of this PPA under the “public interest” application of the “just and reasonable” standard of review in </w:t>
      </w:r>
      <w:r>
        <w:rPr>
          <w:u w:val="single"/>
        </w:rPr>
        <w:t>United Gas Pipe Line Co. v. Mobile Gas Service Corp.</w:t>
      </w:r>
      <w:r>
        <w:t xml:space="preserve">, 350 U.S. 332 (1956) and </w:t>
      </w:r>
      <w:r>
        <w:rPr>
          <w:u w:val="single"/>
        </w:rPr>
        <w:t>Federal Power Commission v. Sierra Pacific Power Co.</w:t>
      </w:r>
      <w:r>
        <w:t xml:space="preserve">, 350 U.S. 348 (1956), each clarified by </w:t>
      </w:r>
      <w:r>
        <w:rPr>
          <w:u w:val="single"/>
        </w:rPr>
        <w:t>NRG Power Marketing LLC v. Maine Public Utility Commission</w:t>
      </w:r>
      <w:r>
        <w:t>, 130 S. Ct. 693 (2010).</w:t>
      </w:r>
    </w:p>
    <w:p w:rsidRPr="00BF5DF7" w:rsidR="00D21B7F" w:rsidP="00D21B7F" w:rsidRDefault="00D21B7F" w14:paraId="1C63B590" w14:textId="43CE7E90">
      <w:pPr>
        <w:pStyle w:val="zGTC02"/>
        <w:rPr>
          <w:rFonts w:ascii="Arial" w:hAnsi="Arial" w:eastAsia="PMingLiU" w:cs="Arial"/>
          <w:vanish/>
          <w:szCs w:val="20"/>
          <w:specVanish/>
        </w:rPr>
      </w:pPr>
      <w:bookmarkStart w:name="_Toc212472964" w:id="47"/>
      <w:bookmarkStart w:name="_Toc227840652" w:id="48"/>
      <w:r>
        <w:rPr>
          <w:rFonts w:ascii="Arial" w:hAnsi="Arial" w:cs="Arial"/>
          <w:szCs w:val="20"/>
        </w:rPr>
        <w:t>Other Approvals.</w:t>
      </w:r>
      <w:bookmarkEnd w:id="47"/>
      <w:bookmarkEnd w:id="48"/>
    </w:p>
    <w:p w:rsidRPr="00BF5DF7" w:rsidR="00D21B7F" w:rsidP="003124C1" w:rsidRDefault="003124C1" w14:paraId="5817830A" w14:textId="230BBFDC">
      <w:pPr>
        <w:pStyle w:val="zGNormal"/>
      </w:pPr>
      <w:r>
        <w:t xml:space="preserve"> Throughout the Term, each Party will diligently seek to obtain, achieve, maintain, pursue, or cause to be pursued, comply with, and, as necessary, renew or modify all other Consents required to be possessed by the Party in a manner that is reasonably expected to enable the Party to perform its PPA obligations. Each Party agrees to assist and support the other Party, in a timely manner and to the extent reasonably requested by either Party, in obtaining the Consents. Upon request, a Party will provide a copy of Consents to the requesting Party.</w:t>
      </w:r>
    </w:p>
    <w:p w:rsidRPr="00BF5DF7" w:rsidR="00D21B7F" w:rsidP="00D21B7F" w:rsidRDefault="00D21B7F" w14:paraId="43ADF626" w14:textId="4881BE73">
      <w:pPr>
        <w:pStyle w:val="zGTC02"/>
        <w:rPr>
          <w:rFonts w:ascii="Arial" w:hAnsi="Arial" w:eastAsia="PMingLiU" w:cs="Arial"/>
          <w:vanish/>
          <w:szCs w:val="20"/>
          <w:specVanish/>
        </w:rPr>
      </w:pPr>
      <w:bookmarkStart w:name="_Toc212472965" w:id="49"/>
      <w:bookmarkStart w:name="_Toc227840653" w:id="50"/>
      <w:r>
        <w:rPr>
          <w:rFonts w:ascii="Arial" w:hAnsi="Arial" w:cs="Arial"/>
          <w:szCs w:val="20"/>
        </w:rPr>
        <w:t>Taxes.</w:t>
      </w:r>
      <w:bookmarkEnd w:id="49"/>
      <w:bookmarkEnd w:id="50"/>
    </w:p>
    <w:p w:rsidRPr="00BF5DF7" w:rsidR="00D21B7F" w:rsidP="00CE17FB" w:rsidRDefault="00D21B7F" w14:paraId="3C076384" w14:textId="71A75B3A">
      <w:pPr>
        <w:pStyle w:val="zGTC02"/>
        <w:numPr>
          <w:ilvl w:val="0"/>
          <w:numId w:val="0"/>
        </w:numPr>
        <w:rPr>
          <w:rFonts w:ascii="Arial" w:hAnsi="Arial" w:cs="Arial"/>
          <w:szCs w:val="20"/>
        </w:rPr>
      </w:pPr>
    </w:p>
    <w:p w:rsidRPr="00BF5DF7" w:rsidR="003124C1" w:rsidP="003124C1" w:rsidRDefault="00C018DE" w14:paraId="3C63C2D2" w14:textId="67A5BF5B">
      <w:pPr>
        <w:pStyle w:val="zGTC03"/>
      </w:pPr>
      <w:r>
        <w:rPr>
          <w:b/>
        </w:rPr>
        <w:t xml:space="preserve">Payment by Seller. </w:t>
      </w:r>
      <w:r>
        <w:t>Subject to Section 17.1 (</w:t>
      </w:r>
      <w:r>
        <w:rPr>
          <w:i/>
        </w:rPr>
        <w:t>New GHG Law</w:t>
      </w:r>
      <w:r>
        <w:t>)</w:t>
      </w:r>
      <w:r w:rsidR="00E703B9">
        <w:t xml:space="preserve"> and Section 17.2 (</w:t>
      </w:r>
      <w:r w:rsidRPr="00E703B9" w:rsidR="00E703B9">
        <w:rPr>
          <w:i/>
          <w:iCs/>
        </w:rPr>
        <w:t xml:space="preserve">Change </w:t>
      </w:r>
      <w:r w:rsidR="00B9061E">
        <w:rPr>
          <w:i/>
          <w:iCs/>
        </w:rPr>
        <w:t>of</w:t>
      </w:r>
      <w:r w:rsidRPr="00E703B9" w:rsidR="00E703B9">
        <w:rPr>
          <w:i/>
          <w:iCs/>
        </w:rPr>
        <w:t xml:space="preserve"> Law</w:t>
      </w:r>
      <w:r w:rsidR="00E703B9">
        <w:t>)</w:t>
      </w:r>
      <w:r>
        <w:t>, Seller will be responsible for, and must pay, or cause to be paid, all Taxes on or regarding: (i) the Facility, including its development, permitting, design, engineering, procurement, construction, testing, startup, ownership, leasing, financing, operation, and maintenance; (ii) the production and delivery of energy and Ancillary Services to be provided to GPC arising, in the case of energy, before the time of Seller’s delivery of the energy to GPC at the</w:t>
      </w:r>
      <w:r w:rsidR="00FD0848">
        <w:t xml:space="preserve"> </w:t>
      </w:r>
      <w:r>
        <w:t xml:space="preserve">POD, or, in the case of Ancillary Services, before the time the Ancillary </w:t>
      </w:r>
      <w:r>
        <w:lastRenderedPageBreak/>
        <w:t>Services are made available to GPC; and (iii) Seller’s conversion of Natural Gas into electricity after delivery by GPC and receipt by Seller of the Natural Gas at the Gas Delivery Point.</w:t>
      </w:r>
    </w:p>
    <w:p w:rsidRPr="00BF5DF7" w:rsidR="003124C1" w:rsidP="003124C1" w:rsidRDefault="00FA6C79" w14:paraId="604EDE4D" w14:textId="5FDE5E3A">
      <w:pPr>
        <w:pStyle w:val="zGTC03"/>
      </w:pPr>
      <w:r>
        <w:rPr>
          <w:b/>
        </w:rPr>
        <w:t xml:space="preserve">Payment by GPC. </w:t>
      </w:r>
      <w:r w:rsidR="00B055A0">
        <w:t>Subject to Section 17.1 (</w:t>
      </w:r>
      <w:r w:rsidR="00B055A0">
        <w:rPr>
          <w:i/>
        </w:rPr>
        <w:t>New GHG Law</w:t>
      </w:r>
      <w:r w:rsidR="00B055A0">
        <w:t>) and Section 17.2 (</w:t>
      </w:r>
      <w:r w:rsidRPr="00E703B9" w:rsidR="00B055A0">
        <w:rPr>
          <w:i/>
          <w:iCs/>
        </w:rPr>
        <w:t xml:space="preserve">Change </w:t>
      </w:r>
      <w:r w:rsidR="00B9061E">
        <w:rPr>
          <w:i/>
          <w:iCs/>
        </w:rPr>
        <w:t>of</w:t>
      </w:r>
      <w:r w:rsidRPr="00E703B9" w:rsidR="00B055A0">
        <w:rPr>
          <w:i/>
          <w:iCs/>
        </w:rPr>
        <w:t xml:space="preserve"> Law</w:t>
      </w:r>
      <w:r w:rsidR="00B055A0">
        <w:t xml:space="preserve">), </w:t>
      </w:r>
      <w:r>
        <w:t>GPC will pay or cause to be paid all Taxes on or regarding: (i) energy received by GPC arising at and after the time the energy is delivered by Seller to the POD; (ii) Ancillary Services received by GPC arising at and after the time the Ancillary Services are made available to GPC; and (iii) Natural Gas received and possessed by GPC at and prior to the time of delivery of the Natural Gas by GPC to Seller at the Gas Delivery Point. The Taxes will include sales, use, excise, or other similar Taxes on the sale to GPC and purchase from Seller of capacity, energy, and Ancillary Services in accordance with this PPA. GPC will be responsible for all Taxes arising out of the transfer and delivery by GPC and receipt by Seller of Natural Gas at the Gas Delivery Point.</w:t>
      </w:r>
    </w:p>
    <w:p w:rsidRPr="00BF5DF7" w:rsidR="003124C1" w:rsidP="003124C1" w:rsidRDefault="00016B12" w14:paraId="259AE6DA" w14:textId="3A3FE267">
      <w:pPr>
        <w:pStyle w:val="zGTC03"/>
      </w:pPr>
      <w:r>
        <w:rPr>
          <w:b/>
        </w:rPr>
        <w:t xml:space="preserve">Efforts to Implement PPA Provisions to Minimize Taxes. </w:t>
      </w:r>
      <w:r>
        <w:t>Each Party will use reasonable efforts to implement and administer the PPA provisions to minimize Taxes on the other Party so long as neither Party is materially adversely affected by such efforts.</w:t>
      </w:r>
    </w:p>
    <w:p w:rsidRPr="00BF5DF7" w:rsidR="003124C1" w:rsidP="00C640AF" w:rsidRDefault="00734213" w14:paraId="6C7F815A" w14:textId="627267ED">
      <w:pPr>
        <w:pStyle w:val="zGTC03"/>
      </w:pPr>
      <w:r>
        <w:rPr>
          <w:b/>
          <w:bCs/>
        </w:rPr>
        <w:t xml:space="preserve">GPC Reimbursement or Deduction for Taxes. </w:t>
      </w:r>
      <w:r>
        <w:t>If Seller is required by law or regulation to remit or pay Taxes that are GPC’s responsibility under this PPA, Seller may include the Taxes in the next Monthly Invoice and GPC will remit payment for the applicable Taxes on an After-Tax Basis in accordance with Part 5 (</w:t>
      </w:r>
      <w:r>
        <w:rPr>
          <w:i/>
          <w:iCs/>
        </w:rPr>
        <w:t>Billing and Collections</w:t>
      </w:r>
      <w:r>
        <w:t>). Conversely, if GPC is required by law or regulation to remit or pay Taxes that are Seller’s responsibility under this PPA, GPC may deduct those Taxes from the sums otherwise due to Seller under this PPA on an After-Tax Basis. Any refund associated with the Taxes will be handled in the same manner. Nothing in this PPA will obligate or cause a Party to pay or be liable to pay any Taxes from which the Party is exempt under applicable law.</w:t>
      </w:r>
    </w:p>
    <w:p w:rsidRPr="00BF5DF7" w:rsidR="001A5684" w:rsidP="00D21B7F" w:rsidRDefault="00D21B7F" w14:paraId="6E05AF03" w14:textId="763568AA">
      <w:pPr>
        <w:pStyle w:val="zGTC01"/>
        <w:rPr>
          <w:rFonts w:ascii="Arial" w:hAnsi="Arial"/>
          <w:szCs w:val="20"/>
        </w:rPr>
      </w:pPr>
      <w:bookmarkStart w:name="_Toc212472966" w:id="51"/>
      <w:bookmarkStart w:name="_Toc227840654" w:id="52"/>
      <w:r>
        <w:rPr>
          <w:rFonts w:ascii="Arial" w:hAnsi="Arial"/>
          <w:szCs w:val="20"/>
        </w:rPr>
        <w:t>Sale and Delivery of Capacity and Energy</w:t>
      </w:r>
      <w:bookmarkEnd w:id="51"/>
      <w:bookmarkEnd w:id="52"/>
    </w:p>
    <w:p w:rsidRPr="00BF5DF7" w:rsidR="00D21B7F" w:rsidP="00D21B7F" w:rsidRDefault="00D21B7F" w14:paraId="39F892C0" w14:textId="23491A90">
      <w:pPr>
        <w:pStyle w:val="zGTC02"/>
        <w:rPr>
          <w:rFonts w:ascii="Arial" w:hAnsi="Arial" w:eastAsia="PMingLiU" w:cs="Arial"/>
          <w:vanish/>
          <w:szCs w:val="20"/>
          <w:specVanish/>
        </w:rPr>
      </w:pPr>
      <w:bookmarkStart w:name="_Toc212472967" w:id="53"/>
      <w:bookmarkStart w:name="_Toc227840655" w:id="54"/>
      <w:r>
        <w:rPr>
          <w:rFonts w:ascii="Arial" w:hAnsi="Arial" w:cs="Arial"/>
          <w:szCs w:val="20"/>
        </w:rPr>
        <w:t>Agreement to Sell and Purchase.</w:t>
      </w:r>
      <w:bookmarkEnd w:id="53"/>
      <w:bookmarkEnd w:id="54"/>
    </w:p>
    <w:p w:rsidRPr="00BF5DF7" w:rsidR="001A5684" w:rsidP="00DA773E" w:rsidRDefault="001A5684" w14:paraId="54F0B90F" w14:textId="42C12973">
      <w:pPr>
        <w:pStyle w:val="zGTC02"/>
        <w:numPr>
          <w:ilvl w:val="0"/>
          <w:numId w:val="0"/>
        </w:numPr>
        <w:rPr>
          <w:rFonts w:ascii="Arial" w:hAnsi="Arial" w:cs="Arial"/>
          <w:szCs w:val="20"/>
        </w:rPr>
      </w:pPr>
    </w:p>
    <w:p w:rsidRPr="00BF5DF7" w:rsidR="00BE115A" w:rsidP="00986F0B" w:rsidRDefault="00F729BE" w14:paraId="075FE9FC" w14:textId="3FBEF44C">
      <w:pPr>
        <w:pStyle w:val="zGTC03"/>
        <w:rPr>
          <w:color w:val="000000" w:themeColor="text1"/>
        </w:rPr>
      </w:pPr>
      <w:r>
        <w:rPr>
          <w:b/>
        </w:rPr>
        <w:t xml:space="preserve">Sale and Purchase Obligations During the Term. </w:t>
      </w:r>
      <w:r>
        <w:t xml:space="preserve">From the Delivery Commencement Date through the end of the Term, but subject to the terms of this PPA, Seller must sell to GPC: (i) the entire electrical capability of the Facility, net of any Station Service, as, when, and to the extent GPC Schedules the electrical capability; and (ii) all Ancillary Services. Subject to the terms of this PPA, GPC will purchase from Seller the electrical output of the Facility, in accordance with GPC’s Scheduling Instructions, and the Declared Capacity associated with the Facility after the Delivery Commencement Date. The delivery of energy to the </w:t>
      </w:r>
      <w:r>
        <w:rPr>
          <w:bCs/>
        </w:rPr>
        <w:t>POD</w:t>
      </w:r>
      <w:r>
        <w:rPr>
          <w:b/>
        </w:rPr>
        <w:t xml:space="preserve"> </w:t>
      </w:r>
      <w:r>
        <w:t>includes the transfer to GPC of all Ancillary Services associated with the energy. Seller must make available and provide to GPC all Ancillary Services as instructed by GPC at all power output levels and during periods that the Facility is not actively delivering energy. The Monthly Capacity Payments and the Monthly Energy Payments are the exclusive compensation owed to Seller for capacity, energy, and Ancillary Services under this PPA.</w:t>
      </w:r>
    </w:p>
    <w:p w:rsidRPr="00BF5DF7" w:rsidR="00BE115A" w:rsidP="00BE115A" w:rsidRDefault="005F368D" w14:paraId="694A7366" w14:textId="077A7BE2">
      <w:pPr>
        <w:pStyle w:val="zGTC03"/>
      </w:pPr>
      <w:r>
        <w:rPr>
          <w:b/>
        </w:rPr>
        <w:t xml:space="preserve">Station Service. </w:t>
      </w:r>
      <w:r>
        <w:t>Seller is responsible for all Station Service, at Seller’s expense.</w:t>
      </w:r>
      <w:bookmarkStart w:name="_Hlk37504937" w:id="55"/>
      <w:r>
        <w:t xml:space="preserve"> If the Facility is located within the state of Georgia, Seller must arrange Station Service for the Facility in accordance with the Georgia Territorial Electric Service Act (O.C.G.A. §§ 46-3-1 through 46-3-15). If the Facility is located within the state of Georgia and any additional electric service is required to serve auxiliary equipment (ancillary equipment at or otherwise supporting the Facility, including lights and security equipment and systems (e.g., gates and cameras)), Seller must: (i) purchase that service from the local electric service provider in accordance with the Georgia Territorial Electric Service Act (O.C.G.A. §§ 46-3-1 through 46-3-15); (ii) install a separate meter for the service; and (iii) if purchasing from GPC, pay any installation costs in accordance with GPC’s standard procedures for establishing retail service. If Seller supplies its Station Service on Seller’s side of the POI, the Facility’s output is net of energy consumed and demand requirements (i.e., the energy delivered to the </w:t>
      </w:r>
      <w:bookmarkEnd w:id="55"/>
      <w:r>
        <w:t>POD).</w:t>
      </w:r>
    </w:p>
    <w:p w:rsidRPr="00BF5DF7" w:rsidR="00BE115A" w:rsidP="00BE115A" w:rsidRDefault="006349FA" w14:paraId="3DB36DFB" w14:textId="6867A0F1">
      <w:pPr>
        <w:pStyle w:val="zGTC03"/>
      </w:pPr>
      <w:r>
        <w:rPr>
          <w:b/>
        </w:rPr>
        <w:t xml:space="preserve">Delivery of Energy; Risk of Loss; Balancing Services. </w:t>
      </w:r>
      <w:r>
        <w:t>Except as otherwise provided in Section 4.1.4 (</w:t>
      </w:r>
      <w:r>
        <w:rPr>
          <w:i/>
        </w:rPr>
        <w:t>Unavailability</w:t>
      </w:r>
      <w:r>
        <w:t>) regarding delivery of capacity and energy at an Alternate Delivery Point,</w:t>
      </w:r>
      <w:r>
        <w:rPr>
          <w:b/>
          <w:i/>
        </w:rPr>
        <w:t xml:space="preserve"> </w:t>
      </w:r>
      <w:r>
        <w:t>Seller must deliver capacity and energy from the Facility to GPC at the POD. The risk of loss of energy will pass from Seller to GPC at the POD. If the Facility is interconnected within the STT, GPC will be responsible for providing generator balancing services regarding the SBAA and Southern OATT necessary for the receipt of energy in accordance with GPC’s Schedules and for any associated costs. The Facility and the Alternate Resource are prohibited from delivering to the POD, at any time, any output in excess of the Interconnection Limit or transmission service reservation, as applicable. If</w:t>
      </w:r>
      <w:r>
        <w:rPr>
          <w:rFonts w:eastAsiaTheme="minorEastAsia"/>
        </w:rPr>
        <w:t xml:space="preserve"> the Facility is interconnected to </w:t>
      </w:r>
      <w:r>
        <w:rPr>
          <w:rFonts w:eastAsiaTheme="minorEastAsia"/>
        </w:rPr>
        <w:lastRenderedPageBreak/>
        <w:t>the Electric System outside of the SBAA, Seller must comply with the dynamic scheduling requirements described in Section 12.3.1 (</w:t>
      </w:r>
      <w:r>
        <w:rPr>
          <w:rFonts w:eastAsiaTheme="minorEastAsia"/>
          <w:i/>
          <w:iCs/>
        </w:rPr>
        <w:t>Dynamic Scheduling</w:t>
      </w:r>
      <w:r>
        <w:rPr>
          <w:rFonts w:eastAsiaTheme="minorEastAsia"/>
        </w:rPr>
        <w:t>).</w:t>
      </w:r>
    </w:p>
    <w:p w:rsidRPr="009753A6" w:rsidR="00BE115A" w:rsidP="00BE115A" w:rsidRDefault="00BE115A" w14:paraId="1CE89F70" w14:textId="79DD21FB">
      <w:pPr>
        <w:pStyle w:val="zGTC03"/>
        <w:rPr>
          <w:b/>
        </w:rPr>
      </w:pPr>
      <w:r>
        <w:rPr>
          <w:b/>
        </w:rPr>
        <w:t>Unavailability.</w:t>
      </w:r>
    </w:p>
    <w:p w:rsidRPr="00BF5DF7" w:rsidR="009D364F" w:rsidP="33351F9A" w:rsidRDefault="00255AAD" w14:paraId="336D9960" w14:textId="5D6295E2">
      <w:pPr>
        <w:pStyle w:val="zGTC04"/>
      </w:pPr>
      <w:r>
        <w:rPr>
          <w:b/>
        </w:rPr>
        <w:t xml:space="preserve">Scheduled Energy Delivery Using </w:t>
      </w:r>
      <w:r>
        <w:rPr>
          <w:b/>
          <w:bCs/>
        </w:rPr>
        <w:t>Alternate</w:t>
      </w:r>
      <w:r>
        <w:rPr>
          <w:b/>
        </w:rPr>
        <w:t xml:space="preserve"> Resource. </w:t>
      </w:r>
      <w:r>
        <w:t>Following the Delivery Commencement Date, if the Facility is Unavailable because of a Forced Outage or Forced Derate, Seller will have the option to elect to substitute physical Alternate Delivery from an Alternate Resource at an Alternate Delivery Point in accordance with Sections 4.1.4(ii) (</w:t>
      </w:r>
      <w:r>
        <w:rPr>
          <w:i/>
        </w:rPr>
        <w:t>Requirements for Seller’s Election to Provide Energy from an Alternate Resource</w:t>
      </w:r>
      <w:r>
        <w:t>) and 4.1.4(iii) (</w:t>
      </w:r>
      <w:r>
        <w:rPr>
          <w:i/>
        </w:rPr>
        <w:t>Requirements for Exercising Delivery Right from an Alternate Resource</w:t>
      </w:r>
      <w:r>
        <w:t>) to meet GPC’s Schedules (subject to the other provisions of this PPA), except that Seller will only be permitted to utilize an Alternate Resource to provide that portion of Scheduled Energy that cannot be provided from the Facility due to the Unavailability Event.</w:t>
      </w:r>
    </w:p>
    <w:p w:rsidRPr="00BF5DF7" w:rsidR="00030ADF" w:rsidP="00C55408" w:rsidRDefault="003C644F" w14:paraId="525F6EFA" w14:textId="1514CAB6">
      <w:pPr>
        <w:pStyle w:val="zGTC04"/>
      </w:pPr>
      <w:r>
        <w:rPr>
          <w:b/>
        </w:rPr>
        <w:t xml:space="preserve">Requirements for Seller’s Election to Provide Energy from an Alternate Resource. </w:t>
      </w:r>
      <w:r>
        <w:t xml:space="preserve">If Seller elects to provide energy from an Alternate Resource, Seller must, to the extent the designated Alternate Resource(s) is Available, provide GPC with a uniform quantity of energy in each Hour that GPC Schedules at least that quantity of energy. The Hours (or equivalent Hours) of delivery of energy from an Alternate Resource will be incorporated as Alternate Resource Delivery Hours in the Monthly Availability Percentage calculations in accordance with </w:t>
      </w:r>
      <w:bookmarkStart w:name="_Hlk159667876" w:id="56"/>
      <w:r>
        <w:t>Exhibit B (</w:t>
      </w:r>
      <w:r>
        <w:rPr>
          <w:i/>
        </w:rPr>
        <w:t>Capacity; Capacity Payments and Payment Reductions; Buydown</w:t>
      </w:r>
      <w:r>
        <w:t>), Part 3 (</w:t>
      </w:r>
      <w:r>
        <w:rPr>
          <w:i/>
        </w:rPr>
        <w:t>Monthly Availability Adjustment</w:t>
      </w:r>
      <w:r>
        <w:t xml:space="preserve">), </w:t>
      </w:r>
      <w:bookmarkEnd w:id="56"/>
      <w:r>
        <w:t>and Seller’s failure to deliver from the Facility in the Alternate Resource Delivery Hours will not be treated as Unavailability. At GPC’s discretion, GPC may deduct from any Monthly Capacity Payment or Monthly Energy Payment the incremental additional costs incurred by GPC due to system losses caused by Seller’s delivery of Scheduled Energy from an Alternate Resource, as compared to the losses that GPC would have incurred if such Scheduled Energy were delivered from the Facility. GPC will determine the incremental additional energy losses in a manner consistent with the methodology utilized by GPC in applying loss penalties in its system dispatch. GPC’s methodology will not treat Seller’s Alternate Resource in a materially different manner from GPC’s other generating resources. The Operating Representatives will further develop Operating Procedures to calculate and bill Seller for such losses consistent with this Section 4.1.4(ii) (</w:t>
      </w:r>
      <w:r>
        <w:rPr>
          <w:i/>
        </w:rPr>
        <w:t>Requirements for Seller’s Election to Provide Energy from an Alternate Resource</w:t>
      </w:r>
      <w:r>
        <w:t>).</w:t>
      </w:r>
    </w:p>
    <w:p w:rsidRPr="00BF5DF7" w:rsidR="00030ADF" w:rsidP="33351F9A" w:rsidRDefault="00BE0722" w14:paraId="0C565D79" w14:textId="1EA3FF9E">
      <w:pPr>
        <w:pStyle w:val="zGTC04"/>
      </w:pPr>
      <w:r>
        <w:rPr>
          <w:b/>
        </w:rPr>
        <w:t xml:space="preserve">Requirements for Exercising Delivery Right from an Alternate Resource. </w:t>
      </w:r>
      <w:r>
        <w:t>To exercise its right to deliver energy from an Alternate Resource under Section 4.1.4.(i) (</w:t>
      </w:r>
      <w:r>
        <w:rPr>
          <w:i/>
          <w:iCs/>
        </w:rPr>
        <w:t>Scheduled Energy Delivery Using Alternate Resource</w:t>
      </w:r>
      <w:r>
        <w:t>) or Section 4.1.4(iv) (</w:t>
      </w:r>
      <w:r>
        <w:rPr>
          <w:i/>
        </w:rPr>
        <w:t>Alternate Delivery During Force Majeure Event</w:t>
      </w:r>
      <w:r>
        <w:t>) during a given Day, Seller must provide GPC with advance notice in a manner agreed upon by the Operating Committee by no later than 7:00 a.m. CPT of the Business Day immediately before the Day of delivery, which notice will specify the Alternate Resource and Alternate Delivery Point. Seller must provide any other information that GPC requires for GPC to request Firm Transmission Service for the energy. Seller may propose to utilize only one Alternate Delivery Point and only one Alternate Resource for a given Day. Once Seller provides a notice of Alternate Delivery, Seller must adhere to and must not withdraw such Alternate Delivery without GPC’s written consent. Any failure to deliver energy in accordance with GPC’s Schedules from a designated Alternate Resource will reduce the Monthly Availability Percentage calculation under Exhibit B (</w:t>
      </w:r>
      <w:r>
        <w:rPr>
          <w:i/>
        </w:rPr>
        <w:t>Capacity; Capacity Payments and Payment Reductions; Buydown</w:t>
      </w:r>
      <w:r>
        <w:t>), Part 3 (</w:t>
      </w:r>
      <w:r>
        <w:rPr>
          <w:i/>
        </w:rPr>
        <w:t>Monthly Availability Adjustment</w:t>
      </w:r>
      <w:r>
        <w:t>). If the Alternate Resource is interconnected to an Electric System outside the SBAA, Seller must procure Firm Transmission Service.</w:t>
      </w:r>
    </w:p>
    <w:p w:rsidRPr="00BF5DF7" w:rsidR="00F648B9" w:rsidP="009D364F" w:rsidRDefault="003A38A3" w14:paraId="1A990851" w14:textId="2626F6E2">
      <w:pPr>
        <w:pStyle w:val="zGTC04"/>
        <w:rPr>
          <w:szCs w:val="20"/>
        </w:rPr>
      </w:pPr>
      <w:r>
        <w:rPr>
          <w:b/>
        </w:rPr>
        <w:t xml:space="preserve">Alternative Delivery During Force Majeure Event. </w:t>
      </w:r>
      <w:r>
        <w:t>Following the Delivery Commencement Date, if the Facility is Unavailable because of a Force Majeure Event, instead of the suspension of Monthly Capacity Payments to the extent provided in Section 15.4 (</w:t>
      </w:r>
      <w:r>
        <w:rPr>
          <w:i/>
        </w:rPr>
        <w:t>Monthly Capacity Payments</w:t>
      </w:r>
      <w:r>
        <w:t>), Seller will have the option to elect Alternate Delivery under Section 4.1.4(iii) (</w:t>
      </w:r>
      <w:r>
        <w:rPr>
          <w:i/>
        </w:rPr>
        <w:t>Requirements for Exercising Delivery Right from an Alternate Resource</w:t>
      </w:r>
      <w:r>
        <w:t>).</w:t>
      </w:r>
    </w:p>
    <w:p w:rsidRPr="00BF5DF7" w:rsidR="00F648B9" w:rsidP="00F648B9" w:rsidRDefault="00FC3D92" w14:paraId="02B13128" w14:textId="44321170">
      <w:pPr>
        <w:pStyle w:val="zGTC03"/>
      </w:pPr>
      <w:r>
        <w:rPr>
          <w:b/>
        </w:rPr>
        <w:t xml:space="preserve">Declared Capacity and GPC’s Scheduling Right for Facility Energy Output and Ancillary Services. </w:t>
      </w:r>
      <w:r>
        <w:t>Despite Seller’s designation of the Declared Capacity in accordance with Exhibit B (</w:t>
      </w:r>
      <w:r>
        <w:rPr>
          <w:i/>
        </w:rPr>
        <w:t>Capacity; Capacity Payments and Payment Reductions; Buydown</w:t>
      </w:r>
      <w:r>
        <w:t xml:space="preserve">), GPC may Schedule and receive, and if Scheduled by GPC, Seller must deliver, up to the entire energy output that the Facility is capable of </w:t>
      </w:r>
      <w:r>
        <w:lastRenderedPageBreak/>
        <w:t>producing when operated and all Ancillary Services associated with the Facility, subject to the Technical Limits and Scheduling procedures set forth in Exhibit D (</w:t>
      </w:r>
      <w:r>
        <w:rPr>
          <w:i/>
        </w:rPr>
        <w:t>Technical Limits and Schedule Procedures</w:t>
      </w:r>
      <w:r>
        <w:t>).</w:t>
      </w:r>
    </w:p>
    <w:p w:rsidRPr="00BF5DF7" w:rsidR="00F648B9" w:rsidP="00F648B9" w:rsidRDefault="00CA57C4" w14:paraId="0E4D4D7B" w14:textId="70D1C73C">
      <w:pPr>
        <w:pStyle w:val="zGTC03"/>
      </w:pPr>
      <w:r>
        <w:rPr>
          <w:b/>
        </w:rPr>
        <w:t xml:space="preserve">No Sale of Capacity, Energy, or Ancillary Services to a Third Party. </w:t>
      </w:r>
      <w:r w:rsidR="00794A9D">
        <w:rPr>
          <w:bCs/>
        </w:rPr>
        <w:t xml:space="preserve">During </w:t>
      </w:r>
      <w:r>
        <w:rPr>
          <w:bCs/>
        </w:rPr>
        <w:t>the Term,</w:t>
      </w:r>
      <w:r>
        <w:rPr>
          <w:b/>
        </w:rPr>
        <w:t xml:space="preserve"> </w:t>
      </w:r>
      <w:r>
        <w:t>Seller must not sell any of the capacity, energy, or Ancillary Services associated with the Facility to any Person other than GPC, including the sale of any energy not Scheduled by GPC.</w:t>
      </w:r>
    </w:p>
    <w:p w:rsidRPr="009753A6" w:rsidR="00F648B9" w:rsidP="00F648B9" w:rsidRDefault="00F648B9" w14:paraId="24073C18" w14:textId="77777777">
      <w:pPr>
        <w:pStyle w:val="zGTC03"/>
        <w:rPr>
          <w:b/>
        </w:rPr>
      </w:pPr>
      <w:r>
        <w:rPr>
          <w:b/>
        </w:rPr>
        <w:t>Capacity Shortfall.</w:t>
      </w:r>
    </w:p>
    <w:p w:rsidR="00E551AD" w:rsidP="3315BD22" w:rsidRDefault="005058F5" w14:paraId="2899EFF9" w14:textId="03DF677A">
      <w:pPr>
        <w:pStyle w:val="zGTC04"/>
        <w:rPr>
          <w:rFonts w:eastAsia="Arial"/>
          <w:szCs w:val="20"/>
        </w:rPr>
      </w:pPr>
      <w:r>
        <w:rPr>
          <w:b/>
        </w:rPr>
        <w:t xml:space="preserve">Capacity Shortfall Declaration. </w:t>
      </w:r>
      <w:r>
        <w:t>GPC may declare a Capacity Shortfall if the requirements in this Section 4.1.7(i) (</w:t>
      </w:r>
      <w:r>
        <w:rPr>
          <w:i/>
        </w:rPr>
        <w:t>Capacity Shortfall Declaration</w:t>
      </w:r>
      <w:r>
        <w:t>) are satisfied. A “</w:t>
      </w:r>
      <w:r>
        <w:rPr>
          <w:b/>
        </w:rPr>
        <w:t>Capacity Shortfall</w:t>
      </w:r>
      <w:r>
        <w:t xml:space="preserve">” means for any period of 30 consecutive Days: (a) the Facility is Scheduled to operate at its applicable Declared Capacity; and (b) (I) the average actual output of the Base Operating Mode, adjusted to applicable Reference Conditions (excluding ramping), is less than the applicable Declared Base Capacity; (II) the average actual output of the Tier 1 Supplemental Operating Mode, adjusted to applicable Reference Conditions (excluding ramping), is less than the applicable Declared Tier 1 Supplemental Capacity; or (III) the average actual output of the Tier 2 Supplemental Operating Mode, adjusted to applicable Reference Conditions (excluding ramping), is less than the applicable Declared Tier 2 Supplemental Capacity. However, the calculation of a Capacity Shortfall will not include any reduction in output of the Facility to the extent: (1) caused by a Force Majeure Event, a Forced Derate, or a Forced Outage, in each case that has been properly declared in accordance with the terms of this PPA; or (2) to the extent due to an Electric System outage. </w:t>
      </w:r>
      <w:r>
        <w:rPr>
          <w:rFonts w:eastAsia="Arial"/>
          <w:szCs w:val="20"/>
        </w:rPr>
        <w:t>For the avoidance of doubt, during the Standard Seasonal Performance Periods the applicable Declared Base Capacity is the Declared Standard Base Capacity, the applicable Declared Tier 1 Supplemental Capacity is the Declared Tier 1 Standard Supplemental Capacity, and the applicable Declared Tier 2 Supplemental Capacity is the Declared Tier 2 Standard Supplemental Capacity; and during the Winter Seasonal Performance Period the applicable Declared Base Capacity is the Winter Declared Winter Base Capacity, the applicable Declared Tier 1 Supplemental Capacity is the Declared Tier 1 Winter Supplemental Capacity, and the applicable Declared Tier 2 Supplemental Capacity is the Declared Tier 2 Winter Supplemental Capacity.</w:t>
      </w:r>
    </w:p>
    <w:p w:rsidRPr="00BF5DF7" w:rsidR="00101C0C" w:rsidP="00E70516" w:rsidRDefault="004257F5" w14:paraId="777F2E53" w14:textId="4DF2CADA">
      <w:pPr>
        <w:pStyle w:val="zGTC05"/>
      </w:pPr>
      <w:r>
        <w:rPr>
          <w:b/>
          <w:bCs/>
        </w:rPr>
        <w:t xml:space="preserve">Capacity Shortfall Calculation Examples. </w:t>
      </w:r>
      <w:r>
        <w:t>For example, Seller designated the Facility to have: (i) a Declared Standard Base Capacity of 500 MW; (ii) a Declared Tier 1 Standard Supplemental Capacity of 100 MW; and (iii) a Declared Tier 2 Standard Supplemental Capacity of 50 MW for a total of 650 MW. During one period of 30 consecutive Days in a Standard Seasonal Performance Period, the Facility was Scheduled at Declared Standard Base Capacity, Declared Tier 1 Standard Supplemental Capacity, and Declared Tier 2 Standard Supplemental Capacity, and there was no Force Majeure Event, Forced Derate, Forced Outage, or Electric System outage. The Base Capacity Shortfall, Tier 1 Supplemental Capacity Shortfall, and Tier 2 Supplemental Capacity Shortfall would be calculated as follows:</w:t>
      </w:r>
    </w:p>
    <w:p w:rsidRPr="00BF5DF7" w:rsidR="00024FC3" w:rsidP="00866478" w:rsidRDefault="00FF2D8B" w14:paraId="125DF341" w14:textId="586FFF66">
      <w:pPr>
        <w:pStyle w:val="zGTC05"/>
        <w:numPr>
          <w:ilvl w:val="0"/>
          <w:numId w:val="24"/>
        </w:numPr>
        <w:tabs>
          <w:tab w:val="clear" w:pos="720"/>
        </w:tabs>
        <w:ind w:left="2700"/>
      </w:pPr>
      <w:r>
        <w:rPr>
          <w:b/>
          <w:bCs/>
          <w:u w:val="single"/>
        </w:rPr>
        <w:t>Base Capacity Shortfall</w:t>
      </w:r>
      <w:r>
        <w:rPr>
          <w:b/>
          <w:bCs/>
        </w:rPr>
        <w:t>:</w:t>
      </w:r>
      <w:r>
        <w:t xml:space="preserve"> On average during the period of 30 consecutive Days the Base Operating Mode actual output of the Facility, adjusted to Reference Conditions for the Standard Seasonal Performance Period, when the Facility was Scheduled to operate at its Declared Standard Base Capacity, excluding ramping, was 483 MW, and the resulting Base Capacity Shortfall was 17 MW (500 MW – 483 MW = 17 MW). </w:t>
      </w:r>
    </w:p>
    <w:p w:rsidRPr="00BF5DF7" w:rsidR="00C05684" w:rsidP="00866478" w:rsidRDefault="00024FC3" w14:paraId="12CD5699" w14:textId="5BA5D6D3">
      <w:pPr>
        <w:pStyle w:val="zGTC05"/>
        <w:numPr>
          <w:ilvl w:val="0"/>
          <w:numId w:val="24"/>
        </w:numPr>
        <w:tabs>
          <w:tab w:val="clear" w:pos="720"/>
        </w:tabs>
        <w:ind w:left="2700"/>
      </w:pPr>
      <w:r>
        <w:rPr>
          <w:b/>
          <w:bCs/>
          <w:u w:val="single"/>
        </w:rPr>
        <w:t>Tier 1 Supplemental Capacity Shortfall</w:t>
      </w:r>
      <w:r>
        <w:rPr>
          <w:b/>
          <w:bCs/>
        </w:rPr>
        <w:t>:</w:t>
      </w:r>
      <w:r>
        <w:t xml:space="preserve"> On average during the period of 30 consecutive Days the Tier 1 Standard Supplemental Operating Mode actual output of the Facility, adjusted to Reference Conditions for the Standard Seasonal Performance Period, when the Facility was Scheduled to operate at its Declared Tier 1 Standard Supplemental Capacity, excluding ramping, was 97 MW, and the resulting Tier 1 Standard Supplemental Capacity Shortfall was 3 MW (100 MW – 97 MW = 3 MW).  </w:t>
      </w:r>
    </w:p>
    <w:p w:rsidRPr="00BF5DF7" w:rsidR="00F648B9" w:rsidP="00866478" w:rsidRDefault="00CF630F" w14:paraId="35B5EE7A" w14:textId="042F56A4">
      <w:pPr>
        <w:pStyle w:val="zGTC05"/>
        <w:numPr>
          <w:ilvl w:val="0"/>
          <w:numId w:val="24"/>
        </w:numPr>
        <w:tabs>
          <w:tab w:val="clear" w:pos="720"/>
        </w:tabs>
        <w:ind w:left="2700"/>
      </w:pPr>
      <w:r>
        <w:rPr>
          <w:b/>
          <w:bCs/>
          <w:u w:val="single"/>
        </w:rPr>
        <w:t>Tier 2 Supplemental Capacity Shortfall</w:t>
      </w:r>
      <w:r>
        <w:rPr>
          <w:b/>
          <w:bCs/>
        </w:rPr>
        <w:t xml:space="preserve">: </w:t>
      </w:r>
      <w:r>
        <w:t xml:space="preserve">On average during the period of 30 consecutive Days, the Tier 2 Standard Supplemental Operating Mode actual output of the Facility, adjusted to Reference Conditions for the Standard Seasonal Performance Period, when the Facility was Scheduled to operate at its Declared Tier 2 Standard Supplemental Capacity, excluding ramping, was 50 MW, and the </w:t>
      </w:r>
      <w:r>
        <w:lastRenderedPageBreak/>
        <w:t>resulting Tier 2 Standard Supplemental Capacity Shortfall was 0 MW (50 MW – 50 MW = 0 MW).</w:t>
      </w:r>
    </w:p>
    <w:p w:rsidRPr="00BF5DF7" w:rsidR="00BA7C18" w:rsidP="33351F9A" w:rsidRDefault="00646838" w14:paraId="1BCDFC7C" w14:textId="44180E84">
      <w:pPr>
        <w:pStyle w:val="zGTC04"/>
      </w:pPr>
      <w:r>
        <w:rPr>
          <w:b/>
        </w:rPr>
        <w:t xml:space="preserve">Data Review after Capacity Shortfall Declaration; Declared Capacity Adjustment. </w:t>
      </w:r>
      <w:r>
        <w:t>When GPC declares a Capacity Shortfall, Operating Representatives from each Party will convene, by no later than 10 Business Days after GPC’s declaration, to review the data GPC used to support the Capacity Shortfall declaration. For a Capacity Shortfall declaration, GPC will use actual Hourly generation data from the Facility and the associated actual Hourly ambient conditions (i.e., temperature and humidity) as measured at the Facility to determine the Hourly output of the Facility, as adjusted to applicable Reference Conditions. Upon completion of the review, GPC, in its sole discretion, may elect to reduce, as applicable, for the 30 consecutive Days that triggered the Capacity Shortfall or for the remainder of the Annual Period: (a) the applicable Declared Base Capacity by the Base Capacity Shortfall; (b) the Declared Tier 1 Supplemental Capacity by the Tier 1 Supplemental Capacity Shortfall; or (c) the Declared Tier 2 Supplemental Capacity by Tier 2 Supplemental Capacity Shortfall. The reduction would apply to successive Annual Periods, subject to any subsequent Capacity Shortfall, unless and until such time that Seller conducts a Performance Test in accordance with Exhibit E (</w:t>
      </w:r>
      <w:r>
        <w:rPr>
          <w:i/>
        </w:rPr>
        <w:t>Performance Testing Procedures</w:t>
      </w:r>
      <w:r>
        <w:t>) and establishes a different Declared Capacity in accordance with Exhibit B (</w:t>
      </w:r>
      <w:r>
        <w:rPr>
          <w:i/>
        </w:rPr>
        <w:t>Capacity; Capacity Payments and Payment Reductions; Buydown</w:t>
      </w:r>
      <w:r>
        <w:t>).</w:t>
      </w:r>
    </w:p>
    <w:p w:rsidRPr="00BF5DF7" w:rsidR="00F648B9" w:rsidP="001F6FFA" w:rsidRDefault="00FC3D92" w14:paraId="30BD7D0D" w14:textId="1BF56D82">
      <w:pPr>
        <w:pStyle w:val="zGTC05"/>
        <w:spacing w:before="120" w:after="120"/>
      </w:pPr>
      <w:r>
        <w:rPr>
          <w:b/>
          <w:bCs/>
        </w:rPr>
        <w:t xml:space="preserve">Declared Capacity Calculation Example. </w:t>
      </w:r>
      <w:r>
        <w:t>The following would be the Declared Capacity reduction for the example set forth in Section 4.1.7(i)(a) (</w:t>
      </w:r>
      <w:r>
        <w:rPr>
          <w:i/>
          <w:iCs/>
        </w:rPr>
        <w:t>Capacity Shortfall</w:t>
      </w:r>
      <w:r>
        <w:t xml:space="preserve"> </w:t>
      </w:r>
      <w:r>
        <w:rPr>
          <w:i/>
          <w:iCs/>
        </w:rPr>
        <w:t>Calculation Examples</w:t>
      </w:r>
      <w:r>
        <w:t>): (i) the Base Standard Capacity Shortfall is 17 MW, and GPC could elect to reduce the Declared Standard Base Capacity by 17 MW; (ii) the Tier 1 Standard Supplemental Capacity Shortfall is 3 MW, and GPC could elect to reduce the Declared Tier 1 Standard Supplemental Capacity by 3 MW; and (iii) because there is no Capacity Shortfall for the Declared Tier 2 Standard Supplemental Capacity, there would be no reduction to the Declared Tier 2 Standard Supplemental Capacity.</w:t>
      </w:r>
    </w:p>
    <w:p w:rsidRPr="00BF5DF7" w:rsidR="00F648B9" w:rsidP="00F648B9" w:rsidRDefault="006D2908" w14:paraId="602047EA" w14:textId="3AD545C7">
      <w:pPr>
        <w:pStyle w:val="zGTC04"/>
      </w:pPr>
      <w:r>
        <w:rPr>
          <w:b/>
        </w:rPr>
        <w:t xml:space="preserve">Seller Dispute Regarding Capacity Shortfall Declaration. </w:t>
      </w:r>
      <w:r>
        <w:t>If Seller disputes GPC’s Capacity Shortfall declaration, the matter will be resolved in accordance with Part 19 (</w:t>
      </w:r>
      <w:r>
        <w:rPr>
          <w:i/>
        </w:rPr>
        <w:t>Dispute Resolution</w:t>
      </w:r>
      <w:r>
        <w:t>). If GPC elects to reduce the applicable Declared Capacity in accordance with Section 4.1.7(ii) (</w:t>
      </w:r>
      <w:r>
        <w:rPr>
          <w:i/>
        </w:rPr>
        <w:t>Data Review after Capacity Shortfall Declaration; Declared Capacity Adjustment</w:t>
      </w:r>
      <w:r>
        <w:t>), GPC will provide to Seller notice of the reduction in that Declared Capacity and its effective date.</w:t>
      </w:r>
    </w:p>
    <w:p w:rsidRPr="00BF5DF7" w:rsidR="00D21B7F" w:rsidP="00D21B7F" w:rsidRDefault="00D21B7F" w14:paraId="540BDAF5" w14:textId="1FEE8445">
      <w:pPr>
        <w:pStyle w:val="zGTC02"/>
        <w:rPr>
          <w:rFonts w:ascii="Arial" w:hAnsi="Arial" w:eastAsia="PMingLiU" w:cs="Arial"/>
          <w:vanish/>
          <w:szCs w:val="20"/>
          <w:specVanish/>
        </w:rPr>
      </w:pPr>
      <w:bookmarkStart w:name="_Toc212472968" w:id="57"/>
      <w:bookmarkStart w:name="_Toc227840656" w:id="58"/>
      <w:r>
        <w:rPr>
          <w:rFonts w:ascii="Arial" w:hAnsi="Arial" w:cs="Arial"/>
          <w:szCs w:val="20"/>
        </w:rPr>
        <w:t>Calculation of Monthly Capacity Payments.</w:t>
      </w:r>
      <w:bookmarkEnd w:id="57"/>
      <w:bookmarkEnd w:id="58"/>
    </w:p>
    <w:p w:rsidRPr="00BF5DF7" w:rsidR="00D21B7F" w:rsidP="00E551AD" w:rsidRDefault="00E551AD" w14:paraId="0FE7F305" w14:textId="28D74A8C">
      <w:pPr>
        <w:pStyle w:val="zGNormal"/>
      </w:pPr>
      <w:r>
        <w:t xml:space="preserve"> Subject to the terms of this PPA, GPC will pay Seller a Monthly Capacity Payment calculated in accordance with </w:t>
      </w:r>
      <w:r>
        <w:rPr>
          <w:bCs/>
        </w:rPr>
        <w:t>Exhibit B (</w:t>
      </w:r>
      <w:r>
        <w:rPr>
          <w:bCs/>
          <w:i/>
          <w:iCs/>
        </w:rPr>
        <w:t>Capacity; Capacity Payments</w:t>
      </w:r>
      <w:r>
        <w:rPr>
          <w:i/>
        </w:rPr>
        <w:t xml:space="preserve"> and Payment Reductions; Buydown</w:t>
      </w:r>
      <w:r>
        <w:rPr>
          <w:bCs/>
        </w:rPr>
        <w:t>), Part 2 (</w:t>
      </w:r>
      <w:r>
        <w:rPr>
          <w:bCs/>
          <w:i/>
          <w:iCs/>
        </w:rPr>
        <w:t>Monthly Capacity Payment</w:t>
      </w:r>
      <w:r>
        <w:rPr>
          <w:bCs/>
        </w:rPr>
        <w:t>)</w:t>
      </w:r>
      <w:r>
        <w:t>. Other than the Monthly Capacity Payments, GPC will not owe Seller any payment or other compensation for the Facility’s capacity.</w:t>
      </w:r>
    </w:p>
    <w:p w:rsidRPr="00BF5DF7" w:rsidR="00D21B7F" w:rsidP="00D21B7F" w:rsidRDefault="00D21B7F" w14:paraId="4D22E007" w14:textId="6D79F124">
      <w:pPr>
        <w:pStyle w:val="zGTC02"/>
        <w:rPr>
          <w:rFonts w:ascii="Arial" w:hAnsi="Arial" w:eastAsia="PMingLiU" w:cs="Arial"/>
          <w:vanish/>
          <w:szCs w:val="20"/>
          <w:specVanish/>
        </w:rPr>
      </w:pPr>
      <w:bookmarkStart w:name="_Toc212472969" w:id="59"/>
      <w:bookmarkStart w:name="_Toc227840657" w:id="60"/>
      <w:r>
        <w:rPr>
          <w:rFonts w:ascii="Arial" w:hAnsi="Arial" w:cs="Arial"/>
          <w:szCs w:val="20"/>
        </w:rPr>
        <w:t>Calculation of Monthly Energy Payments.</w:t>
      </w:r>
      <w:bookmarkEnd w:id="59"/>
      <w:bookmarkEnd w:id="60"/>
    </w:p>
    <w:p w:rsidRPr="00BF5DF7" w:rsidR="00E551AD" w:rsidP="00C44D6E" w:rsidRDefault="00E551AD" w14:paraId="21286A9C" w14:textId="5E6C19F4">
      <w:pPr>
        <w:pStyle w:val="zGNormal"/>
      </w:pPr>
      <w:r>
        <w:t xml:space="preserve"> Subject to the terms of this PPA, </w:t>
      </w:r>
      <w:r>
        <w:rPr>
          <w:bCs/>
        </w:rPr>
        <w:t>GPC</w:t>
      </w:r>
      <w:r>
        <w:t xml:space="preserve"> </w:t>
      </w:r>
      <w:r>
        <w:rPr>
          <w:bCs/>
        </w:rPr>
        <w:t>will</w:t>
      </w:r>
      <w:r>
        <w:t xml:space="preserve"> pay Seller a Monthly Energy Payment calculated in accordance with Exhibit C (</w:t>
      </w:r>
      <w:r>
        <w:rPr>
          <w:i/>
          <w:iCs/>
        </w:rPr>
        <w:t>Energy Payment Calculation</w:t>
      </w:r>
      <w:r>
        <w:t>), Part 1 (</w:t>
      </w:r>
      <w:r>
        <w:rPr>
          <w:i/>
          <w:iCs/>
        </w:rPr>
        <w:t>Monthly Energy Payment</w:t>
      </w:r>
      <w:r>
        <w:t>). Despite any other provision in this PPA, the Monthly Energy Payments include all compensation owed to Seller for Ancillary Services associated with energy delivered to the POD.</w:t>
      </w:r>
    </w:p>
    <w:p w:rsidRPr="00BF5DF7" w:rsidR="00ED7147" w:rsidP="00ED7147" w:rsidRDefault="00D21B7F" w14:paraId="2F7782E1" w14:textId="77777777">
      <w:pPr>
        <w:pStyle w:val="zGTC02"/>
        <w:rPr>
          <w:rFonts w:ascii="Arial" w:hAnsi="Arial" w:eastAsia="PMingLiU" w:cs="Arial"/>
          <w:vanish/>
          <w:szCs w:val="20"/>
          <w:specVanish/>
        </w:rPr>
      </w:pPr>
      <w:bookmarkStart w:name="_Toc212472970" w:id="61"/>
      <w:bookmarkStart w:name="_Toc227840658" w:id="62"/>
      <w:r>
        <w:t>Substitution of a Unit at the Site.</w:t>
      </w:r>
      <w:bookmarkEnd w:id="61"/>
      <w:bookmarkEnd w:id="62"/>
    </w:p>
    <w:p w:rsidRPr="00BF5DF7" w:rsidR="00D21B7F" w:rsidP="00ED7147" w:rsidRDefault="00CD3B94" w14:paraId="1AF28B66" w14:textId="5BD2A8E5">
      <w:pPr>
        <w:pStyle w:val="zGNormal"/>
      </w:pPr>
      <w:r>
        <w:t xml:space="preserve"> </w:t>
      </w:r>
    </w:p>
    <w:p w:rsidRPr="00BF5DF7" w:rsidR="00E551AD" w:rsidP="003911C4" w:rsidRDefault="00B1523B" w14:paraId="4D32FEC8" w14:textId="467BE829">
      <w:pPr>
        <w:pStyle w:val="zGTC03"/>
      </w:pPr>
      <w:r>
        <w:rPr>
          <w:b/>
        </w:rPr>
        <w:t xml:space="preserve">Current Unit Replacement with Substitute Unit. </w:t>
      </w:r>
      <w:r>
        <w:t>Without limiting the application of Section 4.1.4 (</w:t>
      </w:r>
      <w:r>
        <w:rPr>
          <w:i/>
          <w:iCs/>
        </w:rPr>
        <w:t>Unavailability</w:t>
      </w:r>
      <w:r>
        <w:t xml:space="preserve">), to improve Seller’s performance under this PPA regarding capacity availability and energy supply reliability, Seller may propose by notice to GPC  to replace a </w:t>
      </w:r>
      <w:r w:rsidR="00AA256A">
        <w:t xml:space="preserve">unit </w:t>
      </w:r>
      <w:r>
        <w:t>then comprising the Facility (“</w:t>
      </w:r>
      <w:r>
        <w:rPr>
          <w:b/>
        </w:rPr>
        <w:t>Current Unit</w:t>
      </w:r>
      <w:r>
        <w:t>”) with another combined cycle generating unit at the Site (“</w:t>
      </w:r>
      <w:r>
        <w:rPr>
          <w:b/>
        </w:rPr>
        <w:t>Substitute Unit</w:t>
      </w:r>
      <w:r>
        <w:t>”) (including a unit that had been previously substituted under this Section 4.4 (</w:t>
      </w:r>
      <w:r>
        <w:rPr>
          <w:i/>
        </w:rPr>
        <w:t>Substitution of a Unit at the Site</w:t>
      </w:r>
      <w:r>
        <w:t xml:space="preserve">) that satisfies the Substitution Eligibility Criteria and otherwise is capable of reliably meeting GPC’s Schedules. However, despite any other provision in this PPA, GPC, in GPC’s sole discretion, may reject any proposed replacement of a Current Unit, including rejection of any proposed Substitute Unit that satisfies the Substitution Eligibility Criteria. </w:t>
      </w:r>
      <w:r w:rsidRPr="00347020" w:rsidR="00347020">
        <w:t>Unless otherwise agreed by GPC, in GPC’s sole discretion, any replacement of the Current Unit with a Substitute Unit approved by GPC will occur: (i) no earlier than 60 Days after GPC receives Seller’s notice to GPC  proposing the replacement; but (ii) no later than the later of (a) 6 Months after GPC’s receipt of Seller’s notice to GPC proposing the replacement; and (b) 12 Months after another unit replacement under this Section 4.4 (</w:t>
      </w:r>
      <w:r w:rsidRPr="00347020" w:rsidR="00347020">
        <w:rPr>
          <w:i/>
          <w:iCs/>
        </w:rPr>
        <w:t>Substitution of a Unit at the Site</w:t>
      </w:r>
      <w:r w:rsidRPr="00347020" w:rsidR="00347020">
        <w:t>)</w:t>
      </w:r>
      <w:r>
        <w:t>.</w:t>
      </w:r>
    </w:p>
    <w:p w:rsidRPr="00BF5DF7" w:rsidR="00E551AD" w:rsidP="00E551AD" w:rsidRDefault="006468B6" w14:paraId="5AEAFD4A" w14:textId="1A8656EC">
      <w:pPr>
        <w:pStyle w:val="zGTC03"/>
      </w:pPr>
      <w:r>
        <w:rPr>
          <w:b/>
        </w:rPr>
        <w:t>Substitution Eligibility.</w:t>
      </w:r>
      <w:r>
        <w:t xml:space="preserve"> Unless otherwise agreed by GPC, in its sole discretion, a combined cycle generating unit at the Site must satisfy all of the following criteria to be eligible for consideration as a </w:t>
      </w:r>
      <w:r>
        <w:lastRenderedPageBreak/>
        <w:t>proposed Substitute Unit (collectively, “</w:t>
      </w:r>
      <w:r>
        <w:rPr>
          <w:b/>
        </w:rPr>
        <w:t>Substitution Eligibility Criteria</w:t>
      </w:r>
      <w:r>
        <w:t>”): (i) GPC must be able to obtain sufficient Firm Transmission Service delivery rights on the Electric System, without any modification to the Electric System being necessary, to permit the replacement of the Current Unit with the proposed Substitute Unit; (ii) the proposed Substitute Unit cannot be designated under any other firm power sale obligation by Seller for the proposed replacement period; (iii) during the 365</w:t>
      </w:r>
      <w:r w:rsidR="00F370D1">
        <w:t>/366</w:t>
      </w:r>
      <w:r>
        <w:t xml:space="preserve"> Days period before Seller’s notice to GPC proposing the replacement, the proposed Substitute Unit had a Forced Outage rate that was less than the Forced Outage rate during the same period for the Current Unit, or, if the proposed Substitute Unit cannot satisfy the Forced Outage rate requirement, Seller demonstrates to GPC’s satisfaction that the reasonably anticipated availability of the proposed Substitute Unit during the next Annual Period will be equal to or greater than the reasonably anticipated availability of the Current Unit, in each case based on credible information, analysis and projections; (iv) the Declared Standard Capacity of the proposed Substitute Unit, as determined in accordance with Exhibit B (</w:t>
      </w:r>
      <w:r>
        <w:rPr>
          <w:i/>
        </w:rPr>
        <w:t>Capacity; Capacity Payments and Payment Reductions; Buydown</w:t>
      </w:r>
      <w:r>
        <w:t>), will be no less than the lower limit of the Standard Capacity Range; (v) the Declared Winter Capacity of the proposed Substitute Unit, as determined in accordance with Exhibit B, will be no less than the lower limit of the Winter Capacity Range; (v) the Declared Standard Base Capacity and the Declared Standard Supplemental Capacity of the proposed Substitute Unit, as determined in accordance with Exhibit B, will not exceed the Declared Standard Base Capacity and the Declared Standard Supplemental Capacity, respectively, of the Current Unit; and (vi) the Declared Winter Base Capacity and the Declared Winter Supplemental Capacity of the proposed Substitute Unit, as determined in accordance with Exhibit B, will not exceed the Declared Winter Base Capacity and the Declared Winter Supplemental Capacity, respectively, of the Current Unit.</w:t>
      </w:r>
    </w:p>
    <w:p w:rsidRPr="00BF5DF7" w:rsidR="00E551AD" w:rsidP="00E551AD" w:rsidRDefault="005A3478" w14:paraId="7935A671" w14:textId="3B953E63">
      <w:pPr>
        <w:pStyle w:val="zGTC03"/>
      </w:pPr>
      <w:r>
        <w:rPr>
          <w:b/>
        </w:rPr>
        <w:t xml:space="preserve">Performance Testing. </w:t>
      </w:r>
      <w:r>
        <w:t>If Seller provides notice proposing the replacement of the Current Unit with a Substitute Unit in accordance with Section 4.4.1 (</w:t>
      </w:r>
      <w:r>
        <w:rPr>
          <w:i/>
        </w:rPr>
        <w:t>Current Unit Replacement with Substitute Unit</w:t>
      </w:r>
      <w:r>
        <w:t>), Seller must, as part of the proposal and at Seller’s expense, complete a Performance Test on the proposed Substitute Unit in accordance with Exhibit E (</w:t>
      </w:r>
      <w:r>
        <w:rPr>
          <w:i/>
        </w:rPr>
        <w:t>Performance Testing Procedures</w:t>
      </w:r>
      <w:r>
        <w:t>) to determine the Declared Capacity Values of the Substitute Unit in accordance with Exhibit B (</w:t>
      </w:r>
      <w:r>
        <w:rPr>
          <w:i/>
        </w:rPr>
        <w:t>Capacity; Capacity Payments and Payment Reductions; Buydown</w:t>
      </w:r>
      <w:r>
        <w:t>).</w:t>
      </w:r>
    </w:p>
    <w:p w:rsidRPr="00BF5DF7" w:rsidR="00E551AD" w:rsidP="00E551AD" w:rsidRDefault="00833C39" w14:paraId="29FE7AEC" w14:textId="2EC15009">
      <w:pPr>
        <w:pStyle w:val="zGTC03"/>
      </w:pPr>
      <w:r>
        <w:rPr>
          <w:b/>
        </w:rPr>
        <w:t xml:space="preserve">Supporting Information and Documentation. </w:t>
      </w:r>
      <w:r>
        <w:t>Seller’s notice to GPC proposing the replacement of the Current Unit with the Substitute Unit must contain necessary supporting information and documentation regarding Substitution Eligibility Criteria definition items (ii), (iii), (iv), and (v). If Seller proposes the replacement of the Current Unit with a Substitute Unit for a period less than the remainder of the Term, the proposal must include details regarding the subsequent replacement of the Substitute Unit under this Section 4.4 (</w:t>
      </w:r>
      <w:r>
        <w:rPr>
          <w:i/>
        </w:rPr>
        <w:t>Substitution of a Unit at the Site</w:t>
      </w:r>
      <w:r>
        <w:t>) at the end of the defined period.</w:t>
      </w:r>
    </w:p>
    <w:p w:rsidRPr="00BF5DF7" w:rsidR="00E551AD" w:rsidP="00E551AD" w:rsidRDefault="00872285" w14:paraId="78E5125A" w14:textId="76B33575">
      <w:pPr>
        <w:pStyle w:val="zGTC03"/>
      </w:pPr>
      <w:r>
        <w:rPr>
          <w:b/>
        </w:rPr>
        <w:t xml:space="preserve">Additional Terms for Subsequent Replacement of Substitute Unit. </w:t>
      </w:r>
      <w:r>
        <w:t>In the case of a proposal for the replacement of the Current Unit with a Substitute Unit for a period less than the remainder of the Term, GPC may require, as a condition to GPC’s acceptance of the proposed Substitute Unit, additional terms to address the subsequent replacement of the Substitute Unit under this Section 4.4 (</w:t>
      </w:r>
      <w:r>
        <w:rPr>
          <w:i/>
        </w:rPr>
        <w:t>Substitution of a Unit at the Site</w:t>
      </w:r>
      <w:r>
        <w:t>) at the end of the defined period.</w:t>
      </w:r>
    </w:p>
    <w:p w:rsidRPr="00BF5DF7" w:rsidR="00E551AD" w:rsidP="00E551AD" w:rsidRDefault="00CA5E84" w14:paraId="74F39008" w14:textId="49283ADE">
      <w:pPr>
        <w:pStyle w:val="zGTC03"/>
      </w:pPr>
      <w:r>
        <w:rPr>
          <w:b/>
        </w:rPr>
        <w:t xml:space="preserve">Replacement with Substitute Unit After Acceptance. </w:t>
      </w:r>
      <w:r>
        <w:t xml:space="preserve">If GPC, in its sole discretion, accepts the proposed Substitute Unit, the Substitute Unit </w:t>
      </w:r>
      <w:r w:rsidR="00502C3B">
        <w:t xml:space="preserve">will replace the Current Unit </w:t>
      </w:r>
      <w:r>
        <w:t>as the Facility under this PPA, effective as of the replacement date as determined under Section 4.4.1 (</w:t>
      </w:r>
      <w:r>
        <w:rPr>
          <w:i/>
        </w:rPr>
        <w:t>Current Unit Replacement with Substitute Unit</w:t>
      </w:r>
      <w:r>
        <w:t>).</w:t>
      </w:r>
    </w:p>
    <w:p w:rsidRPr="00BF5DF7" w:rsidR="001A5684" w:rsidP="00201323" w:rsidRDefault="00201323" w14:paraId="6D94BFDF" w14:textId="2BFCA99D">
      <w:pPr>
        <w:pStyle w:val="zGTC01"/>
        <w:rPr>
          <w:rFonts w:ascii="Arial" w:hAnsi="Arial"/>
          <w:szCs w:val="20"/>
        </w:rPr>
      </w:pPr>
      <w:bookmarkStart w:name="_Toc212472971" w:id="63"/>
      <w:bookmarkStart w:name="_Toc227840659" w:id="64"/>
      <w:r>
        <w:rPr>
          <w:rFonts w:ascii="Arial" w:hAnsi="Arial"/>
          <w:szCs w:val="20"/>
        </w:rPr>
        <w:t>Billing and Collections</w:t>
      </w:r>
      <w:bookmarkEnd w:id="63"/>
      <w:bookmarkEnd w:id="64"/>
    </w:p>
    <w:p w:rsidRPr="00BF5DF7" w:rsidR="00201323" w:rsidP="00201323" w:rsidRDefault="00201323" w14:paraId="6E45BF13" w14:textId="5169C6B6">
      <w:pPr>
        <w:pStyle w:val="zGTC02"/>
        <w:rPr>
          <w:rFonts w:ascii="Arial" w:hAnsi="Arial" w:eastAsia="PMingLiU" w:cs="Arial"/>
          <w:vanish/>
          <w:szCs w:val="20"/>
          <w:specVanish/>
        </w:rPr>
      </w:pPr>
      <w:bookmarkStart w:name="_Toc212472972" w:id="65"/>
      <w:bookmarkStart w:name="_Toc227840660" w:id="66"/>
      <w:r>
        <w:rPr>
          <w:rFonts w:ascii="Arial" w:hAnsi="Arial" w:cs="Arial"/>
          <w:szCs w:val="20"/>
        </w:rPr>
        <w:t>Capacity and Energy Billing and Payment.</w:t>
      </w:r>
      <w:bookmarkEnd w:id="65"/>
      <w:bookmarkEnd w:id="66"/>
    </w:p>
    <w:p w:rsidRPr="00BF5DF7" w:rsidR="001A5684" w:rsidP="00DA773E" w:rsidRDefault="001A5684" w14:paraId="79F33606" w14:textId="71F9F32B">
      <w:pPr>
        <w:pStyle w:val="zGTC02"/>
        <w:numPr>
          <w:ilvl w:val="0"/>
          <w:numId w:val="0"/>
        </w:numPr>
        <w:rPr>
          <w:rFonts w:ascii="Arial" w:hAnsi="Arial" w:cs="Arial"/>
          <w:szCs w:val="20"/>
        </w:rPr>
      </w:pPr>
    </w:p>
    <w:p w:rsidRPr="00BF5DF7" w:rsidR="002D76B2" w:rsidP="002D76B2" w:rsidRDefault="005036B2" w14:paraId="1CF2A040" w14:textId="4445677F">
      <w:pPr>
        <w:pStyle w:val="zGTC03"/>
      </w:pPr>
      <w:r>
        <w:rPr>
          <w:b/>
        </w:rPr>
        <w:t xml:space="preserve">Seller Invoices. </w:t>
      </w:r>
      <w:r>
        <w:t>Subject to Section 5.2 (</w:t>
      </w:r>
      <w:r>
        <w:rPr>
          <w:i/>
        </w:rPr>
        <w:t>Billing Disputes and Final Accounting</w:t>
      </w:r>
      <w:r>
        <w:t>), by no later than</w:t>
      </w:r>
      <w:r>
        <w:rPr>
          <w:vertAlign w:val="superscript"/>
        </w:rPr>
        <w:t xml:space="preserve"> </w:t>
      </w:r>
      <w:r>
        <w:t>the 10th Day of each Month (commencing with the first Month after the Delivery Commencement Date), Seller must send GPC an invoice stating the Monthly Capacity Payment, the Monthly Energy Payment, and, if applicable, any Monthly Availability Adjustment for the immediately preceding Month (“</w:t>
      </w:r>
      <w:r>
        <w:rPr>
          <w:b/>
        </w:rPr>
        <w:t>Monthly Invoice</w:t>
      </w:r>
      <w:r>
        <w:t>”). If</w:t>
      </w:r>
      <w:r>
        <w:rPr>
          <w:vertAlign w:val="superscript"/>
        </w:rPr>
        <w:t xml:space="preserve"> </w:t>
      </w:r>
      <w:r>
        <w:t>the 10th Day is not a Business Day, Seller must send GPC the applicable Monthly Invoice by no later than the Business Day succeeding</w:t>
      </w:r>
      <w:r>
        <w:rPr>
          <w:vertAlign w:val="superscript"/>
        </w:rPr>
        <w:t xml:space="preserve"> </w:t>
      </w:r>
      <w:r>
        <w:t>the 10th Day. The invoice must specify any other payment required to be made by either Party in accordance with this PPA.</w:t>
      </w:r>
    </w:p>
    <w:p w:rsidRPr="00BF5DF7" w:rsidR="00E377BD" w:rsidP="002D76B2" w:rsidRDefault="00DC24DB" w14:paraId="0EB711FB" w14:textId="3B9F69E3">
      <w:pPr>
        <w:pStyle w:val="zGTC03"/>
      </w:pPr>
      <w:r>
        <w:rPr>
          <w:b/>
        </w:rPr>
        <w:t>Notice of Invoice Adjustments.</w:t>
      </w:r>
      <w:r>
        <w:t xml:space="preserve"> By no later than the 10th Business Day of each Month (commencing with first Month after the Delivery Commencement Date), GPC will provide Seller notice of any amount that must be deducted from amounts owed by GPC to Seller, including, if applicable, any </w:t>
      </w:r>
      <w:r>
        <w:lastRenderedPageBreak/>
        <w:t xml:space="preserve">Monthly Availability Adjustment for the immediately preceding Month or true-up. </w:t>
      </w:r>
      <w:r w:rsidR="001C266D">
        <w:t>After receipt of GPC’s notice, Seller must provide an appropriately adjusted Monthly Invoice.</w:t>
      </w:r>
    </w:p>
    <w:p w:rsidRPr="00BF5DF7" w:rsidR="002D76B2" w:rsidP="33351F9A" w:rsidRDefault="00AC4316" w14:paraId="7FF4976C" w14:textId="287BC8E0">
      <w:pPr>
        <w:pStyle w:val="zGTC03"/>
      </w:pPr>
      <w:r>
        <w:rPr>
          <w:b/>
        </w:rPr>
        <w:t xml:space="preserve">Invoice Payments. </w:t>
      </w:r>
      <w:r>
        <w:t>GPC will pay</w:t>
      </w:r>
      <w:r>
        <w:rPr>
          <w:b/>
        </w:rPr>
        <w:t xml:space="preserve"> </w:t>
      </w:r>
      <w:r>
        <w:t>all Monthly Invoices on or before</w:t>
      </w:r>
      <w:r>
        <w:rPr>
          <w:vertAlign w:val="superscript"/>
        </w:rPr>
        <w:t xml:space="preserve"> </w:t>
      </w:r>
      <w:r>
        <w:t>the 20th Day after GPC’s receipt of the Monthly Invoice. If</w:t>
      </w:r>
      <w:r>
        <w:rPr>
          <w:vertAlign w:val="superscript"/>
        </w:rPr>
        <w:t xml:space="preserve"> </w:t>
      </w:r>
      <w:r>
        <w:t>the 20th Day is not a Business Day, then GPC may pay the Monthly Invoice by the Business Day succeeding</w:t>
      </w:r>
      <w:r>
        <w:rPr>
          <w:vertAlign w:val="superscript"/>
        </w:rPr>
        <w:t xml:space="preserve"> </w:t>
      </w:r>
      <w:r>
        <w:t>the 20th Day. Subject to Sections 5.1.4 (</w:t>
      </w:r>
      <w:r>
        <w:rPr>
          <w:i/>
        </w:rPr>
        <w:t>Net Payment or Net Bill</w:t>
      </w:r>
      <w:r>
        <w:t>) and 5.2 (</w:t>
      </w:r>
      <w:r>
        <w:rPr>
          <w:i/>
        </w:rPr>
        <w:t>Billing Disputes and Final Accounting</w:t>
      </w:r>
      <w:r>
        <w:t>), GPC will pay Seller in accordance with the Monthly Invoice by the due date in immediately available funds through wire transfer of funds to an account designated by Seller, or other means acceptable to Seller. Interest on unpaid amounts will accrue from the date the payment was due at a rate equal to the Interest Rate. Each Monthly Invoice will contain a statement explaining in reasonable detail how the invoice was calculated in accordance with Sections 4.2 (</w:t>
      </w:r>
      <w:r>
        <w:rPr>
          <w:i/>
        </w:rPr>
        <w:t>Calculation of Monthly Capacity Payments</w:t>
      </w:r>
      <w:r>
        <w:t>) and 4.3 (</w:t>
      </w:r>
      <w:r>
        <w:rPr>
          <w:i/>
        </w:rPr>
        <w:t>Calculation of Monthly Energy Payments</w:t>
      </w:r>
      <w:r>
        <w:t>).</w:t>
      </w:r>
    </w:p>
    <w:p w:rsidRPr="00BF5DF7" w:rsidR="00493E9C" w:rsidP="33351F9A" w:rsidRDefault="00493E9C" w14:paraId="7FFB1255" w14:textId="525BEFEE">
      <w:pPr>
        <w:pStyle w:val="zGTC03"/>
      </w:pPr>
      <w:r>
        <w:rPr>
          <w:b/>
        </w:rPr>
        <w:t xml:space="preserve">Net Payment or Net Bill. </w:t>
      </w:r>
      <w:r>
        <w:t>GPC may provide a net payment or net bill, whichever is applicable, that consolidates amounts owing to Seller with amounts owing to GPC</w:t>
      </w:r>
      <w:r w:rsidR="005E1160">
        <w:t xml:space="preserve"> under this PPA</w:t>
      </w:r>
      <w:r>
        <w:t>.</w:t>
      </w:r>
    </w:p>
    <w:p w:rsidRPr="00BF5DF7" w:rsidR="00201323" w:rsidP="00201323" w:rsidRDefault="00201323" w14:paraId="0370E87C" w14:textId="37512455">
      <w:pPr>
        <w:pStyle w:val="zGTC02"/>
        <w:rPr>
          <w:rFonts w:ascii="Arial" w:hAnsi="Arial" w:eastAsia="PMingLiU" w:cs="Arial"/>
          <w:vanish/>
          <w:szCs w:val="20"/>
          <w:specVanish/>
        </w:rPr>
      </w:pPr>
      <w:bookmarkStart w:name="_Toc212472973" w:id="67"/>
      <w:bookmarkStart w:name="_Toc227840661" w:id="68"/>
      <w:r>
        <w:rPr>
          <w:rFonts w:ascii="Arial" w:hAnsi="Arial" w:cs="Arial"/>
          <w:szCs w:val="20"/>
        </w:rPr>
        <w:t>Billing Disputes and Final Accounting.</w:t>
      </w:r>
      <w:bookmarkEnd w:id="67"/>
      <w:bookmarkEnd w:id="68"/>
    </w:p>
    <w:p w:rsidRPr="00BF5DF7" w:rsidR="00201323" w:rsidP="00DA773E" w:rsidRDefault="00201323" w14:paraId="58E79292" w14:textId="03DB9A7F">
      <w:pPr>
        <w:pStyle w:val="zGTC02"/>
        <w:numPr>
          <w:ilvl w:val="0"/>
          <w:numId w:val="0"/>
        </w:numPr>
        <w:rPr>
          <w:rFonts w:ascii="Arial" w:hAnsi="Arial" w:cs="Arial"/>
          <w:szCs w:val="20"/>
        </w:rPr>
      </w:pPr>
    </w:p>
    <w:p w:rsidRPr="00BF5DF7" w:rsidR="002D76B2" w:rsidP="33351F9A" w:rsidRDefault="00F804D5" w14:paraId="1AC29B55" w14:textId="4596D1F8">
      <w:pPr>
        <w:pStyle w:val="zGTC03"/>
      </w:pPr>
      <w:r>
        <w:rPr>
          <w:b/>
        </w:rPr>
        <w:t xml:space="preserve">Payment of Undisputed Amounts. </w:t>
      </w:r>
      <w:r>
        <w:t xml:space="preserve">If GPC questions or disputes the amount or propriety of any payment Seller claims to be due under this PPA, GPC will pay Seller </w:t>
      </w:r>
      <w:r w:rsidR="00B32AA6">
        <w:t xml:space="preserve">any </w:t>
      </w:r>
      <w:r>
        <w:t xml:space="preserve">amount not in dispute but may withhold </w:t>
      </w:r>
      <w:r w:rsidR="00B32AA6">
        <w:t xml:space="preserve">any </w:t>
      </w:r>
      <w:r>
        <w:t>amount disputed in good faith until after the settlement of the question or contest in accordance with this Section 5.2 (</w:t>
      </w:r>
      <w:r>
        <w:rPr>
          <w:i/>
          <w:iCs/>
        </w:rPr>
        <w:t>Billing Disputes and Final Accounting</w:t>
      </w:r>
      <w:r>
        <w:t>).</w:t>
      </w:r>
    </w:p>
    <w:p w:rsidRPr="00BF5DF7" w:rsidR="002D76B2" w:rsidP="33351F9A" w:rsidRDefault="001C1A97" w14:paraId="65823CDB" w14:textId="62D6294B">
      <w:pPr>
        <w:pStyle w:val="zGTC03"/>
      </w:pPr>
      <w:r>
        <w:rPr>
          <w:b/>
        </w:rPr>
        <w:t xml:space="preserve">Billing Dispute Notice. </w:t>
      </w:r>
      <w:r w:rsidRPr="00B90AE6" w:rsidR="00B90AE6">
        <w:rPr>
          <w:bCs/>
        </w:rPr>
        <w:t>If GPC question</w:t>
      </w:r>
      <w:r w:rsidR="008A02FF">
        <w:rPr>
          <w:bCs/>
        </w:rPr>
        <w:t>s</w:t>
      </w:r>
      <w:r w:rsidRPr="00B90AE6" w:rsidR="00B90AE6">
        <w:rPr>
          <w:bCs/>
        </w:rPr>
        <w:t xml:space="preserve"> or dispute</w:t>
      </w:r>
      <w:r w:rsidR="008A02FF">
        <w:rPr>
          <w:bCs/>
        </w:rPr>
        <w:t>s</w:t>
      </w:r>
      <w:r w:rsidRPr="00B90AE6" w:rsidR="00B90AE6">
        <w:rPr>
          <w:bCs/>
        </w:rPr>
        <w:t xml:space="preserve"> the correctness of any invoice charge or credit, GPC must provide notice to Seller containing the amount and basis for GPC’s question or dispute within the time provided in Section 5.2.3 (</w:t>
      </w:r>
      <w:r w:rsidRPr="00B90AE6" w:rsidR="00B90AE6">
        <w:rPr>
          <w:bCs/>
          <w:i/>
          <w:iCs/>
        </w:rPr>
        <w:t>Time for Permitted Disputes</w:t>
      </w:r>
      <w:r w:rsidRPr="00B90AE6" w:rsidR="00B90AE6">
        <w:rPr>
          <w:bCs/>
        </w:rPr>
        <w:t>). Upon receipt of notice from GPC, Seller must promptly review the questioned charge or credit and by no later than 30 Days after the date Seller receives GPC’s notice: (i) respond to GPC in writing confirming or denying any error in Seller’s previous determination of amounts owed by GPC; and (ii) if applicable, issue an amended invoice for any payment that GPC is required to make regarding the re-determination. If Seller disagrees with GPC’s question or dispute, Seller’s response must include a reasonably detailed explanation of the basis for Seller’s position, including supporting calculations and documentation. If GPC in good faith disputes Seller’s response or amended invoice, the matter will be a Billing Dispute and resolved in accordance with Part 19 (</w:t>
      </w:r>
      <w:r w:rsidRPr="00B90AE6" w:rsidR="00B90AE6">
        <w:rPr>
          <w:bCs/>
          <w:i/>
        </w:rPr>
        <w:t>Dispute Resolution</w:t>
      </w:r>
      <w:r w:rsidRPr="00B90AE6" w:rsidR="00B90AE6">
        <w:rPr>
          <w:bCs/>
        </w:rPr>
        <w:t>).</w:t>
      </w:r>
    </w:p>
    <w:p w:rsidRPr="00BF5DF7" w:rsidR="002D76B2" w:rsidP="002D76B2" w:rsidRDefault="00F150CF" w14:paraId="073CC95F" w14:textId="7584FBAD">
      <w:pPr>
        <w:pStyle w:val="zGTC03"/>
      </w:pPr>
      <w:r>
        <w:rPr>
          <w:b/>
        </w:rPr>
        <w:t xml:space="preserve">Time for Permitted Disputes. </w:t>
      </w:r>
      <w:r>
        <w:t xml:space="preserve">Seller will have until 90 Days after the date of a Monthly Invoice to: (i) correct the </w:t>
      </w:r>
      <w:r w:rsidR="00170F0C">
        <w:t xml:space="preserve">Monthly Invoice </w:t>
      </w:r>
      <w:r>
        <w:t xml:space="preserve">for payment due for the Monthly Capacity Payment; and (ii) deliver a corrected Monthly Invoice to GPC. GPC will have until the end of one year after its receipt of any Monthly Invoice or </w:t>
      </w:r>
      <w:r w:rsidR="00170F0C">
        <w:t xml:space="preserve">adjusted </w:t>
      </w:r>
      <w:r>
        <w:t xml:space="preserve">Monthly Invoice to dispute the correctness of any charge or credit made to GPC on </w:t>
      </w:r>
      <w:r w:rsidR="00BE540B">
        <w:t>the</w:t>
      </w:r>
      <w:r>
        <w:t xml:space="preserve"> invoice. If, within the one-year period, GPC has made payment under a Monthly Invoice and later disputes the correctness of the invoice, Seller will not be required to refund any payment received from GPC until the time as it is finally determined that Seller’s Monthly Invoice was in error.</w:t>
      </w:r>
    </w:p>
    <w:p w:rsidRPr="00BF5DF7" w:rsidR="00201323" w:rsidP="00201323" w:rsidRDefault="00201323" w14:paraId="3D552227" w14:textId="25D2E7C1">
      <w:pPr>
        <w:pStyle w:val="zGTC02"/>
        <w:rPr>
          <w:rFonts w:ascii="Arial" w:hAnsi="Arial" w:eastAsia="PMingLiU" w:cs="Arial"/>
          <w:vanish/>
          <w:szCs w:val="20"/>
          <w:specVanish/>
        </w:rPr>
      </w:pPr>
      <w:bookmarkStart w:name="_Toc212472974" w:id="69"/>
      <w:bookmarkStart w:name="_Toc227840662" w:id="70"/>
      <w:r>
        <w:rPr>
          <w:rFonts w:ascii="Arial" w:hAnsi="Arial" w:cs="Arial"/>
          <w:szCs w:val="20"/>
        </w:rPr>
        <w:t>Interest.</w:t>
      </w:r>
      <w:bookmarkEnd w:id="69"/>
      <w:bookmarkEnd w:id="70"/>
    </w:p>
    <w:p w:rsidRPr="00BF5DF7" w:rsidR="00201323" w:rsidP="002D76B2" w:rsidRDefault="002D76B2" w14:paraId="19E4AC97" w14:textId="0F849534">
      <w:pPr>
        <w:pStyle w:val="zGNormal"/>
      </w:pPr>
      <w:r>
        <w:t xml:space="preserve"> If either Party does not make a payment required by this PPA when due, then interest at the Interest Rate from the date the overdue payment was due until the overdue payment, together with interest, is paid, will be added to the due payment. If either Party makes a payment in accordance with an invoice that is later determined to have been incorrect, then interest at the Interest Rate from the date the overpayment was made will be added to the overpayment until the overpayment, together with interest, is refunded to the Party. Remittance received by mail, if mail is a means of payment acceptable to a Party owed payment, will be accepted without interest charges if the payment is postmarked on or before the due date. If the due date of any payment falls on a Day other than a Business Day, the next succeeding Business Day will be the last Day on which payment can be postmarked without interest charges being assessed. Despite this Section 5.3 (</w:t>
      </w:r>
      <w:r>
        <w:rPr>
          <w:i/>
          <w:iCs/>
        </w:rPr>
        <w:t>Interest</w:t>
      </w:r>
      <w:r>
        <w:t>) no interest will be paid regarding any Monthly Availability Adjustment except to the extent the Monthly Availability Adjustment was not correctly calculated or invoiced in accordance with this PPA.</w:t>
      </w:r>
    </w:p>
    <w:p w:rsidRPr="00BF5DF7" w:rsidR="00201323" w:rsidP="00201323" w:rsidRDefault="00201323" w14:paraId="68057B17" w14:textId="5854CD8C">
      <w:pPr>
        <w:pStyle w:val="zGTC02"/>
        <w:rPr>
          <w:rFonts w:ascii="Arial" w:hAnsi="Arial" w:eastAsia="PMingLiU" w:cs="Arial"/>
          <w:vanish/>
          <w:szCs w:val="20"/>
          <w:specVanish/>
        </w:rPr>
      </w:pPr>
      <w:bookmarkStart w:name="_Toc212472975" w:id="71"/>
      <w:bookmarkStart w:name="_Toc227840663" w:id="72"/>
      <w:r>
        <w:rPr>
          <w:rFonts w:ascii="Arial" w:hAnsi="Arial" w:cs="Arial"/>
          <w:szCs w:val="20"/>
        </w:rPr>
        <w:t>Billing and Payment Records.</w:t>
      </w:r>
      <w:bookmarkEnd w:id="71"/>
      <w:bookmarkEnd w:id="72"/>
    </w:p>
    <w:p w:rsidRPr="00BF5DF7" w:rsidR="00201323" w:rsidP="002D76B2" w:rsidRDefault="002D76B2" w14:paraId="4E64F8C7" w14:textId="09B81B4E">
      <w:pPr>
        <w:pStyle w:val="zGNormal"/>
      </w:pPr>
      <w:r>
        <w:t xml:space="preserve"> Each Party will, until the end of one year after its receipt of any invoice, make available to the other Party, and each Party may audit, the books and records of the other Party as are necessary for the Party to verify the calculation of the Monthly Capacity Payments, the Monthly Energy Payments, and any Monthly Availability Adjustment, and any other invoice, charge, or payment demand made </w:t>
      </w:r>
      <w:r w:rsidR="00BB0148">
        <w:t>concerning</w:t>
      </w:r>
      <w:r>
        <w:t xml:space="preserve"> this PPA.</w:t>
      </w:r>
    </w:p>
    <w:p w:rsidRPr="00BF5DF7" w:rsidR="001A5684" w:rsidP="00201323" w:rsidRDefault="00201323" w14:paraId="50AC481A" w14:textId="4FE582B4">
      <w:pPr>
        <w:pStyle w:val="zGTC01"/>
        <w:rPr>
          <w:rFonts w:ascii="Arial" w:hAnsi="Arial"/>
          <w:szCs w:val="20"/>
        </w:rPr>
      </w:pPr>
      <w:bookmarkStart w:name="_Toc212472976" w:id="73"/>
      <w:bookmarkStart w:name="_Toc227840664" w:id="74"/>
      <w:r>
        <w:rPr>
          <w:rFonts w:ascii="Arial" w:hAnsi="Arial"/>
          <w:szCs w:val="20"/>
        </w:rPr>
        <w:lastRenderedPageBreak/>
        <w:t>Performance Security</w:t>
      </w:r>
      <w:bookmarkEnd w:id="73"/>
      <w:bookmarkEnd w:id="74"/>
    </w:p>
    <w:p w:rsidRPr="00BF5DF7" w:rsidR="00201323" w:rsidP="00201323" w:rsidRDefault="00201323" w14:paraId="73907116" w14:textId="22C87999">
      <w:pPr>
        <w:pStyle w:val="zGTC02"/>
        <w:rPr>
          <w:rFonts w:ascii="Arial" w:hAnsi="Arial" w:eastAsia="PMingLiU" w:cs="Arial"/>
          <w:vanish/>
          <w:szCs w:val="20"/>
          <w:specVanish/>
        </w:rPr>
      </w:pPr>
      <w:bookmarkStart w:name="_Toc212472977" w:id="75"/>
      <w:bookmarkStart w:name="_Toc227840665" w:id="76"/>
      <w:r>
        <w:rPr>
          <w:rFonts w:ascii="Arial" w:hAnsi="Arial" w:cs="Arial"/>
          <w:szCs w:val="20"/>
        </w:rPr>
        <w:t>Performance Security.</w:t>
      </w:r>
      <w:bookmarkEnd w:id="75"/>
      <w:bookmarkEnd w:id="76"/>
    </w:p>
    <w:p w:rsidR="00F50DC5" w:rsidP="007328D4" w:rsidRDefault="006E0D92" w14:paraId="0015CF8E" w14:textId="241056D3">
      <w:pPr>
        <w:pStyle w:val="zGNormal"/>
      </w:pPr>
      <w:r>
        <w:t xml:space="preserve"> Simultaneous with the execution of this PPA, if Seller is not Creditworthy, Seller must deliver to GPC Eligible Collateral in an amount equal to the initial Performance Security required by Part 1 (</w:t>
      </w:r>
      <w:r>
        <w:rPr>
          <w:i/>
          <w:iCs/>
        </w:rPr>
        <w:t>Performance Security</w:t>
      </w:r>
      <w:r>
        <w:t>) of Exhibit A-2 (</w:t>
      </w:r>
      <w:r>
        <w:rPr>
          <w:i/>
          <w:iCs/>
        </w:rPr>
        <w:t>Performance Security and Liquidated Damages</w:t>
      </w:r>
      <w:r>
        <w:t xml:space="preserve">). If Seller is not Creditworthy or </w:t>
      </w:r>
      <w:r w:rsidR="008F2632">
        <w:t xml:space="preserve">later </w:t>
      </w:r>
      <w:r>
        <w:t xml:space="preserve">suffers a Material Adverse Change, Seller must maintain Performance Security throughout the Term or remaining Term, as applicable, in the applicable amount </w:t>
      </w:r>
      <w:r w:rsidR="007A690A">
        <w:t xml:space="preserve">required by </w:t>
      </w:r>
      <w:r>
        <w:t>Part 1 of Exhibit A-2 (which amount, if the Term is longer than five Annual Periods, is adjusted every five</w:t>
      </w:r>
      <w:r w:rsidR="00DC6FA6">
        <w:t xml:space="preserve"> Annual Periods</w:t>
      </w:r>
      <w:r>
        <w:t xml:space="preserve"> as shown in Part 1 of Exhibit A-2), and adjust its Eligible Collateral as and when required to comply with this Part 6 (</w:t>
      </w:r>
      <w:r>
        <w:rPr>
          <w:i/>
          <w:iCs/>
        </w:rPr>
        <w:t>Performance Security</w:t>
      </w:r>
      <w:r>
        <w:t>), including, if the Term is longer than five Annual Periods, to comply with adjustments to the required Performance Security</w:t>
      </w:r>
      <w:r w:rsidR="00DC6FA6">
        <w:t xml:space="preserve"> amount</w:t>
      </w:r>
      <w:r>
        <w:t xml:space="preserve"> in accordance with Part 1 of Exhibit A-2. If during the Term Seller suffers a Material Adverse Change, Seller must deliver to GPC the required Eligible Collateral within </w:t>
      </w:r>
      <w:r w:rsidR="00B01AA2">
        <w:t xml:space="preserve">five </w:t>
      </w:r>
      <w:r w:rsidR="00253990">
        <w:t>Banking</w:t>
      </w:r>
      <w:r>
        <w:t xml:space="preserve"> Days after the Material Adverse Change occurs</w:t>
      </w:r>
      <w:r w:rsidR="003F026B">
        <w:t>, subject to extension in accordance with Section 6.5 (</w:t>
      </w:r>
      <w:r w:rsidRPr="00500257" w:rsidR="003F026B">
        <w:rPr>
          <w:i/>
          <w:iCs/>
        </w:rPr>
        <w:t>Pre-Approval of Non-Cash Eligible Collateral</w:t>
      </w:r>
      <w:r w:rsidR="003F026B">
        <w:t>)</w:t>
      </w:r>
      <w:r>
        <w:t xml:space="preserve">. If: (i) any portion of the Eligible Collateral that GPC is then holding is in the form of a Seller Guaranty; and (ii) a Material Adverse Change occurs regarding Seller Guarantor, then by no later than </w:t>
      </w:r>
      <w:r w:rsidR="00DD38A9">
        <w:t>five</w:t>
      </w:r>
      <w:r>
        <w:t xml:space="preserve"> Banking Days after the Material Adverse Change occurrence, </w:t>
      </w:r>
      <w:r w:rsidR="00631081">
        <w:t xml:space="preserve">subject to extension in accordance with Section 6.5, </w:t>
      </w:r>
      <w:r>
        <w:t>Seller must deliver to GPC replacement Eligible Collateral to replace the Seller Guaranty: (a) in a form other than a Seller Guaranty; or (b) in the form of a Seller Guaranty from a different Seller Guarantor that is Creditworthy.</w:t>
      </w:r>
    </w:p>
    <w:p w:rsidRPr="00BF5DF7" w:rsidR="00F50DC5" w:rsidP="006673E0" w:rsidRDefault="00F50DC5" w14:paraId="45AAD8F1" w14:textId="5CA6A31C">
      <w:pPr>
        <w:pStyle w:val="zGTC03"/>
      </w:pPr>
      <w:r>
        <w:rPr>
          <w:b/>
          <w:bCs/>
        </w:rPr>
        <w:t>Requirements if Seller Becomes Creditworthy.</w:t>
      </w:r>
      <w:r>
        <w:t xml:space="preserve"> If, during the Term, Seller has provided Performance Security to GPC in accordance with the requirements of this Part 6 (</w:t>
      </w:r>
      <w:r>
        <w:rPr>
          <w:i/>
          <w:iCs/>
        </w:rPr>
        <w:t>Performance Security</w:t>
      </w:r>
      <w:r>
        <w:t>) and either: (i) Seller becomes Creditworthy; or (ii) Seller assigns this PPA in accordance with Section 18.1.1 (</w:t>
      </w:r>
      <w:r>
        <w:rPr>
          <w:i/>
          <w:iCs/>
        </w:rPr>
        <w:t>Assignment by Seller</w:t>
      </w:r>
      <w:r>
        <w:t>) to a Person (other than a Financing Assignment) that is Creditworthy, then in either case: (a) Seller or such Person, as applicable, will not be required to maintain Performance Security for so long as it is Creditworthy; and (b) GPC will return Seller’s Eligible Collateral within five Business Days after Seller becomes Creditworthy or the effective date of the assignment, as applicable.</w:t>
      </w:r>
    </w:p>
    <w:p w:rsidRPr="00BF5DF7" w:rsidR="00201323" w:rsidP="00201323" w:rsidRDefault="00201323" w14:paraId="0ECF5A6E" w14:textId="3CBBA995">
      <w:pPr>
        <w:pStyle w:val="zGTC02"/>
        <w:rPr>
          <w:rFonts w:ascii="Arial" w:hAnsi="Arial" w:eastAsia="PMingLiU" w:cs="Arial"/>
          <w:vanish/>
          <w:szCs w:val="20"/>
          <w:specVanish/>
        </w:rPr>
      </w:pPr>
      <w:bookmarkStart w:name="_Toc212472978" w:id="77"/>
      <w:bookmarkStart w:name="_Toc227840666" w:id="78"/>
      <w:r>
        <w:rPr>
          <w:rFonts w:ascii="Arial" w:hAnsi="Arial" w:cs="Arial"/>
          <w:szCs w:val="20"/>
        </w:rPr>
        <w:t>Replacement Collateral; Substituted Collateral; Release of Collateral.</w:t>
      </w:r>
      <w:bookmarkEnd w:id="77"/>
      <w:bookmarkEnd w:id="78"/>
    </w:p>
    <w:p w:rsidRPr="00BF5DF7" w:rsidR="00201323" w:rsidP="00DA773E" w:rsidRDefault="00201323" w14:paraId="4AF2912D" w14:textId="0E2C0BE0">
      <w:pPr>
        <w:pStyle w:val="zGTC02"/>
        <w:numPr>
          <w:ilvl w:val="0"/>
          <w:numId w:val="0"/>
        </w:numPr>
        <w:rPr>
          <w:rFonts w:ascii="Arial" w:hAnsi="Arial" w:cs="Arial"/>
          <w:szCs w:val="20"/>
        </w:rPr>
      </w:pPr>
    </w:p>
    <w:p w:rsidRPr="00BF5DF7" w:rsidR="006E0D92" w:rsidP="0099455A" w:rsidRDefault="006E0D92" w14:paraId="4AD04832" w14:textId="0D73138C">
      <w:pPr>
        <w:pStyle w:val="zGTC03"/>
        <w:rPr>
          <w:rStyle w:val="DeltaViewInsertion"/>
          <w:color w:val="auto"/>
          <w:u w:val="none"/>
        </w:rPr>
      </w:pPr>
      <w:r>
        <w:rPr>
          <w:b/>
          <w:bCs/>
          <w:w w:val="0"/>
        </w:rPr>
        <w:t>Replacement Collateral</w:t>
      </w:r>
      <w:r>
        <w:rPr>
          <w:w w:val="0"/>
        </w:rPr>
        <w:t>. To the extent that any Performance Security supplement or replacement is required to maintain compliance with Section 6.1 (</w:t>
      </w:r>
      <w:r>
        <w:rPr>
          <w:i/>
          <w:iCs/>
          <w:w w:val="0"/>
        </w:rPr>
        <w:t>Performance Security</w:t>
      </w:r>
      <w:r>
        <w:rPr>
          <w:w w:val="0"/>
        </w:rPr>
        <w:t xml:space="preserve">) </w:t>
      </w:r>
      <w:r>
        <w:rPr>
          <w:rStyle w:val="DeltaViewInsertion"/>
          <w:color w:val="auto"/>
          <w:w w:val="0"/>
          <w:u w:val="none"/>
        </w:rPr>
        <w:t xml:space="preserve">(including any adjustments to the required Performance Security </w:t>
      </w:r>
      <w:r w:rsidR="00DE18E5">
        <w:rPr>
          <w:rStyle w:val="DeltaViewInsertion"/>
          <w:color w:val="auto"/>
          <w:w w:val="0"/>
          <w:u w:val="none"/>
        </w:rPr>
        <w:t xml:space="preserve">amount </w:t>
      </w:r>
      <w:r>
        <w:rPr>
          <w:rStyle w:val="DeltaViewInsertion"/>
          <w:color w:val="auto"/>
          <w:w w:val="0"/>
          <w:u w:val="none"/>
        </w:rPr>
        <w:t>in accordance with Part 1 (</w:t>
      </w:r>
      <w:r>
        <w:rPr>
          <w:rStyle w:val="DeltaViewInsertion"/>
          <w:i/>
          <w:color w:val="auto"/>
          <w:w w:val="0"/>
          <w:u w:val="none"/>
        </w:rPr>
        <w:t>Performance Security</w:t>
      </w:r>
      <w:r>
        <w:rPr>
          <w:rStyle w:val="DeltaViewInsertion"/>
          <w:color w:val="auto"/>
          <w:w w:val="0"/>
          <w:u w:val="none"/>
        </w:rPr>
        <w:t>) of Exhibit A-2 (</w:t>
      </w:r>
      <w:r>
        <w:rPr>
          <w:rStyle w:val="DeltaViewInsertion"/>
          <w:i/>
          <w:color w:val="auto"/>
          <w:w w:val="0"/>
          <w:u w:val="none"/>
        </w:rPr>
        <w:t>Performance Security and Liquidated Damages</w:t>
      </w:r>
      <w:r>
        <w:rPr>
          <w:rStyle w:val="DeltaViewInsertion"/>
          <w:color w:val="auto"/>
          <w:w w:val="0"/>
          <w:u w:val="none"/>
        </w:rPr>
        <w:t>))</w:t>
      </w:r>
      <w:r>
        <w:rPr>
          <w:w w:val="0"/>
        </w:rPr>
        <w:t xml:space="preserve">, Seller must deliver to </w:t>
      </w:r>
      <w:r>
        <w:t>GPC</w:t>
      </w:r>
      <w:r>
        <w:rPr>
          <w:w w:val="0"/>
        </w:rPr>
        <w:t xml:space="preserve"> the supplemental or replacement Performance Security by </w:t>
      </w:r>
      <w:r>
        <w:rPr>
          <w:rStyle w:val="DeltaViewInsertion"/>
          <w:color w:val="auto"/>
          <w:w w:val="0"/>
          <w:u w:val="none"/>
        </w:rPr>
        <w:t xml:space="preserve">no later than </w:t>
      </w:r>
      <w:r w:rsidR="00FD442D">
        <w:rPr>
          <w:rStyle w:val="DeltaViewInsertion"/>
          <w:color w:val="auto"/>
          <w:w w:val="0"/>
          <w:u w:val="none"/>
        </w:rPr>
        <w:t>45</w:t>
      </w:r>
      <w:r>
        <w:rPr>
          <w:rStyle w:val="DeltaViewInsertion"/>
          <w:color w:val="auto"/>
          <w:w w:val="0"/>
          <w:u w:val="none"/>
        </w:rPr>
        <w:t xml:space="preserve"> Days before the earlier to occur of: (i) </w:t>
      </w:r>
      <w:r w:rsidR="008739C1">
        <w:rPr>
          <w:rStyle w:val="DeltaViewInsertion"/>
          <w:color w:val="auto"/>
          <w:w w:val="0"/>
          <w:u w:val="none"/>
        </w:rPr>
        <w:t xml:space="preserve">the date when </w:t>
      </w:r>
      <w:r>
        <w:rPr>
          <w:rStyle w:val="DeltaViewInsertion"/>
          <w:color w:val="auto"/>
          <w:w w:val="0"/>
          <w:u w:val="none"/>
        </w:rPr>
        <w:t xml:space="preserve">an increase or decrease in Eligible Collateral is required </w:t>
      </w:r>
      <w:r>
        <w:t>in accordance with</w:t>
      </w:r>
      <w:r>
        <w:rPr>
          <w:rStyle w:val="DeltaViewInsertion"/>
          <w:color w:val="auto"/>
          <w:w w:val="0"/>
          <w:u w:val="none"/>
        </w:rPr>
        <w:t xml:space="preserve"> Part 1 of Exhibit A-2</w:t>
      </w:r>
      <w:r>
        <w:t>;</w:t>
      </w:r>
      <w:r>
        <w:rPr>
          <w:rStyle w:val="DeltaViewInsertion"/>
          <w:color w:val="auto"/>
          <w:w w:val="0"/>
          <w:u w:val="none"/>
        </w:rPr>
        <w:t xml:space="preserve"> or (ii) the</w:t>
      </w:r>
      <w:r w:rsidR="008739C1">
        <w:rPr>
          <w:rStyle w:val="DeltaViewInsertion"/>
          <w:color w:val="auto"/>
          <w:w w:val="0"/>
          <w:u w:val="none"/>
        </w:rPr>
        <w:t xml:space="preserve"> date when the</w:t>
      </w:r>
      <w:r>
        <w:rPr>
          <w:rStyle w:val="DeltaViewInsertion"/>
          <w:color w:val="auto"/>
          <w:w w:val="0"/>
          <w:u w:val="none"/>
        </w:rPr>
        <w:t xml:space="preserve"> existing Eligible Collateral will expire. However, the increase or decrease, as applicable, in Eligible Collateral will not become effective until the applicable date </w:t>
      </w:r>
      <w:r w:rsidR="000D51C9">
        <w:rPr>
          <w:rStyle w:val="DeltaViewInsertion"/>
          <w:color w:val="auto"/>
          <w:w w:val="0"/>
          <w:u w:val="none"/>
        </w:rPr>
        <w:t xml:space="preserve">indicated </w:t>
      </w:r>
      <w:r>
        <w:rPr>
          <w:rStyle w:val="DeltaViewInsertion"/>
          <w:color w:val="auto"/>
          <w:w w:val="0"/>
          <w:u w:val="none"/>
        </w:rPr>
        <w:t xml:space="preserve">in Part 1 of Exhibit A-2. If </w:t>
      </w:r>
      <w:r>
        <w:t>the U.S. commercial bank or a U.S. branch of a foreign bank that issued the Letter of Credit fails to maintain: (a) total assets of at least ten billion dollars ($10,000,000,000); or (b) a general long-term senior unsecured debt rating required for a Letter of Credit under this PPA, S</w:t>
      </w:r>
      <w:r>
        <w:rPr>
          <w:rStyle w:val="DeltaViewInsertion"/>
          <w:color w:val="auto"/>
          <w:w w:val="0"/>
          <w:u w:val="none"/>
        </w:rPr>
        <w:t xml:space="preserve">eller must deliver to GPC a replacement Letter of Credit by no later than 10 Banking Days after the disqualifying event of (a) or (b). If Seller does not comply with the previous sentence, </w:t>
      </w:r>
      <w:r>
        <w:t>GPC</w:t>
      </w:r>
      <w:r>
        <w:rPr>
          <w:rStyle w:val="DeltaViewInsertion"/>
          <w:color w:val="auto"/>
          <w:w w:val="0"/>
          <w:u w:val="none"/>
        </w:rPr>
        <w:t xml:space="preserve"> has the right,</w:t>
      </w:r>
      <w:r>
        <w:rPr>
          <w:rFonts w:eastAsia="Calibri"/>
        </w:rPr>
        <w:t xml:space="preserve"> without limitation to its other remedies under this PPA or at law, </w:t>
      </w:r>
      <w:r>
        <w:rPr>
          <w:rStyle w:val="DeltaViewInsertion"/>
          <w:color w:val="auto"/>
          <w:w w:val="0"/>
          <w:u w:val="none"/>
        </w:rPr>
        <w:t xml:space="preserve">to: (I) </w:t>
      </w:r>
      <w:r>
        <w:rPr>
          <w:w w:val="0"/>
        </w:rPr>
        <w:t xml:space="preserve">draw the full amount on the existing </w:t>
      </w:r>
      <w:r>
        <w:rPr>
          <w:rStyle w:val="DeltaViewInsertion"/>
          <w:color w:val="auto"/>
          <w:w w:val="0"/>
          <w:u w:val="none"/>
        </w:rPr>
        <w:t>Eligible Collateral before the expiration of the</w:t>
      </w:r>
      <w:r w:rsidR="000D51C9">
        <w:rPr>
          <w:rStyle w:val="DeltaViewInsertion"/>
          <w:color w:val="auto"/>
          <w:w w:val="0"/>
          <w:u w:val="none"/>
        </w:rPr>
        <w:t xml:space="preserve"> existing</w:t>
      </w:r>
      <w:r>
        <w:rPr>
          <w:rStyle w:val="DeltaViewInsertion"/>
          <w:color w:val="auto"/>
          <w:w w:val="0"/>
          <w:u w:val="none"/>
        </w:rPr>
        <w:t xml:space="preserve"> Eligible Collateral; and (II) take further action to protect its interests under this PPA.</w:t>
      </w:r>
    </w:p>
    <w:p w:rsidRPr="00BF5DF7" w:rsidR="006E0D92" w:rsidP="0099455A" w:rsidRDefault="006E0D92" w14:paraId="00757FDF" w14:textId="7ED031E6">
      <w:pPr>
        <w:pStyle w:val="zGTC03"/>
      </w:pPr>
      <w:r>
        <w:rPr>
          <w:b/>
          <w:bCs/>
          <w:w w:val="0"/>
        </w:rPr>
        <w:t>Release of Collateral; Substituted Collateral</w:t>
      </w:r>
      <w:r>
        <w:rPr>
          <w:w w:val="0"/>
        </w:rPr>
        <w:t>. Upon replacement of the Performance Security in accordance with Section 6.2.1 (</w:t>
      </w:r>
      <w:r>
        <w:rPr>
          <w:i/>
          <w:iCs/>
          <w:w w:val="0"/>
        </w:rPr>
        <w:t>Replacement Collateral</w:t>
      </w:r>
      <w:r>
        <w:rPr>
          <w:w w:val="0"/>
        </w:rPr>
        <w:t xml:space="preserve">), </w:t>
      </w:r>
      <w:r>
        <w:t>GPC</w:t>
      </w:r>
      <w:r>
        <w:rPr>
          <w:w w:val="0"/>
        </w:rPr>
        <w:t xml:space="preserve"> will promptly release back to Seller the Eligible Collateral that Seller replaced. During the Term, Seller may substitute the Eligible Collateral by providing GPC with notice and the substitute Eligible Collateral. If GPC accepts the substitute Eligible Collateral, </w:t>
      </w:r>
      <w:r>
        <w:t>GPC</w:t>
      </w:r>
      <w:r>
        <w:rPr>
          <w:w w:val="0"/>
        </w:rPr>
        <w:t xml:space="preserve"> will promptly release the Eligible Collateral for which substitution is being made </w:t>
      </w:r>
      <w:r>
        <w:rPr>
          <w:rStyle w:val="DeltaViewInsertion"/>
          <w:color w:val="auto"/>
          <w:w w:val="0"/>
          <w:u w:val="none"/>
        </w:rPr>
        <w:t>in an amount equal to the substitution amount</w:t>
      </w:r>
      <w:r>
        <w:rPr>
          <w:w w:val="0"/>
        </w:rPr>
        <w:t>. Following any expiration or termination of this PPA, the Parties will mutually agree to a final settlement of all obligations under this PPA, which period will not exceed six Months after the expiration or termination date. After the settlement, GPC will return to Seller any remaining Eligible Collateral that Seller posted and upon which GPC has not drawn in accordance with GPC’s rights under this PPA. Any dispute between the Parties regarding a final settlement will be resolved according to Part 19 (</w:t>
      </w:r>
      <w:r>
        <w:rPr>
          <w:i/>
          <w:iCs/>
          <w:w w:val="0"/>
        </w:rPr>
        <w:t>Dispute Resolution</w:t>
      </w:r>
      <w:r>
        <w:rPr>
          <w:w w:val="0"/>
        </w:rPr>
        <w:t>), and GPC will not return to Seller any remaining Eligible Collateral that Seller posted until the resolution of the dispute.</w:t>
      </w:r>
    </w:p>
    <w:p w:rsidRPr="00BF5DF7" w:rsidR="00201323" w:rsidP="00201323" w:rsidRDefault="00201323" w14:paraId="67261613" w14:textId="5C01EF16">
      <w:pPr>
        <w:pStyle w:val="zGTC02"/>
        <w:rPr>
          <w:rFonts w:ascii="Arial" w:hAnsi="Arial" w:eastAsia="PMingLiU" w:cs="Arial"/>
          <w:vanish/>
          <w:szCs w:val="20"/>
          <w:specVanish/>
        </w:rPr>
      </w:pPr>
      <w:bookmarkStart w:name="_Toc212472979" w:id="79"/>
      <w:bookmarkStart w:name="_Toc227840667" w:id="80"/>
      <w:r>
        <w:rPr>
          <w:rFonts w:ascii="Arial" w:hAnsi="Arial" w:cs="Arial"/>
          <w:szCs w:val="20"/>
        </w:rPr>
        <w:t>Draws; Replenishment.</w:t>
      </w:r>
      <w:bookmarkEnd w:id="79"/>
      <w:bookmarkEnd w:id="80"/>
    </w:p>
    <w:p w:rsidRPr="00BF5DF7" w:rsidR="00201323" w:rsidP="006E0D92" w:rsidRDefault="006E0D92" w14:paraId="703BE638" w14:textId="12C1A812">
      <w:pPr>
        <w:pStyle w:val="zGNormal"/>
      </w:pPr>
      <w:r>
        <w:t xml:space="preserve"> In addition to the draws permitted by Section 6.2.1 (</w:t>
      </w:r>
      <w:r>
        <w:rPr>
          <w:i/>
          <w:iCs/>
        </w:rPr>
        <w:t>Replacement Collateral</w:t>
      </w:r>
      <w:r>
        <w:t xml:space="preserve">), GPC may draw upon the Eligible Collateral provided by Seller to recover any damages to which GPC is entitled under this PPA (including damages following the occurrence of a Seller Event of Default) or any other unpaid </w:t>
      </w:r>
      <w:r>
        <w:lastRenderedPageBreak/>
        <w:t>amount owed by Seller under this PPA, including to recover delay liquidated damages under Section 7.4 (</w:t>
      </w:r>
      <w:r>
        <w:rPr>
          <w:i/>
          <w:iCs/>
        </w:rPr>
        <w:t>Failure to Achieve Commercial Operation by RCOD</w:t>
      </w:r>
      <w:r>
        <w:t>), damages arising from a Seller Event of Default, or termination damages arising from GPC’s termination of this PPA for a Seller Event of Default, in each case if not paid by Seller in accordance with this PPA. If GPC draws upon the Eligible Collateral, then, except in the circumstance when GPC establishes an Early Termination Date under Section 16.3.1 (</w:t>
      </w:r>
      <w:r>
        <w:rPr>
          <w:i/>
          <w:iCs/>
        </w:rPr>
        <w:t>Remedies for Event of Default</w:t>
      </w:r>
      <w:r>
        <w:t>) or this PPA otherwise terminates, Seller, within five Business Days, must replenish the Eligible Collateral to the full amount required by Section 6.1 (</w:t>
      </w:r>
      <w:r>
        <w:rPr>
          <w:i/>
          <w:iCs/>
        </w:rPr>
        <w:t>Performance Security</w:t>
      </w:r>
      <w:r>
        <w:t>).</w:t>
      </w:r>
    </w:p>
    <w:p w:rsidRPr="00BF5DF7" w:rsidR="00201323" w:rsidP="00201323" w:rsidRDefault="00201323" w14:paraId="28BC6A86" w14:textId="59FAD8E7">
      <w:pPr>
        <w:pStyle w:val="zGTC02"/>
        <w:rPr>
          <w:rFonts w:ascii="Arial" w:hAnsi="Arial" w:eastAsia="PMingLiU" w:cs="Arial"/>
          <w:vanish/>
          <w:szCs w:val="20"/>
          <w:specVanish/>
        </w:rPr>
      </w:pPr>
      <w:bookmarkStart w:name="_Toc212472980" w:id="81"/>
      <w:bookmarkStart w:name="_Toc227840668" w:id="82"/>
      <w:r>
        <w:rPr>
          <w:rFonts w:ascii="Arial" w:hAnsi="Arial" w:cs="Arial"/>
          <w:szCs w:val="20"/>
        </w:rPr>
        <w:t>Reporting.</w:t>
      </w:r>
      <w:bookmarkEnd w:id="81"/>
      <w:bookmarkEnd w:id="82"/>
    </w:p>
    <w:p w:rsidR="0006736D" w:rsidP="008573EE" w:rsidRDefault="008573EE" w14:paraId="12688FF6" w14:textId="5F8FDF8A">
      <w:pPr>
        <w:pStyle w:val="zGNormal"/>
      </w:pPr>
      <w:r>
        <w:t xml:space="preserve"> Seller must promptly notify GPC of any circumstance that results in Seller’s failure to comply with the Performance Security requirements of this Part 6 (</w:t>
      </w:r>
      <w:r>
        <w:rPr>
          <w:i/>
          <w:iCs/>
        </w:rPr>
        <w:t>Performance Security</w:t>
      </w:r>
      <w:r>
        <w:t>). From time to time, at GPC’s written request, Seller must provide GPC with evidence as GPC reasonably requests to demonstrate that Seller and any Seller Guarantor, Seller Guaranty, Letter of Credit, or GPC Security Account is in full compliance with this PPA.</w:t>
      </w:r>
    </w:p>
    <w:p w:rsidRPr="00CC4265" w:rsidR="00286E80" w:rsidP="007332C3" w:rsidRDefault="00BB0F45" w14:paraId="481B006F" w14:textId="1F26975C">
      <w:pPr>
        <w:pStyle w:val="zGTC02"/>
        <w:rPr>
          <w:rFonts w:ascii="Arial" w:hAnsi="Arial" w:eastAsia="PMingLiU" w:cs="Arial"/>
          <w:vanish/>
          <w:szCs w:val="20"/>
          <w:specVanish/>
        </w:rPr>
      </w:pPr>
      <w:bookmarkStart w:name="_Toc227840669" w:id="83"/>
      <w:r>
        <w:rPr>
          <w:rFonts w:ascii="Arial" w:hAnsi="Arial" w:cs="Arial" w:eastAsiaTheme="minorEastAsia"/>
          <w:szCs w:val="20"/>
        </w:rPr>
        <w:t>Pre-Approval of Non-Cash Eligible Collateral.</w:t>
      </w:r>
      <w:bookmarkEnd w:id="83"/>
    </w:p>
    <w:p w:rsidRPr="00BF5DF7" w:rsidR="0006736D" w:rsidP="008573EE" w:rsidRDefault="00BB0F45" w14:paraId="520EB94F" w14:textId="6E8FB43B">
      <w:pPr>
        <w:pStyle w:val="zGNormal"/>
      </w:pPr>
      <w:r>
        <w:t xml:space="preserve"> </w:t>
      </w:r>
      <w:r w:rsidRPr="000E7D25" w:rsidR="00C565D8">
        <w:t xml:space="preserve">If Seller intends to provide Eligible Collateral in any form other than cash, including any replacement or supplemental Eligible Collateral, or any amendment to Eligible Collateral, Seller, at least 10 Business Days before the applicable due date, must submit a draft (unissued) Letter of Credit or Seller Guaranty for GPC’s review and approval. If Seller lacked sufficient advance notice of a Material Adverse Change to deliver the draft (unissued) Letter of Credit or Seller Guaranty to GPC for review within the time stated in the </w:t>
      </w:r>
      <w:r w:rsidR="00C565D8">
        <w:t>preceding</w:t>
      </w:r>
      <w:r w:rsidRPr="000E7D25" w:rsidR="00C565D8">
        <w:t xml:space="preserve"> sentence, Seller must notify GPC of the Material Adverse Change </w:t>
      </w:r>
      <w:r w:rsidR="00C565D8">
        <w:t xml:space="preserve">by no later than </w:t>
      </w:r>
      <w:r w:rsidR="00C375E2">
        <w:t>three</w:t>
      </w:r>
      <w:r w:rsidR="00C565D8">
        <w:t xml:space="preserve"> Banking Days after Seller knew or should have known of the Material Adverse Change</w:t>
      </w:r>
      <w:r w:rsidRPr="000E7D25" w:rsidR="00C565D8">
        <w:t xml:space="preserve"> and promptly submit the draft (unissued) Letter of Credit or Seller Guaranty for GPC’s review and approval</w:t>
      </w:r>
      <w:r w:rsidR="00C565D8">
        <w:t xml:space="preserve"> and, upon approval, promptly deliver the Eligible Collateral to GPC by no later than </w:t>
      </w:r>
      <w:r w:rsidR="00C375E2">
        <w:t>two</w:t>
      </w:r>
      <w:r w:rsidR="00C565D8">
        <w:t xml:space="preserve"> Banking Days after receipt of GPC’s approval</w:t>
      </w:r>
      <w:r w:rsidRPr="000E7D25" w:rsidR="00C565D8">
        <w:t>.</w:t>
      </w:r>
      <w:r w:rsidR="007A2470">
        <w:t xml:space="preserve"> </w:t>
      </w:r>
    </w:p>
    <w:p w:rsidRPr="00BF5DF7" w:rsidR="00201323" w:rsidP="007332C3" w:rsidRDefault="00201323" w14:paraId="08C4A139" w14:textId="52D333CE">
      <w:pPr>
        <w:pStyle w:val="zGTC02"/>
        <w:rPr>
          <w:rFonts w:ascii="Arial" w:hAnsi="Arial" w:eastAsia="PMingLiU" w:cs="Arial"/>
          <w:vanish/>
          <w:szCs w:val="20"/>
          <w:specVanish/>
        </w:rPr>
      </w:pPr>
      <w:bookmarkStart w:name="_Toc212472981" w:id="84"/>
      <w:bookmarkStart w:name="_Toc227840670" w:id="85"/>
      <w:r>
        <w:rPr>
          <w:rFonts w:ascii="Arial" w:hAnsi="Arial" w:cs="Arial"/>
          <w:szCs w:val="20"/>
        </w:rPr>
        <w:t>Delivery of Eligible Collateral for Performance Security.</w:t>
      </w:r>
      <w:bookmarkEnd w:id="84"/>
      <w:bookmarkEnd w:id="85"/>
    </w:p>
    <w:p w:rsidRPr="00BF5DF7" w:rsidR="008573EE" w:rsidP="00EF696D" w:rsidRDefault="008573EE" w14:paraId="1C968B96" w14:textId="2F6B88D7">
      <w:pPr>
        <w:pStyle w:val="zGNormal"/>
      </w:pPr>
      <w:r>
        <w:t xml:space="preserve"> Seller must provide to GPC Eligible Collateral to meet any of the Performance Security requirements under this PPA by delivering, as applicable: (i) cash wired to a</w:t>
      </w:r>
      <w:r w:rsidR="00422EEB">
        <w:t xml:space="preserve"> </w:t>
      </w:r>
      <w:r w:rsidR="009305FE">
        <w:t xml:space="preserve"> </w:t>
      </w:r>
      <w:r>
        <w:t>GPC</w:t>
      </w:r>
      <w:r w:rsidR="005615A3">
        <w:t xml:space="preserve"> Security Account</w:t>
      </w:r>
      <w:r>
        <w:t>; or (ii) Letter of Credit or Seller Guaranty to the address indicated in Exhibit M (</w:t>
      </w:r>
      <w:r>
        <w:rPr>
          <w:i/>
          <w:iCs/>
        </w:rPr>
        <w:t>Notices</w:t>
      </w:r>
      <w:r>
        <w:t>).</w:t>
      </w:r>
    </w:p>
    <w:p w:rsidRPr="00BF5DF7" w:rsidR="007C2163" w:rsidP="007C2163" w:rsidRDefault="00170B35" w14:paraId="5B6BE085" w14:textId="4CB82E76">
      <w:pPr>
        <w:pStyle w:val="zGTC01"/>
        <w:rPr>
          <w:rFonts w:ascii="Arial" w:hAnsi="Arial"/>
        </w:rPr>
      </w:pPr>
      <w:bookmarkStart w:name="_Toc212472982" w:id="86"/>
      <w:bookmarkStart w:name="_Toc227840671" w:id="87"/>
      <w:r>
        <w:rPr>
          <w:rFonts w:ascii="Arial" w:hAnsi="Arial"/>
        </w:rPr>
        <w:t>Facility Design and Construction; Achieving Commercial Operation</w:t>
      </w:r>
      <w:bookmarkEnd w:id="86"/>
      <w:bookmarkEnd w:id="87"/>
    </w:p>
    <w:p w:rsidRPr="00BF5DF7" w:rsidR="005A6627" w:rsidP="005A6627" w:rsidRDefault="007C2163" w14:paraId="55718D4E" w14:textId="77777777">
      <w:pPr>
        <w:pStyle w:val="zGTC02"/>
        <w:rPr>
          <w:rFonts w:ascii="Arial" w:hAnsi="Arial" w:eastAsia="PMingLiU" w:cs="Arial"/>
          <w:vanish/>
          <w:szCs w:val="20"/>
          <w:specVanish/>
        </w:rPr>
      </w:pPr>
      <w:bookmarkStart w:name="_Toc212472983" w:id="88"/>
      <w:bookmarkStart w:name="_Toc227840672" w:id="89"/>
      <w:r>
        <w:rPr>
          <w:rFonts w:ascii="Arial" w:hAnsi="Arial" w:cs="Arial"/>
          <w:szCs w:val="20"/>
        </w:rPr>
        <w:t>Design and Construction of the Facility.</w:t>
      </w:r>
      <w:bookmarkEnd w:id="88"/>
      <w:bookmarkEnd w:id="89"/>
    </w:p>
    <w:p w:rsidRPr="00BF5DF7" w:rsidR="007C2163" w:rsidP="00606298" w:rsidRDefault="007C2163" w14:paraId="5F626ABA" w14:textId="0046C846">
      <w:pPr>
        <w:pStyle w:val="zGTC02"/>
        <w:numPr>
          <w:ilvl w:val="0"/>
          <w:numId w:val="0"/>
        </w:numPr>
        <w:rPr>
          <w:rFonts w:ascii="Arial" w:hAnsi="Arial" w:cs="Arial"/>
          <w:szCs w:val="20"/>
        </w:rPr>
      </w:pPr>
    </w:p>
    <w:p w:rsidRPr="00BF5DF7" w:rsidR="00BE5035" w:rsidP="00BC037D" w:rsidRDefault="00FA49C6" w14:paraId="6572959E" w14:textId="2D4A5DE1">
      <w:pPr>
        <w:pStyle w:val="zGTC03"/>
      </w:pPr>
      <w:r>
        <w:rPr>
          <w:b/>
        </w:rPr>
        <w:t xml:space="preserve">Facility Design. </w:t>
      </w:r>
      <w:r>
        <w:t>Seller must design and construct the Facility in accordance with the applicable specifications set forth in this PPA. Despite any other provision in this PPA, the actual capacity of the Facility must be at least 50 MW. The Facility must be designed to meet the requirements of Exhibit B (</w:t>
      </w:r>
      <w:r>
        <w:rPr>
          <w:i/>
        </w:rPr>
        <w:t>Capacity; Capacity Payments and Payment Reductions; Buydown</w:t>
      </w:r>
      <w:r>
        <w:t>) and Exhibit C (</w:t>
      </w:r>
      <w:r>
        <w:rPr>
          <w:i/>
        </w:rPr>
        <w:t>Energy Payment Calculation</w:t>
      </w:r>
      <w:r>
        <w:t>). The Project must be completed in accordance with Prudent Industry Practices and all applicable law. The Facility must comply with applicable EOP-012-3 (</w:t>
      </w:r>
      <w:r>
        <w:rPr>
          <w:i/>
          <w:iCs/>
        </w:rPr>
        <w:t>Extreme Cold Weather Preparedness and Operations</w:t>
      </w:r>
      <w:r>
        <w:t>) requirements, including Requirements R1 (applicable to New Facilities), R2 (applicable to Existing Facilities), R3, R4, R5, R6, and R7</w:t>
      </w:r>
      <w:r w:rsidR="00BB72C4">
        <w:t>, and any successor reliability standard</w:t>
      </w:r>
      <w:r>
        <w:t>.</w:t>
      </w:r>
      <w:r w:rsidR="00BB72C4">
        <w:t xml:space="preserve"> EOP 012-3 is published by NERC and available at</w:t>
      </w:r>
      <w:r w:rsidR="00503448">
        <w:t>:</w:t>
      </w:r>
      <w:r w:rsidR="00BB72C4">
        <w:t xml:space="preserve"> </w:t>
      </w:r>
      <w:r w:rsidR="00284DEC">
        <w:t>https:www.nerc.com/pa/Stand/Reliability</w:t>
      </w:r>
      <w:r w:rsidR="001E5244">
        <w:t>%20Standards/EOP-012-3.pdf.</w:t>
      </w:r>
      <w:r>
        <w:t xml:space="preserve"> </w:t>
      </w:r>
    </w:p>
    <w:p w:rsidRPr="00BF5DF7" w:rsidR="00501D0D" w:rsidP="00501D0D" w:rsidRDefault="00501D0D" w14:paraId="692F3D66" w14:textId="3F452C3B">
      <w:pPr>
        <w:pStyle w:val="zGTC03"/>
      </w:pPr>
      <w:r>
        <w:rPr>
          <w:b/>
        </w:rPr>
        <w:t>RCOD and Facility Construction Key Milestones.</w:t>
      </w:r>
      <w:r>
        <w:t xml:space="preserve"> Seller must progress Facility construction in accordance with applicable Key Milestone Dates, including achievement of Commercial Operation by the RCOD. </w:t>
      </w:r>
    </w:p>
    <w:p w:rsidRPr="00BF5DF7" w:rsidR="00FA722E" w:rsidP="007C2163" w:rsidRDefault="00BE5035" w14:paraId="0C3E8069" w14:textId="1AC278B7">
      <w:pPr>
        <w:pStyle w:val="zGTC03"/>
      </w:pPr>
      <w:r>
        <w:rPr>
          <w:b/>
        </w:rPr>
        <w:t xml:space="preserve">Commercial Operation. </w:t>
      </w:r>
      <w:r>
        <w:t>The Facility will be deemed to have achieved Commercial Operation under this PPA when Seller demonstrates, to GPC’s reasonable satisfaction, that the following</w:t>
      </w:r>
      <w:r w:rsidR="00536AA6">
        <w:t xml:space="preserve"> listed</w:t>
      </w:r>
      <w:r>
        <w:t xml:space="preserve"> criteria are fulfilled. GPC is entitled, but not required, to verify achievement of these criteria before GPC’s acceptance of Commercial Operation.</w:t>
      </w:r>
    </w:p>
    <w:p w:rsidRPr="00B575AC" w:rsidR="00943789" w:rsidP="00A56A7A" w:rsidRDefault="007C2163" w14:paraId="2D88CC4E" w14:textId="0AD409B6">
      <w:pPr>
        <w:pStyle w:val="zGTC04"/>
      </w:pPr>
      <w:r>
        <w:t xml:space="preserve"> The Facility is capable of producing and delivering, on a reliable basis, energy</w:t>
      </w:r>
      <w:r>
        <w:rPr>
          <w:b/>
          <w:bCs/>
          <w:i/>
          <w:iCs/>
        </w:rPr>
        <w:t xml:space="preserve"> </w:t>
      </w:r>
      <w:r>
        <w:t xml:space="preserve">to the </w:t>
      </w:r>
      <w:r w:rsidRPr="00B575AC">
        <w:t>Electric System and meets GPC’s AGC requirements;</w:t>
      </w:r>
    </w:p>
    <w:p w:rsidRPr="00B575AC" w:rsidR="00A56A7A" w:rsidP="003969C3" w:rsidRDefault="008D5321" w14:paraId="48AFA68F" w14:textId="2B6703D1">
      <w:pPr>
        <w:pStyle w:val="zGTC04"/>
      </w:pPr>
      <w:r w:rsidRPr="00B575AC">
        <w:t xml:space="preserve">(a) Seller has satisfied all IA requirements that are conditions to commercial operation (as defined in the IA); (b) the Facility otherwise is in compliance with the IA; and (c) the Facility has demonstrated the reliability of its communication systems with the Scheduling Center; </w:t>
      </w:r>
    </w:p>
    <w:p w:rsidRPr="00B575AC" w:rsidR="00A56A7A" w:rsidP="00A56A7A" w:rsidRDefault="009323FB" w14:paraId="31D96B57" w14:textId="6D97E158">
      <w:pPr>
        <w:pStyle w:val="zGTC04"/>
      </w:pPr>
      <w:r w:rsidRPr="00B575AC">
        <w:t>Seller has successfully completed Performance Testing in accordance with Section 9.1 (</w:t>
      </w:r>
      <w:r w:rsidRPr="00B575AC">
        <w:rPr>
          <w:i/>
          <w:iCs/>
        </w:rPr>
        <w:t>Tested Reliable Capacity and Declared Capacity</w:t>
      </w:r>
      <w:r w:rsidRPr="00B575AC">
        <w:t>), including a Tested Standard Reliable Capacity higher than 70% of the Nominal Standard Capability and a Tested Winter Reliable Capacity higher than 70% of the Nominal Winter Capability, each under Exhibit B</w:t>
      </w:r>
      <w:r w:rsidRPr="00B575AC">
        <w:rPr>
          <w:u w:color="0000FF"/>
        </w:rPr>
        <w:t xml:space="preserve"> (</w:t>
      </w:r>
      <w:r w:rsidRPr="00B575AC">
        <w:rPr>
          <w:i/>
          <w:iCs/>
          <w:u w:color="0000FF"/>
        </w:rPr>
        <w:t>Capacity; Capacity Payments</w:t>
      </w:r>
      <w:r w:rsidRPr="00B575AC">
        <w:rPr>
          <w:i/>
        </w:rPr>
        <w:t xml:space="preserve"> </w:t>
      </w:r>
      <w:r w:rsidRPr="00B575AC">
        <w:rPr>
          <w:i/>
        </w:rPr>
        <w:lastRenderedPageBreak/>
        <w:t>and Payment Reductions; Buydown</w:t>
      </w:r>
      <w:r w:rsidRPr="00B575AC">
        <w:rPr>
          <w:u w:color="0000FF"/>
        </w:rPr>
        <w:t>)</w:t>
      </w:r>
      <w:r w:rsidRPr="00B575AC">
        <w:t>, Section 1.4 (</w:t>
      </w:r>
      <w:r w:rsidRPr="00B575AC">
        <w:rPr>
          <w:i/>
          <w:iCs/>
        </w:rPr>
        <w:t>Tested Reliable Capacity Below Contracted Capacity Range; Capacity Buydown</w:t>
      </w:r>
      <w:r w:rsidRPr="00B575AC">
        <w:t xml:space="preserve">), or GPC will have determined to its reasonable satisfaction through any combination of testing and examination of Facility data that the Facility is fully capable of successfully completing a Performance Test; </w:t>
      </w:r>
    </w:p>
    <w:p w:rsidRPr="00B575AC" w:rsidR="00A56A7A" w:rsidP="00A56A7A" w:rsidRDefault="007C2163" w14:paraId="17E78577" w14:textId="02974678">
      <w:pPr>
        <w:pStyle w:val="zGTC04"/>
      </w:pPr>
      <w:r w:rsidRPr="00B575AC">
        <w:t xml:space="preserve">Seller must have provided to GPC a certificate from a responsible officer of Seller reasonably acceptable to GPC, stating that the Facility has been designed, engineered, constructed, and tested in accordance with Prudent Industry Practices and can perform in accordance with the terms of this PPA; </w:t>
      </w:r>
    </w:p>
    <w:p w:rsidRPr="00B575AC" w:rsidR="007C2163" w:rsidP="00A56A7A" w:rsidRDefault="007C2163" w14:paraId="5DA546F2" w14:textId="748632AD">
      <w:pPr>
        <w:pStyle w:val="zGTC04"/>
      </w:pPr>
      <w:r w:rsidRPr="00B575AC">
        <w:t>Seller must have delivered to GPC a certificate from a responsible officer of Seller reasonably acceptable to GPC certifying that Seller has obtained all licenses, permits, franchises, agreements, approvals, authorizations, Consents, waivers, rights, exemptions, releases, variances, exceptions, or orders of or issued by, or filing with, or notice to, any Governmental Authority required under applicable law (“</w:t>
      </w:r>
      <w:r w:rsidRPr="00B575AC">
        <w:rPr>
          <w:b/>
        </w:rPr>
        <w:t>Governmental Approvals</w:t>
      </w:r>
      <w:r w:rsidRPr="00B575AC">
        <w:t xml:space="preserve">”) for the construction, ownership, operation, and maintenance of the Facility in accordance with this PPA; </w:t>
      </w:r>
    </w:p>
    <w:p w:rsidRPr="00B575AC" w:rsidR="00C6696C" w:rsidP="00A56A7A" w:rsidRDefault="00C6696C" w14:paraId="0EA77FC2" w14:textId="30A2F153">
      <w:pPr>
        <w:pStyle w:val="zGTC04"/>
      </w:pPr>
      <w:r w:rsidRPr="00B575AC">
        <w:rPr>
          <w:szCs w:val="20"/>
        </w:rPr>
        <w:t>If the Facility is interconnected to an Electric System outside the SBAA, Seller has delivered to GPC a certificate from a responsible officer of Seller that is reasonably acceptable to GPC confirming that Firm Transmission Service has been procured from the COD throughout the Term; and</w:t>
      </w:r>
    </w:p>
    <w:p w:rsidRPr="00B575AC" w:rsidR="007D7469" w:rsidP="007332C3" w:rsidRDefault="007D7469" w14:paraId="574A59D6" w14:textId="10BA7548">
      <w:pPr>
        <w:pStyle w:val="zGTC04"/>
      </w:pPr>
      <w:r w:rsidRPr="00B575AC">
        <w:rPr>
          <w:szCs w:val="20"/>
        </w:rPr>
        <w:t>Any additional criteria set forth in the Commercial Operation Completion Certificate</w:t>
      </w:r>
      <w:r w:rsidRPr="00B575AC">
        <w:t>.</w:t>
      </w:r>
    </w:p>
    <w:p w:rsidRPr="00B575AC" w:rsidR="00234400" w:rsidP="00234400" w:rsidRDefault="00637610" w14:paraId="0DE35CEB" w14:textId="382A96C2">
      <w:pPr>
        <w:pStyle w:val="zGTC03"/>
        <w:numPr>
          <w:ilvl w:val="0"/>
          <w:numId w:val="0"/>
        </w:numPr>
        <w:ind w:left="720"/>
      </w:pPr>
      <w:r w:rsidRPr="00B575AC">
        <w:t>For the avoidance of doubt, the Facility may achieve commercial operation in accordance with the Interconnection Agreement, and may be considered operational for all other purposes, including tax purposes, but the Facility will not be deemed to have achieved Commercial Operation for purposes of this PPA until (a) subsections (i) through (vii) of this Section 7.1.3 (</w:t>
      </w:r>
      <w:r w:rsidRPr="00B575AC">
        <w:rPr>
          <w:i/>
          <w:iCs/>
        </w:rPr>
        <w:t>Commercial Operation</w:t>
      </w:r>
      <w:r w:rsidRPr="00B575AC">
        <w:t>) are satisfied, and (b) GPC has reasonably determined Commercial Operation has been achieved in accordance with Section 7.1.4 (</w:t>
      </w:r>
      <w:r w:rsidRPr="00B575AC">
        <w:rPr>
          <w:i/>
          <w:iCs/>
        </w:rPr>
        <w:t>Commercial Operation Completion Certificate</w:t>
      </w:r>
      <w:r w:rsidRPr="00B575AC">
        <w:t>).</w:t>
      </w:r>
    </w:p>
    <w:p w:rsidRPr="00BF5DF7" w:rsidR="00682FC2" w:rsidP="00682FC2" w:rsidRDefault="00682FC2" w14:paraId="272264E6" w14:textId="19005EED">
      <w:pPr>
        <w:pStyle w:val="zGTC03"/>
      </w:pPr>
      <w:r w:rsidRPr="00B575AC">
        <w:rPr>
          <w:b/>
        </w:rPr>
        <w:t xml:space="preserve">Commercial Operation </w:t>
      </w:r>
      <w:r w:rsidRPr="00B575AC">
        <w:rPr>
          <w:b/>
          <w:bCs/>
        </w:rPr>
        <w:t>Completion Certificate</w:t>
      </w:r>
      <w:r w:rsidRPr="00B575AC">
        <w:t>. When</w:t>
      </w:r>
      <w:r>
        <w:t xml:space="preserve"> Seller believes the Facility achieved the Commercial Operation requirements set forth in Section 7.1.3 (</w:t>
      </w:r>
      <w:r>
        <w:rPr>
          <w:i/>
        </w:rPr>
        <w:t>Commercial Operation</w:t>
      </w:r>
      <w:r>
        <w:t>), Seller must complete and submit to GPC the Commercial Operation Completion Certificate</w:t>
      </w:r>
      <w:r>
        <w:rPr>
          <w:i/>
        </w:rPr>
        <w:t>.</w:t>
      </w:r>
      <w:r>
        <w:t xml:space="preserve"> Upon receipt of the Commercial Operation Completion Certificate, GPC will have the right, but not the obligation, to inspect the Facility or review inspection-related information before acceptance</w:t>
      </w:r>
      <w:r w:rsidR="002D56C5">
        <w:t xml:space="preserve">, as </w:t>
      </w:r>
      <w:r w:rsidR="00340BD3">
        <w:t xml:space="preserve">such inspection-related information may be </w:t>
      </w:r>
      <w:r w:rsidR="002D56C5">
        <w:t>reasonably requested by GPC</w:t>
      </w:r>
      <w:r>
        <w:t xml:space="preserve">. Within </w:t>
      </w:r>
      <w:r w:rsidR="002D56C5">
        <w:t>20</w:t>
      </w:r>
      <w:r>
        <w:t xml:space="preserve"> Days after receipt, GPC will review the Commercial Operation Completion Certificate and notify Seller whether GPC agrees, in its reasonable discretion, that Commercial Operation was achieved. If GPC agrees, in its reasonable discretion, that Commercial Operation was achieved, the date that Seller submitted the Commercial Operation Completion Certificate will be the Commercial Operation Date. However, if GPC determines, in its reasonable discretion, that the Facility has not actually achieved Commercial Operation, GPC will notify Seller of the issue </w:t>
      </w:r>
      <w:r w:rsidR="00260771">
        <w:t xml:space="preserve">and </w:t>
      </w:r>
      <w:r>
        <w:t>deficiency and Seller must: (i) promptly resolve any issue or deficiency and then resubmit the Commercial Operation Completion Certificate; or (ii) demonstrate to GPC’s reasonable satisfaction why the Facility has actually achieved Commercial Operation. This process will repeat until Commercial Operation (as determined by GPC in its reasonable discretion) is achieved. Seller will be liable for delay liquidated damages under Section 7.4 (</w:t>
      </w:r>
      <w:r>
        <w:rPr>
          <w:i/>
        </w:rPr>
        <w:t>Failure to Achieve Commercial Operation by RCOD</w:t>
      </w:r>
      <w:r>
        <w:t xml:space="preserve">) if GPC determines that Seller did not timely achieve Commercial Operation. </w:t>
      </w:r>
    </w:p>
    <w:p w:rsidRPr="00BF5DF7" w:rsidR="009F4C18" w:rsidP="009F4C18" w:rsidRDefault="00A127D1" w14:paraId="61A4C54A" w14:textId="77777777">
      <w:pPr>
        <w:pStyle w:val="zGTC02"/>
        <w:rPr>
          <w:rFonts w:ascii="Arial" w:hAnsi="Arial" w:eastAsia="PMingLiU" w:cs="Arial"/>
          <w:vanish/>
          <w:szCs w:val="20"/>
          <w:specVanish/>
        </w:rPr>
      </w:pPr>
      <w:bookmarkStart w:name="_Toc212472984" w:id="90"/>
      <w:bookmarkStart w:name="_Toc227840673" w:id="91"/>
      <w:r>
        <w:t>Key Milestones and Milestone Schedule.</w:t>
      </w:r>
      <w:bookmarkEnd w:id="90"/>
      <w:bookmarkEnd w:id="91"/>
    </w:p>
    <w:p w:rsidRPr="00BF5DF7" w:rsidR="00682FC2" w:rsidP="009F4C18" w:rsidRDefault="00A127D1" w14:paraId="15A747D5" w14:textId="344CE4A5">
      <w:pPr>
        <w:pStyle w:val="zGNormal"/>
      </w:pPr>
      <w:r>
        <w:t xml:space="preserve"> By no later than 10 Business Days after the date of the Commission Certificate, Seller must provide a Milestone Schedule. At a minimum, the Milestone Schedule must include the Key Milestones stated in Exhibit A-1 (</w:t>
      </w:r>
      <w:r>
        <w:rPr>
          <w:i/>
          <w:iCs/>
        </w:rPr>
        <w:t>Key Milestones and Required Key Milestone Dates</w:t>
      </w:r>
      <w:r>
        <w:t>) and supported by documentation, as applicable.</w:t>
      </w:r>
    </w:p>
    <w:p w:rsidRPr="00BF5DF7" w:rsidR="0076344E" w:rsidP="00261F68" w:rsidRDefault="00C25A6F" w14:paraId="211F8BC9" w14:textId="638360B3">
      <w:pPr>
        <w:pStyle w:val="zGTC03"/>
      </w:pPr>
      <w:r>
        <w:rPr>
          <w:b/>
        </w:rPr>
        <w:t xml:space="preserve">Milestone Schedule Updates; Monthly Reports. </w:t>
      </w:r>
      <w:r>
        <w:t xml:space="preserve">Until COD, Seller must submit to GPC a Monthly written status report that: (i) covers the previous Month; (ii) is prepared in a manner and format (hard copy and electronic) </w:t>
      </w:r>
      <w:r w:rsidR="007D0F90">
        <w:t xml:space="preserve">reasonably </w:t>
      </w:r>
      <w:r>
        <w:t xml:space="preserve">acceptable to GPC; and (iii) includes a detailed summary of: (a) Seller’s progress toward each of the Key Milestones and the Facility’s development and construction; (b) Seller’s adherence to the Milestone Schedule; (c) any significant event that is scheduled or expected to occur during the following 30 Days; and (d) any other information </w:t>
      </w:r>
      <w:r w:rsidR="00C436E7">
        <w:t xml:space="preserve">reasonably </w:t>
      </w:r>
      <w:r>
        <w:t xml:space="preserve">requested by GPC. Seller must promptly notify GPC of any significant change in the Milestone Schedule that may delay Commercial Operation or the status of construction as may occur from time to time (including the reason for the change). </w:t>
      </w:r>
    </w:p>
    <w:p w:rsidRPr="00860390" w:rsidR="00E33CA3" w:rsidP="00E33CA3" w:rsidRDefault="00C25A6F" w14:paraId="4CD2633C" w14:textId="59DD1174">
      <w:pPr>
        <w:pStyle w:val="zGTC03"/>
        <w:spacing w:after="120"/>
      </w:pPr>
      <w:r w:rsidRPr="00E33CA3">
        <w:rPr>
          <w:b/>
        </w:rPr>
        <w:lastRenderedPageBreak/>
        <w:t xml:space="preserve">Recovery Plan. </w:t>
      </w:r>
      <w:r w:rsidRPr="002D2A8F" w:rsidR="00AE5E5B">
        <w:t>Promptly</w:t>
      </w:r>
      <w:r w:rsidR="00AE5E5B">
        <w:t>,</w:t>
      </w:r>
      <w:r w:rsidRPr="002D2A8F" w:rsidR="00AE5E5B">
        <w:t xml:space="preserve"> </w:t>
      </w:r>
      <w:r w:rsidR="00AE5E5B">
        <w:t>but no later than 10 Business Days,</w:t>
      </w:r>
      <w:r w:rsidRPr="002D2A8F" w:rsidR="00AE5E5B">
        <w:t xml:space="preserve"> after becoming aware of any event or circumstance that </w:t>
      </w:r>
      <w:r w:rsidR="00AE5E5B">
        <w:t>is</w:t>
      </w:r>
      <w:r w:rsidRPr="002D2A8F" w:rsidR="00AE5E5B">
        <w:t xml:space="preserve"> reasonably expected to cause a delay in achieving any Key Milestone by its Key Milestone Date, Seller must provide to GPC </w:t>
      </w:r>
      <w:bookmarkStart w:name="_Hlk206618752" w:id="92"/>
      <w:r w:rsidR="00AE5E5B">
        <w:t xml:space="preserve">for GPC’s review and approval </w:t>
      </w:r>
      <w:bookmarkEnd w:id="92"/>
      <w:r w:rsidRPr="002D2A8F" w:rsidR="00AE5E5B">
        <w:t xml:space="preserve">a recovery plan setting forth in detail and with supporting documentation: (i) the cause(s) of the event or circumstance and the expected </w:t>
      </w:r>
      <w:r w:rsidR="00AE5E5B">
        <w:t xml:space="preserve">length of </w:t>
      </w:r>
      <w:r w:rsidRPr="002D2A8F" w:rsidR="00AE5E5B">
        <w:t xml:space="preserve">delay; and (ii) Seller’s plan to recover the lost time and regain compliance with the Milestone Schedule to achieve Commercial Operation by the RCOD, </w:t>
      </w:r>
      <w:r w:rsidR="00AE5E5B">
        <w:t>or</w:t>
      </w:r>
      <w:r w:rsidRPr="002D2A8F" w:rsidR="00AE5E5B">
        <w:t xml:space="preserve"> if not by the RCOD, then by no later than nine Months after the RCOD. </w:t>
      </w:r>
      <w:r w:rsidR="00AE5E5B">
        <w:t>GPC’s right to approve Seller’s recovery plan is limited solely to determining if the recovery plan demonstrates with sufficient particularity that Seller will regain compliance with the Milestone Schedule and achieve Commercial Operation by the RCOD or, if not by the RCOD, then by no later than nine Months after the RCOD, and these approval rights do not extend to the general mode, manner, or cost of Seller’s performance of the recovery plan. If GPC does not approve Seller’s recovery plan, GPC will notify Seller of the specific deficiencies in the recovery plan by no later than 10 Days after GPC’s receipt of the recovery plan. By no later than 10 Days after receipt of GPC’s</w:t>
      </w:r>
      <w:r w:rsidDel="00346B68" w:rsidR="00AE5E5B">
        <w:t xml:space="preserve"> </w:t>
      </w:r>
      <w:r w:rsidR="00AE5E5B">
        <w:t xml:space="preserve">rejection, Seller must revise the recovery plan to address the deficiencies stated in GPC’s notice and resubmit the recovery plan to GPC. </w:t>
      </w:r>
      <w:r>
        <w:t xml:space="preserve">. </w:t>
      </w:r>
      <w:r w:rsidR="00EE43D9">
        <w:t>Additionally, n</w:t>
      </w:r>
      <w:r>
        <w:t>othing in this Section 7.2.2 (</w:t>
      </w:r>
      <w:r w:rsidRPr="00E33CA3">
        <w:rPr>
          <w:i/>
          <w:iCs/>
        </w:rPr>
        <w:t>Recovery Plan</w:t>
      </w:r>
      <w:r>
        <w:t>) will be construed to relieve Seller of any of its PPA obligations.</w:t>
      </w:r>
      <w:r w:rsidR="00972FBD">
        <w:t xml:space="preserve"> </w:t>
      </w:r>
      <w:r w:rsidRPr="00356384" w:rsidR="00E33CA3">
        <w:t>The delivery of a recovery plan meeting GPC’s approval as outlined in this Section 7.2.2 (</w:t>
      </w:r>
      <w:r w:rsidRPr="00356384" w:rsidR="00E33CA3">
        <w:rPr>
          <w:i/>
          <w:iCs/>
        </w:rPr>
        <w:t>Recovery Plan</w:t>
      </w:r>
      <w:r w:rsidRPr="00356384" w:rsidR="00E33CA3">
        <w:t>) will satisfy Seller’s obligation with respect to any delay in achieving a Key Milestone, except for</w:t>
      </w:r>
      <w:r w:rsidR="00E33CA3">
        <w:t>: (i)</w:t>
      </w:r>
      <w:r w:rsidRPr="00356384" w:rsidR="00E33CA3">
        <w:t xml:space="preserve"> a delay in </w:t>
      </w:r>
      <w:r w:rsidR="00E33CA3">
        <w:t>obtaining the Air Permit as set forth in Section 7.3 (</w:t>
      </w:r>
      <w:r w:rsidR="00E33CA3">
        <w:rPr>
          <w:i/>
          <w:iCs/>
        </w:rPr>
        <w:t>Permitting</w:t>
      </w:r>
      <w:r w:rsidR="00E33CA3">
        <w:t>); (ii)</w:t>
      </w:r>
      <w:r w:rsidRPr="00356384" w:rsidR="00E33CA3">
        <w:t xml:space="preserve"> a delay in achieving Commercial Operation</w:t>
      </w:r>
      <w:r w:rsidR="00E33CA3">
        <w:t xml:space="preserve"> as set forth in Section 7.4 (</w:t>
      </w:r>
      <w:r w:rsidRPr="009B2515" w:rsidR="00E33CA3">
        <w:rPr>
          <w:i/>
          <w:iCs/>
        </w:rPr>
        <w:t>Failure to Achieve Commercial Operation by RCOD</w:t>
      </w:r>
      <w:r w:rsidR="00E33CA3">
        <w:t>); or (iii) a delay caused by an FME as set forth in Part 15 (</w:t>
      </w:r>
      <w:r w:rsidRPr="003B6094" w:rsidR="00E33CA3">
        <w:rPr>
          <w:i/>
          <w:iCs/>
        </w:rPr>
        <w:t>Force Majeure</w:t>
      </w:r>
      <w:r w:rsidR="00E33CA3">
        <w:t>)</w:t>
      </w:r>
      <w:r w:rsidRPr="00356384" w:rsidR="00E33CA3">
        <w:t>.</w:t>
      </w:r>
    </w:p>
    <w:p w:rsidRPr="00BF5DF7" w:rsidR="007C2163" w:rsidP="00D3711D" w:rsidRDefault="00403928" w14:paraId="101F6A7B" w14:textId="42E7A337">
      <w:pPr>
        <w:pStyle w:val="zGTC03"/>
        <w:spacing w:after="120"/>
      </w:pPr>
      <w:r>
        <w:rPr>
          <w:b/>
        </w:rPr>
        <w:t xml:space="preserve">Requested Information and Physical Inspections. </w:t>
      </w:r>
      <w:r>
        <w:t>GPC may reasonably request information regarding the status of the Facility and inspect the Facility’s construction, startup, and testing. Seller must provide, or cause to be provided, to GPC the requested information. Additionally, Seller must coordinate physical inspection of the Facility as GPC may reasonably request during or after completion of construction. GPC will provide Seller reasonable prior notice regarding an inspection. All GPC or GPC-Representative activities at the Site will be subject to Seller’s reasonable rules and procedures (including those related to health and safety).</w:t>
      </w:r>
    </w:p>
    <w:p w:rsidRPr="00BF5DF7" w:rsidR="007C2163" w:rsidP="007C2163" w:rsidRDefault="007C2163" w14:paraId="2044ABE1" w14:textId="77777777">
      <w:pPr>
        <w:pStyle w:val="zGTC02"/>
        <w:rPr>
          <w:rFonts w:ascii="Arial" w:hAnsi="Arial" w:eastAsia="PMingLiU" w:cs="Arial"/>
          <w:vanish/>
          <w:szCs w:val="20"/>
          <w:specVanish/>
        </w:rPr>
      </w:pPr>
      <w:bookmarkStart w:name="_Toc212472985" w:id="93"/>
      <w:bookmarkStart w:name="_Toc227840674" w:id="94"/>
      <w:r>
        <w:rPr>
          <w:rFonts w:ascii="Arial" w:hAnsi="Arial" w:cs="Arial"/>
        </w:rPr>
        <w:t>Permitting.</w:t>
      </w:r>
      <w:bookmarkEnd w:id="93"/>
      <w:bookmarkEnd w:id="94"/>
    </w:p>
    <w:p w:rsidRPr="00BF5DF7" w:rsidR="007C2163" w:rsidP="007C2163" w:rsidRDefault="007C2163" w14:paraId="05829D40" w14:textId="5278E485">
      <w:pPr>
        <w:pStyle w:val="zGNormal"/>
      </w:pPr>
      <w:r>
        <w:t xml:space="preserve"> A Seller Event of Default will arise under Section 16.1.12 (</w:t>
      </w:r>
      <w:r>
        <w:rPr>
          <w:i/>
          <w:iCs/>
        </w:rPr>
        <w:t xml:space="preserve">Failure to Obtain Air Permit by Air Permit </w:t>
      </w:r>
      <w:r w:rsidR="005F70E8">
        <w:rPr>
          <w:i/>
          <w:iCs/>
        </w:rPr>
        <w:t xml:space="preserve">Milestone </w:t>
      </w:r>
      <w:r>
        <w:rPr>
          <w:i/>
          <w:iCs/>
        </w:rPr>
        <w:t>Date</w:t>
      </w:r>
      <w:r>
        <w:t xml:space="preserve">) </w:t>
      </w:r>
      <w:bookmarkStart w:name="_Hlk26528383" w:id="95"/>
      <w:r>
        <w:t xml:space="preserve">if Seller: (i) does not obtain the Air Permit by the Air Permit </w:t>
      </w:r>
      <w:r w:rsidR="005268C9">
        <w:t xml:space="preserve">Milestone </w:t>
      </w:r>
      <w:r>
        <w:t xml:space="preserve">Date; or (ii) reasonably determines that Seller will not obtain the Air Permit by the Air Permit </w:t>
      </w:r>
      <w:r w:rsidR="005268C9">
        <w:t xml:space="preserve">Milestone </w:t>
      </w:r>
      <w:r>
        <w:t>Date</w:t>
      </w:r>
      <w:bookmarkEnd w:id="95"/>
      <w:r>
        <w:t>. In either case, Seller must promptly deliver to GPC notice  regarding the event. If GPC terminates this PPA in accordance with Section 16.3.1 (</w:t>
      </w:r>
      <w:r>
        <w:rPr>
          <w:i/>
          <w:iCs/>
        </w:rPr>
        <w:t>Remedies for Event of Default</w:t>
      </w:r>
      <w:r>
        <w:t>) for a Seller Event of Default under Section 16.1.12, Seller must pay to GPC the Termination Payment under Section 16.3 (</w:t>
      </w:r>
      <w:r>
        <w:rPr>
          <w:i/>
          <w:iCs/>
        </w:rPr>
        <w:t>Remedies</w:t>
      </w:r>
      <w:r>
        <w:t>).</w:t>
      </w:r>
      <w:bookmarkStart w:name="_Hlk32828506" w:id="96"/>
      <w:r>
        <w:t xml:space="preserve"> Seller must also reimburse GPC for the total costs incurred by GPC for modifications to the Electric System associated with the Facility and the delivery of energy from the Facility to GPC’s customers</w:t>
      </w:r>
      <w:bookmarkEnd w:id="96"/>
      <w:r>
        <w:t>. Following any such termination and Seller’s payment to GPC of all required damages under this Section 7.3, (</w:t>
      </w:r>
      <w:r>
        <w:rPr>
          <w:i/>
          <w:iCs/>
        </w:rPr>
        <w:t>Permitting</w:t>
      </w:r>
      <w:r>
        <w:t>) neither Party will have any other liability to the other Party under this PPA.</w:t>
      </w:r>
    </w:p>
    <w:p w:rsidRPr="00BF5DF7" w:rsidR="00B62C71" w:rsidP="00B62C71" w:rsidRDefault="007C2163" w14:paraId="721FC1C4" w14:textId="73000CEA">
      <w:pPr>
        <w:pStyle w:val="zGTC02"/>
        <w:rPr>
          <w:rFonts w:ascii="Arial" w:hAnsi="Arial" w:eastAsia="PMingLiU" w:cs="Arial"/>
          <w:vanish/>
          <w:szCs w:val="20"/>
          <w:specVanish/>
        </w:rPr>
      </w:pPr>
      <w:bookmarkStart w:name="_Toc212472986" w:id="97"/>
      <w:bookmarkStart w:name="_Toc227840675" w:id="98"/>
      <w:r>
        <w:rPr>
          <w:rFonts w:ascii="Arial" w:hAnsi="Arial" w:cs="Arial"/>
        </w:rPr>
        <w:t>Failure to Achieve Commercial Operation by RCOD.</w:t>
      </w:r>
      <w:bookmarkEnd w:id="97"/>
      <w:bookmarkEnd w:id="98"/>
    </w:p>
    <w:p w:rsidRPr="00BF5DF7" w:rsidR="00650E13" w:rsidP="00BA328F" w:rsidRDefault="00650E13" w14:paraId="1BB6DA80" w14:textId="475983D3">
      <w:pPr>
        <w:pStyle w:val="zGTC02"/>
        <w:numPr>
          <w:ilvl w:val="0"/>
          <w:numId w:val="0"/>
        </w:numPr>
        <w:rPr>
          <w:rFonts w:ascii="Arial" w:hAnsi="Arial" w:eastAsia="PMingLiU" w:cs="Arial"/>
        </w:rPr>
      </w:pPr>
    </w:p>
    <w:p w:rsidRPr="00BF5DF7" w:rsidR="00B65B1A" w:rsidP="00A07A29" w:rsidRDefault="00A07A29" w14:paraId="67F7D451" w14:textId="448CF705">
      <w:pPr>
        <w:pStyle w:val="zGTC03"/>
      </w:pPr>
      <w:r>
        <w:rPr>
          <w:b/>
          <w:bCs/>
          <w:w w:val="0"/>
        </w:rPr>
        <w:t xml:space="preserve">Delay Liquidated Damages. </w:t>
      </w:r>
      <w:r>
        <w:rPr>
          <w:w w:val="0"/>
        </w:rPr>
        <w:t xml:space="preserve">If Seller fails to </w:t>
      </w:r>
      <w:bookmarkStart w:name="_Hlk16781251" w:id="99"/>
      <w:r>
        <w:rPr>
          <w:w w:val="0"/>
        </w:rPr>
        <w:t>achieve Commercial Operation by the RCOD</w:t>
      </w:r>
      <w:bookmarkEnd w:id="99"/>
      <w:r>
        <w:rPr>
          <w:w w:val="0"/>
        </w:rPr>
        <w:t xml:space="preserve">, Seller must pay to </w:t>
      </w:r>
      <w:r>
        <w:t>GPC</w:t>
      </w:r>
      <w:r>
        <w:rPr>
          <w:w w:val="0"/>
        </w:rPr>
        <w:t xml:space="preserve"> delay liquidated damages calculated in accordance with Part 2 (</w:t>
      </w:r>
      <w:r>
        <w:rPr>
          <w:i/>
          <w:iCs/>
          <w:w w:val="0"/>
        </w:rPr>
        <w:t>Liquidated Damages</w:t>
      </w:r>
      <w:r>
        <w:rPr>
          <w:w w:val="0"/>
        </w:rPr>
        <w:t>) of Exhibit A-2 (</w:t>
      </w:r>
      <w:r>
        <w:rPr>
          <w:i/>
          <w:iCs/>
          <w:w w:val="0"/>
        </w:rPr>
        <w:t>Performance Security and Liquidated Damages</w:t>
      </w:r>
      <w:r>
        <w:rPr>
          <w:w w:val="0"/>
        </w:rPr>
        <w:t>), prorated daily, until the earlier of: (i) the COD; (ii) the Day GPC receives notice from Seller that Commercial Operation will not be achieved; or (iii) termination of this PPA for a</w:t>
      </w:r>
      <w:r w:rsidR="009216BE">
        <w:rPr>
          <w:w w:val="0"/>
        </w:rPr>
        <w:t>n</w:t>
      </w:r>
      <w:r>
        <w:rPr>
          <w:w w:val="0"/>
        </w:rPr>
        <w:t xml:space="preserve"> Event of Default</w:t>
      </w:r>
      <w:r w:rsidR="009216BE">
        <w:rPr>
          <w:w w:val="0"/>
        </w:rPr>
        <w:t xml:space="preserve"> by Seller</w:t>
      </w:r>
      <w:r>
        <w:rPr>
          <w:w w:val="0"/>
        </w:rPr>
        <w:t>.</w:t>
      </w:r>
    </w:p>
    <w:p w:rsidRPr="00BF5DF7" w:rsidR="00B65B1A" w:rsidP="00A07A29" w:rsidRDefault="00B65B1A" w14:paraId="222ADAA4" w14:textId="0464553E">
      <w:pPr>
        <w:pStyle w:val="zGTC03"/>
        <w:rPr>
          <w:w w:val="0"/>
        </w:rPr>
      </w:pPr>
      <w:r>
        <w:rPr>
          <w:b/>
        </w:rPr>
        <w:t xml:space="preserve">No Payment to Seller during Delay. </w:t>
      </w:r>
      <w:r>
        <w:t>GPC will not owe any Monthly Capacity Payment to Seller during any period of delay in achieving Commercial Operation.</w:t>
      </w:r>
    </w:p>
    <w:p w:rsidRPr="00BF5DF7" w:rsidR="007C2163" w:rsidP="006646FB" w:rsidRDefault="006646FB" w14:paraId="4C6445AC" w14:textId="72126C6C">
      <w:pPr>
        <w:pStyle w:val="zGTC03"/>
        <w:rPr>
          <w:w w:val="0"/>
        </w:rPr>
      </w:pPr>
      <w:r>
        <w:rPr>
          <w:b/>
          <w:w w:val="0"/>
        </w:rPr>
        <w:t>Seller Payment of Delay Liquidated Damages; Pre-COD Termination Damages</w:t>
      </w:r>
      <w:r>
        <w:rPr>
          <w:b/>
          <w:bCs/>
          <w:w w:val="0"/>
        </w:rPr>
        <w:t>.</w:t>
      </w:r>
      <w:r>
        <w:rPr>
          <w:b/>
          <w:w w:val="0"/>
        </w:rPr>
        <w:t xml:space="preserve"> </w:t>
      </w:r>
      <w:r>
        <w:t xml:space="preserve">Seller must pay GPC on a Monthly basis by no later than 10 Days after the end of the applicable Month delay liquidated damages </w:t>
      </w:r>
      <w:r w:rsidR="00646E6C">
        <w:t xml:space="preserve">that accrued </w:t>
      </w:r>
      <w:r>
        <w:t>under this Section 7.4 (</w:t>
      </w:r>
      <w:r>
        <w:rPr>
          <w:i/>
        </w:rPr>
        <w:t>Failure to Achieve Commercial Operation by RCOD</w:t>
      </w:r>
      <w:r>
        <w:t>)</w:t>
      </w:r>
      <w:r w:rsidR="00646E6C">
        <w:t xml:space="preserve"> during the preceding Month</w:t>
      </w:r>
      <w:r>
        <w:t xml:space="preserve">. </w:t>
      </w:r>
      <w:r w:rsidR="00E14596">
        <w:t>In accordance with Section 6.3 (</w:t>
      </w:r>
      <w:r w:rsidRPr="00CB202C" w:rsidR="00E14596">
        <w:rPr>
          <w:i/>
          <w:iCs/>
        </w:rPr>
        <w:t>Draws; Replenishment</w:t>
      </w:r>
      <w:r w:rsidR="00E14596">
        <w:t xml:space="preserve">): (i) GPC may draw upon the Performance Security to recover delay liquidated damages owed under this Section 7.4 to the extent not paid when due; and (ii) Seller must replenish the Performance Security. </w:t>
      </w:r>
      <w:r>
        <w:t>The Parties will resolve any dispute regarding delay liquidated damages under this Section 7.4 in accordance with Section 5.2 (</w:t>
      </w:r>
      <w:r>
        <w:rPr>
          <w:i/>
        </w:rPr>
        <w:t>Billing Disputes and Final Accounting</w:t>
      </w:r>
      <w:r>
        <w:t xml:space="preserve">). </w:t>
      </w:r>
      <w:r w:rsidR="00C724D1">
        <w:t>I</w:t>
      </w:r>
      <w:r w:rsidR="0000688D">
        <w:t xml:space="preserve">f Seller notifies GPC that Seller has reasonably determined that </w:t>
      </w:r>
      <w:r w:rsidR="006F0ABB">
        <w:t xml:space="preserve">it </w:t>
      </w:r>
      <w:r w:rsidR="0000688D">
        <w:t xml:space="preserve">will not achieve Commercial Operation and GPC does not terminate this PPA within 30 Days </w:t>
      </w:r>
      <w:r w:rsidR="00B72568">
        <w:t>after GPC’s</w:t>
      </w:r>
      <w:r w:rsidR="0000688D">
        <w:t xml:space="preserve"> receipt of Seller’s notice, Seller will have the right to terminate this PPA on notice to </w:t>
      </w:r>
      <w:r w:rsidR="0000688D">
        <w:lastRenderedPageBreak/>
        <w:t>GPC. A Seller termination in accordance with the preceding sentence will constitute a Seller Event of Default under Section 16.1.1</w:t>
      </w:r>
      <w:r w:rsidR="008028DA">
        <w:t>1</w:t>
      </w:r>
      <w:r w:rsidR="009263B4">
        <w:t xml:space="preserve"> (</w:t>
      </w:r>
      <w:r w:rsidRPr="009263B4" w:rsidR="009263B4">
        <w:rPr>
          <w:i/>
          <w:iCs/>
        </w:rPr>
        <w:t>Abandonment or Failure to Achieve RCOD</w:t>
      </w:r>
      <w:r w:rsidR="009263B4">
        <w:t>)</w:t>
      </w:r>
      <w:r w:rsidR="008028DA">
        <w:t xml:space="preserve">. </w:t>
      </w:r>
      <w:r>
        <w:t xml:space="preserve">If GPC terminates this PPA for a Seller Event of Default under Section 16.1.11, </w:t>
      </w:r>
      <w:r w:rsidR="001F76C3">
        <w:t xml:space="preserve">or if Seller terminates this PPA in accordance with the preceding sentence, </w:t>
      </w:r>
      <w:r>
        <w:t xml:space="preserve">then, in addition to Seller’s payment of the delay liquidated damages that accrue under Section 7.4, Seller must pay to GPC </w:t>
      </w:r>
      <w:r w:rsidR="005A3363">
        <w:t xml:space="preserve">as </w:t>
      </w:r>
      <w:r>
        <w:t>the Termination Payment</w:t>
      </w:r>
      <w:r w:rsidR="005A3363">
        <w:t xml:space="preserve">, </w:t>
      </w:r>
      <w:r w:rsidRPr="005C37FD" w:rsidR="005A3363">
        <w:t>termination liquidated damages in an amount equal to the applicable Performance Security amount shown in Part 1 (Performance Security) of Exhibit A-2 (</w:t>
      </w:r>
      <w:r w:rsidRPr="003A1C15" w:rsidR="005A3363">
        <w:rPr>
          <w:i/>
          <w:iCs/>
        </w:rPr>
        <w:t>Performance Security and Liquidated Damages</w:t>
      </w:r>
      <w:r w:rsidRPr="005C37FD" w:rsidR="005A3363">
        <w:t>)</w:t>
      </w:r>
      <w:r>
        <w:t xml:space="preserve">. </w:t>
      </w:r>
      <w:r w:rsidR="002A29C6">
        <w:t xml:space="preserve">Seller must also reimburse GPC for the total costs GPC incurred for modifications to the Electric System associated with the Facility and the delivery of energy from the Facility to GPC’s customers, subject to any applicable requirement of the Southern OATT. </w:t>
      </w:r>
      <w:r>
        <w:t>Following termination, as described in the preceding sentences, and Seller’s payment to GPC of all required damages in accordance with this Section 7.4.3 (</w:t>
      </w:r>
      <w:r>
        <w:rPr>
          <w:i/>
          <w:iCs/>
        </w:rPr>
        <w:t>Seller Payment of Delay Liquidated Damages; Pre-COD Termination Damages</w:t>
      </w:r>
      <w:r>
        <w:t>) and Section 16.3.2, neither Party will have any other liability to the other Party under this PPA.</w:t>
      </w:r>
    </w:p>
    <w:p w:rsidRPr="00946604" w:rsidR="00E24C64" w:rsidP="004D36CE" w:rsidRDefault="00E24C64" w14:paraId="214A38C0" w14:textId="1B32486A">
      <w:pPr>
        <w:pStyle w:val="zGTC03"/>
      </w:pPr>
      <w:r>
        <w:rPr>
          <w:b/>
        </w:rPr>
        <w:t>RCOD Exceptions</w:t>
      </w:r>
      <w:r>
        <w:rPr>
          <w:b/>
          <w:bCs/>
        </w:rPr>
        <w:t>.</w:t>
      </w:r>
      <w:r>
        <w:t xml:space="preserve"> If Seller’s failure to achieve Commercial Operation by the RCOD is solely caused by: (i) an FME under Section 15.3 (</w:t>
      </w:r>
      <w:r>
        <w:rPr>
          <w:i/>
        </w:rPr>
        <w:t>No Breach or Liability</w:t>
      </w:r>
      <w:r>
        <w:t>); or (ii) if one of the Southern Companies is the Interconnection Provider, a delay in the construction by Interconnection provider of Interconnection Facilities, so long as Seller has complied with Section 8.1.3 (</w:t>
      </w:r>
      <w:r>
        <w:rPr>
          <w:i/>
        </w:rPr>
        <w:t>Interconnection Projected Completion Date</w:t>
      </w:r>
      <w:r>
        <w:t xml:space="preserve">), and the delay is not caused by any action or inaction on the part of Seller, the RCOD will be extended, in each case, </w:t>
      </w:r>
      <w:r w:rsidR="00C878C4">
        <w:t xml:space="preserve"> </w:t>
      </w:r>
      <w:r w:rsidR="00F572AA">
        <w:t xml:space="preserve">by the number of days </w:t>
      </w:r>
      <w:r w:rsidR="00C878C4">
        <w:t xml:space="preserve">supported by </w:t>
      </w:r>
      <w:r w:rsidR="00C002B6">
        <w:t>a</w:t>
      </w:r>
      <w:r w:rsidR="00C878C4">
        <w:t xml:space="preserve"> critical path analysis</w:t>
      </w:r>
      <w:r>
        <w:t xml:space="preserve">. In the case of (ii), if Seller has not met all IA obligations in a timely manner, Seller’s failure to achieve Commercial Operation by the RCOD will not be excused, the RCOD will not be extended, and, while </w:t>
      </w:r>
      <w:r w:rsidR="001066E0">
        <w:t xml:space="preserve">the Interconnection Provider </w:t>
      </w:r>
      <w:r>
        <w:t>completes construction of the Interconnection Facilities, Seller will owe delay liquidated damages for each Day of delay after RCOD as set forth in Section 6.3 (</w:t>
      </w:r>
      <w:r>
        <w:rPr>
          <w:i/>
        </w:rPr>
        <w:t>Draws; Replenishment</w:t>
      </w:r>
      <w:r>
        <w:t>).</w:t>
      </w:r>
    </w:p>
    <w:p w:rsidRPr="00BF5DF7" w:rsidR="00E24C64" w:rsidP="006646FB" w:rsidRDefault="00E24C64" w14:paraId="2F20821B" w14:textId="01DA8A1B">
      <w:pPr>
        <w:pStyle w:val="zGTC03"/>
        <w:rPr>
          <w:w w:val="0"/>
        </w:rPr>
      </w:pPr>
      <w:r>
        <w:rPr>
          <w:b/>
          <w:w w:val="0"/>
        </w:rPr>
        <w:t>Liability Following Termination</w:t>
      </w:r>
      <w:r>
        <w:rPr>
          <w:b/>
          <w:bCs/>
          <w:w w:val="0"/>
        </w:rPr>
        <w:t xml:space="preserve">. </w:t>
      </w:r>
      <w:r>
        <w:rPr>
          <w:w w:val="0"/>
        </w:rPr>
        <w:t>If GPC terminates this PPA in accordance with Section 16.3 (</w:t>
      </w:r>
      <w:r>
        <w:rPr>
          <w:i/>
          <w:w w:val="0"/>
        </w:rPr>
        <w:t>Remedies</w:t>
      </w:r>
      <w:r>
        <w:rPr>
          <w:w w:val="0"/>
        </w:rPr>
        <w:t>) for a Seller Event of Default under Section 16.1.11 (</w:t>
      </w:r>
      <w:r>
        <w:rPr>
          <w:i/>
          <w:iCs/>
          <w:w w:val="0"/>
        </w:rPr>
        <w:t xml:space="preserve">Abandonment or </w:t>
      </w:r>
      <w:r>
        <w:rPr>
          <w:i/>
          <w:w w:val="0"/>
        </w:rPr>
        <w:t>Failure to Achieve RCOD</w:t>
      </w:r>
      <w:r>
        <w:rPr>
          <w:w w:val="0"/>
        </w:rPr>
        <w:t>), Seller will owe the Termination Payment under Section 16.3.2 (</w:t>
      </w:r>
      <w:r>
        <w:rPr>
          <w:i/>
          <w:iCs/>
          <w:w w:val="0"/>
        </w:rPr>
        <w:t>Termination Payment</w:t>
      </w:r>
      <w:r>
        <w:rPr>
          <w:w w:val="0"/>
        </w:rPr>
        <w:t xml:space="preserve">) in addition to the delay liquidated damages that accrue before termination. After the termination, other than the requirement for Seller to pay the damages that accrue under this Section 7.4 </w:t>
      </w:r>
      <w:r>
        <w:t>(</w:t>
      </w:r>
      <w:r>
        <w:rPr>
          <w:i/>
        </w:rPr>
        <w:t>Failure to Achieve Commercial Operation by RCOD</w:t>
      </w:r>
      <w:r>
        <w:t>)</w:t>
      </w:r>
      <w:r w:rsidR="00CF1453">
        <w:t xml:space="preserve"> and Section 16.3.2 (</w:t>
      </w:r>
      <w:r w:rsidRPr="00CF1453" w:rsidR="00CF1453">
        <w:rPr>
          <w:i/>
          <w:iCs/>
        </w:rPr>
        <w:t>Termination Payment</w:t>
      </w:r>
      <w:r w:rsidR="00CF1453">
        <w:t>)</w:t>
      </w:r>
      <w:r>
        <w:rPr>
          <w:i/>
          <w:w w:val="0"/>
        </w:rPr>
        <w:t>,</w:t>
      </w:r>
      <w:r>
        <w:rPr>
          <w:w w:val="0"/>
        </w:rPr>
        <w:t xml:space="preserve"> neither Party will have any further liability to the other Party under this PPA.</w:t>
      </w:r>
    </w:p>
    <w:p w:rsidRPr="00BF5DF7" w:rsidR="00B13892" w:rsidP="006646FB" w:rsidRDefault="00930042" w14:paraId="0D2F9F06" w14:textId="3CE99EB1">
      <w:pPr>
        <w:pStyle w:val="zGTC03"/>
        <w:rPr>
          <w:rStyle w:val="zGNormalChar"/>
          <w:rFonts w:eastAsia="Times New Roman" w:cs="Times New Roman"/>
          <w:b/>
          <w:bCs/>
          <w:w w:val="0"/>
        </w:rPr>
      </w:pPr>
      <w:r>
        <w:rPr>
          <w:rStyle w:val="zGNormalChar"/>
          <w:b/>
          <w:bCs/>
        </w:rPr>
        <w:t>Commercial Operation Delay Caused by Southern Company Transmission System Capability or Natural Gas Supply Transportation Capability.</w:t>
      </w:r>
    </w:p>
    <w:p w:rsidRPr="00192433" w:rsidR="006011F2" w:rsidP="00822AF3" w:rsidRDefault="008F1A3D" w14:paraId="599CBDF5" w14:textId="7B393BED">
      <w:pPr>
        <w:pStyle w:val="zGTC04"/>
      </w:pPr>
      <w:r>
        <w:rPr>
          <w:b/>
          <w:bCs/>
        </w:rPr>
        <w:t xml:space="preserve">RCOD Extensions to Accommodate Start-Up and Testing. </w:t>
      </w:r>
      <w:r>
        <w:t xml:space="preserve">If Seller’s start-up and testing activities for the Facility are delayed, as a critical path item on the Milestone Schedule, solely and directly by: (a) </w:t>
      </w:r>
      <w:bookmarkStart w:name="_Hlk32828897" w:id="100"/>
      <w:r>
        <w:t xml:space="preserve">if the Facility is interconnected to the Southern Company Transmission System, </w:t>
      </w:r>
      <w:bookmarkEnd w:id="100"/>
      <w:r>
        <w:t xml:space="preserve">a delay in the construction of Interconnection Facilities in accordance with the IA schedule for which delay the Interconnection Provider </w:t>
      </w:r>
      <w:bookmarkStart w:name="_Hlk32828972" w:id="101"/>
      <w:r>
        <w:t>is responsible</w:t>
      </w:r>
      <w:bookmarkEnd w:id="101"/>
      <w:r>
        <w:t>; or (b) a delay by the Natural Gas transportation provider(s) in timely constructing the requisite Natural Gas metering and interconnection facilities to reasonably accommodate Seller’s start-up and testing activities for the Facility under the Milestone Schedule, and because of the delay in Seller’s start-up and testing activities for the Facility, Seller is prevented from achieving Commercial Operation by the RCOD, then the RCOD will be extended to a date that will reasonably accommodate Seller’s start-up and testing activities based on the impact to the critical path of the Milestone Schedule, so long as, as a condition to the extension, Seller undertakes all commercially reasonable efforts to avoid, overcome, or otherwise mitigate the impact to the critical path of the Milestone Schedule. Despite any provision in this PPA, this Section 7.4.6 (</w:t>
      </w:r>
      <w:r>
        <w:rPr>
          <w:i/>
          <w:iCs/>
        </w:rPr>
        <w:t>Commercial Operation Delay Caused by Southern Company Transmission System Capability or Natural Gas Supply Transportation Capability</w:t>
      </w:r>
      <w:r>
        <w:t>) will not apply, and there will be no extension of the RCOD: (I) in the case of any delay in the construction of Interconnection Facilities if Seller has not timely complied with Section 8.1 (</w:t>
      </w:r>
      <w:r>
        <w:rPr>
          <w:i/>
          <w:iCs/>
        </w:rPr>
        <w:t>Interconnection</w:t>
      </w:r>
      <w:r>
        <w:t>), including timely performance of its obligations under the IA; or (II) in the case of any other delay that is caused, in whole or in part, by any action or inaction on the part of Seller.</w:t>
      </w:r>
    </w:p>
    <w:p w:rsidRPr="00192433" w:rsidR="008F1A3D" w:rsidP="008F1A3D" w:rsidRDefault="008F1A3D" w14:paraId="30753AD8" w14:textId="1DFA0F00">
      <w:pPr>
        <w:pStyle w:val="zGTC04"/>
        <w:rPr>
          <w:szCs w:val="20"/>
        </w:rPr>
      </w:pPr>
      <w:r>
        <w:rPr>
          <w:b/>
          <w:bCs/>
          <w:szCs w:val="20"/>
        </w:rPr>
        <w:t xml:space="preserve">Exclusive Remedies. </w:t>
      </w:r>
      <w:r>
        <w:rPr>
          <w:szCs w:val="20"/>
        </w:rPr>
        <w:t xml:space="preserve">Seller understands and acknowledges that extension of RCOD in accordance with Section 7.4.6(i) </w:t>
      </w:r>
      <w:r>
        <w:t>(</w:t>
      </w:r>
      <w:r>
        <w:rPr>
          <w:i/>
          <w:iCs/>
        </w:rPr>
        <w:t>RCOD Extensions to Accommodate Start-Up and Testing</w:t>
      </w:r>
      <w:r>
        <w:t>)</w:t>
      </w:r>
      <w:r>
        <w:rPr>
          <w:szCs w:val="20"/>
        </w:rPr>
        <w:t xml:space="preserve"> will be Seller’s exclusive remedy for any delay described in items (a) or (b) in Section 7.4.6(i).</w:t>
      </w:r>
    </w:p>
    <w:p w:rsidRPr="006E49B6" w:rsidR="0005056A" w:rsidP="00820BC6" w:rsidRDefault="008F1A3D" w14:paraId="2B33DD1B" w14:textId="14F36AB1">
      <w:pPr>
        <w:pStyle w:val="zGTC04"/>
        <w:rPr>
          <w:b/>
        </w:rPr>
      </w:pPr>
      <w:r>
        <w:rPr>
          <w:b/>
          <w:bCs/>
          <w:szCs w:val="20"/>
        </w:rPr>
        <w:t xml:space="preserve">No PPA Term Extension. </w:t>
      </w:r>
      <w:r>
        <w:rPr>
          <w:szCs w:val="20"/>
        </w:rPr>
        <w:t xml:space="preserve">Despite any other provision in this PPA, an extension of RCOD under Section 7.4.6(i) </w:t>
      </w:r>
      <w:r>
        <w:t>(</w:t>
      </w:r>
      <w:r>
        <w:rPr>
          <w:i/>
          <w:iCs/>
        </w:rPr>
        <w:t>RCOD Extensions to Accommodate Start-Up and Testing</w:t>
      </w:r>
      <w:r>
        <w:t>)</w:t>
      </w:r>
      <w:r>
        <w:rPr>
          <w:szCs w:val="20"/>
        </w:rPr>
        <w:t xml:space="preserve"> will not cause </w:t>
      </w:r>
      <w:r>
        <w:rPr>
          <w:szCs w:val="20"/>
        </w:rPr>
        <w:lastRenderedPageBreak/>
        <w:t>an extension of the Term, and no delay described in items (a) or (b) of Section 7.4.6(i) will otherwise extend this PPA beyond its stated Term.</w:t>
      </w:r>
    </w:p>
    <w:p w:rsidRPr="00F10071" w:rsidR="007C2163" w:rsidP="007C2163" w:rsidRDefault="007C2163" w14:paraId="3DD1B645" w14:textId="3137714E">
      <w:pPr>
        <w:pStyle w:val="zGTC01"/>
        <w:rPr>
          <w:rFonts w:ascii="Arial" w:hAnsi="Arial"/>
          <w:szCs w:val="20"/>
        </w:rPr>
      </w:pPr>
      <w:bookmarkStart w:name="_Toc212472987" w:id="102"/>
      <w:bookmarkStart w:name="_Toc227840676" w:id="103"/>
      <w:r>
        <w:rPr>
          <w:rFonts w:ascii="Arial" w:hAnsi="Arial"/>
          <w:szCs w:val="20"/>
        </w:rPr>
        <w:t>Interconnection and Metering</w:t>
      </w:r>
      <w:bookmarkEnd w:id="102"/>
      <w:bookmarkEnd w:id="103"/>
    </w:p>
    <w:p w:rsidRPr="00F10071" w:rsidR="007C2163" w:rsidP="007C2163" w:rsidRDefault="007C2163" w14:paraId="314A464A" w14:textId="77777777">
      <w:pPr>
        <w:pStyle w:val="zGTC02"/>
        <w:rPr>
          <w:rFonts w:ascii="Arial" w:hAnsi="Arial" w:eastAsia="PMingLiU" w:cs="Arial"/>
          <w:vanish/>
          <w:szCs w:val="20"/>
          <w:specVanish/>
        </w:rPr>
      </w:pPr>
      <w:bookmarkStart w:name="_Toc212472988" w:id="104"/>
      <w:bookmarkStart w:name="_Toc227840677" w:id="105"/>
      <w:r>
        <w:rPr>
          <w:rFonts w:ascii="Arial" w:hAnsi="Arial" w:cs="Arial"/>
          <w:szCs w:val="20"/>
        </w:rPr>
        <w:t>Interconnection.</w:t>
      </w:r>
      <w:bookmarkEnd w:id="104"/>
      <w:bookmarkEnd w:id="105"/>
    </w:p>
    <w:p w:rsidR="008C25A0" w:rsidP="007C2163" w:rsidRDefault="007C2163" w14:paraId="2522433D" w14:textId="2FBABB46">
      <w:pPr>
        <w:pStyle w:val="zGNormal"/>
      </w:pPr>
      <w:r>
        <w:t xml:space="preserve"> </w:t>
      </w:r>
    </w:p>
    <w:p w:rsidRPr="00192433" w:rsidR="00680FAA" w:rsidP="00287C6F" w:rsidRDefault="00287C6F" w14:paraId="08C889FD" w14:textId="1FB699EE">
      <w:pPr>
        <w:pStyle w:val="zGTC03"/>
      </w:pPr>
      <w:r>
        <w:rPr>
          <w:b/>
          <w:bCs/>
        </w:rPr>
        <w:t xml:space="preserve">Interconnection Study and Entry into IA. </w:t>
      </w:r>
      <w:r>
        <w:t xml:space="preserve">Seller must (a) have entered into an IA with the Interconnection Provider on or before the Effective Date, or </w:t>
      </w:r>
      <w:r>
        <w:rPr>
          <w:u w:val="single"/>
        </w:rPr>
        <w:t>(b)</w:t>
      </w:r>
      <w:r>
        <w:t xml:space="preserve"> enter into an IA with the Interconnection Provider by no later than 30 Days after the Interconnection Provider presents Seller with the IA for execution, unless GPC agrees otherwise in writing. Seller must timely comply with all obligations under the Interconnection Study Agreement and IA, including timely submission of required data, documentation, and payment, as applicable. The Interconnection Study Agreement must address the full seasonal capability of the Facility. The IA must be maintained </w:t>
      </w:r>
      <w:r w:rsidR="006267C1">
        <w:t xml:space="preserve">in effect </w:t>
      </w:r>
      <w:r>
        <w:t xml:space="preserve">throughout the Term (or, if entered into after the Effective Date, throughout the remainder of the Term). Seller must promptly provide </w:t>
      </w:r>
      <w:r w:rsidR="007D6D24">
        <w:t xml:space="preserve">notice </w:t>
      </w:r>
      <w:r>
        <w:t xml:space="preserve">to GPC </w:t>
      </w:r>
      <w:r w:rsidR="007D6D24">
        <w:t>of the execution of the</w:t>
      </w:r>
      <w:r>
        <w:t xml:space="preserve"> IA</w:t>
      </w:r>
      <w:r w:rsidR="007D6D24">
        <w:t xml:space="preserve"> or any amendment to the IA, including a copy of the executed IA or amendment</w:t>
      </w:r>
      <w:r>
        <w:t xml:space="preserve">. </w:t>
      </w:r>
    </w:p>
    <w:p w:rsidR="007C2163" w:rsidP="00287C6F" w:rsidRDefault="008F1372" w14:paraId="09775AD4" w14:textId="6180CDE1">
      <w:pPr>
        <w:pStyle w:val="zGTC03"/>
      </w:pPr>
      <w:r>
        <w:rPr>
          <w:b/>
          <w:bCs/>
        </w:rPr>
        <w:t xml:space="preserve">Interconnection Costs and Expenses. </w:t>
      </w:r>
      <w:r>
        <w:t>GPC will not be responsible under this PPA for any cost or expense (including overheads and administrative costs) or risk incurred concerning: (i) the Interconnection Study; or (ii) the design, construction, installation, modification, or maintenance of the Interconnection Facilities. Seller is responsible for determining all transmission- and interconnection-related rules, practices, and policies with which Seller must comply. Seller also is responsible for satisfying the payment or security requirements of the Interconnection Provider and any Affected System or Transmission Service Provider. For the avoidance of doubt, if the POD is a Southern Transmission Interface, Seller is responsible for the cost and risk for both interconnection and delivery to the Southern Transmission Interface.</w:t>
      </w:r>
    </w:p>
    <w:p w:rsidRPr="00192433" w:rsidR="009905AB" w:rsidP="00702FE9" w:rsidRDefault="009905AB" w14:paraId="2132EBB1" w14:textId="0F77514A">
      <w:pPr>
        <w:pStyle w:val="zGTC03"/>
      </w:pPr>
      <w:r>
        <w:rPr>
          <w:b/>
          <w:bCs/>
        </w:rPr>
        <w:t xml:space="preserve">Interconnection Projected Completion Date. </w:t>
      </w:r>
      <w:r>
        <w:t xml:space="preserve">The IA must reflect a projected completion date for construction or modification of the Interconnection Facilities, including a reasonable schedule between initial synchronization and the </w:t>
      </w:r>
      <w:r w:rsidR="002819FC">
        <w:t>R</w:t>
      </w:r>
      <w:r>
        <w:t>COD to allow for operations verification and testing consistent with the Interconnection Provider’s current practices. Seller must, in a timely manner, execute and perform under the IA, including providing timely notice to proceed, timely submission of required data and documentation, and timely payment or security. Seller acknowledges that before entering any IA concerning the Southern Company Transmission System, Seller may need to enter an engineering, procurement, and construction agreement to provide timely notice to proceed.</w:t>
      </w:r>
    </w:p>
    <w:p w:rsidRPr="00192433" w:rsidR="00464805" w:rsidDel="00772802" w:rsidP="00464805" w:rsidRDefault="00464805" w14:paraId="4A3F8F72" w14:textId="44046C77">
      <w:pPr>
        <w:pStyle w:val="zGTC03"/>
      </w:pPr>
      <w:r>
        <w:rPr>
          <w:b/>
          <w:bCs/>
        </w:rPr>
        <w:t xml:space="preserve">Interconnection to Southern Company Transmission System. </w:t>
      </w:r>
      <w:r>
        <w:t>If the Facility is interconnected to the Southern Company Transmission System, the IA will be read in conjunction with this Part 8 (</w:t>
      </w:r>
      <w:r>
        <w:rPr>
          <w:i/>
          <w:iCs/>
        </w:rPr>
        <w:t>Interconnection and Metering</w:t>
      </w:r>
      <w:r>
        <w:t>) and any contradictory provision related to Facility interconnection will be resolved in favor of the IA.</w:t>
      </w:r>
    </w:p>
    <w:p w:rsidRPr="00192433" w:rsidR="007C2163" w:rsidP="00166783" w:rsidRDefault="007C2163" w14:paraId="42E4379B" w14:textId="5543D547">
      <w:pPr>
        <w:pStyle w:val="zGTC02"/>
        <w:rPr>
          <w:rFonts w:eastAsia="PMingLiU"/>
          <w:vanish/>
          <w:specVanish/>
        </w:rPr>
      </w:pPr>
      <w:bookmarkStart w:name="_Toc212472989" w:id="106"/>
      <w:bookmarkStart w:name="_Toc227840678" w:id="107"/>
      <w:r>
        <w:t>Metering and Telemetry.</w:t>
      </w:r>
      <w:bookmarkEnd w:id="106"/>
      <w:bookmarkEnd w:id="107"/>
    </w:p>
    <w:p w:rsidRPr="00192433" w:rsidR="007C2163" w:rsidP="007C2163" w:rsidRDefault="007C2163" w14:paraId="4835FED0" w14:textId="10A9D9A1">
      <w:pPr>
        <w:pStyle w:val="zGTC02"/>
        <w:numPr>
          <w:ilvl w:val="0"/>
          <w:numId w:val="0"/>
        </w:numPr>
        <w:rPr>
          <w:rFonts w:ascii="Arial" w:hAnsi="Arial" w:cs="Arial"/>
          <w:szCs w:val="20"/>
        </w:rPr>
      </w:pPr>
    </w:p>
    <w:p w:rsidRPr="00F10071" w:rsidR="007C2163" w:rsidP="007C2163" w:rsidRDefault="009C7683" w14:paraId="5A7D52AB" w14:textId="3B3C02F9">
      <w:pPr>
        <w:pStyle w:val="zGTC03"/>
      </w:pPr>
      <w:r>
        <w:rPr>
          <w:b/>
        </w:rPr>
        <w:t xml:space="preserve">Metering System. </w:t>
      </w:r>
      <w:r>
        <w:t>Seller must ensure the Metering System is designed, located, constructed, installed, owned, operated, and maintained in accordance with the IA and Prudent Industry Practices to measure and record the energy delivered from the Facility to the POD, to: (i) determine the Facility capacity; and (ii) measure the availability of the Facility in meeting GPC’s Schedules. The Metering System will be of a mutually acceptable accuracy range and type, including audit capabilities. Seller, Seller’s Affiliates or the employees, subcontractors, or contractors of any of them must not adjust the Metering System without GPC’s written consent. GPC, at its own cost,</w:t>
      </w:r>
      <w:r w:rsidR="00E91725">
        <w:t xml:space="preserve"> may</w:t>
      </w:r>
      <w:r>
        <w:t xml:space="preserve"> install additional meters or other such facilities, equipment, or devices as GPC deems necessary or appropriate to monitor the measurements of the Metering System. Seller must install, at its own expense, all needed metering support equipment on its side of the POI to facilitate GPC’s dispatch of the Facility via AGC signals. Seller must, at Seller’s expense, install or upgrade the Facility control systems to allow GPC’s AGC dispatch of the Facility. GPC will reasonably establish the telemetering equipment and systems that are necessary to control the Facility from the Scheduling Center and Seller will, at Seller’s expense, install or cause the installation of the telemetering equipment. Seller must deliver to GPC all the telemetered data and any other data GPC requests.</w:t>
      </w:r>
    </w:p>
    <w:p w:rsidRPr="00F10071" w:rsidR="007C2163" w:rsidP="007C2163" w:rsidRDefault="00DB475A" w14:paraId="14D9538C" w14:textId="67EB8E6B">
      <w:pPr>
        <w:pStyle w:val="zGTC03"/>
      </w:pPr>
      <w:r>
        <w:rPr>
          <w:b/>
        </w:rPr>
        <w:t xml:space="preserve">Inspection. </w:t>
      </w:r>
      <w:r>
        <w:t>Seller must inspect and test all meters at</w:t>
      </w:r>
      <w:r w:rsidR="006474CB">
        <w:t xml:space="preserve"> such</w:t>
      </w:r>
      <w:r>
        <w:t xml:space="preserve"> times as will conform to Prudent Industry Practices, but not less often than once biennially. Seller will be responsible for all costs and expenses incurred in connection with such inspections or tests.</w:t>
      </w:r>
    </w:p>
    <w:p w:rsidRPr="00F10071" w:rsidR="007C2163" w:rsidP="007C2163" w:rsidRDefault="00DB475A" w14:paraId="7066EB23" w14:textId="5CEDB8A3">
      <w:pPr>
        <w:pStyle w:val="zGTC03"/>
      </w:pPr>
      <w:r>
        <w:rPr>
          <w:b/>
        </w:rPr>
        <w:lastRenderedPageBreak/>
        <w:t>Adjustments.</w:t>
      </w:r>
      <w:r>
        <w:t xml:space="preserve"> If the Metering System</w:t>
      </w:r>
      <w:r w:rsidR="00191F6B">
        <w:t>, including any meter or measuring component of the Metering System, fails to register,</w:t>
      </w:r>
      <w:r>
        <w:t xml:space="preserve"> is broken, or upon testing </w:t>
      </w:r>
      <w:r w:rsidR="008F4E30">
        <w:t>provides a measurement that</w:t>
      </w:r>
      <w:r>
        <w:t xml:space="preserve"> var</w:t>
      </w:r>
      <w:r w:rsidR="008F4E30">
        <w:t>ies</w:t>
      </w:r>
      <w:r>
        <w:t xml:space="preserve"> by more than</w:t>
      </w:r>
      <w:r w:rsidR="005D32EF">
        <w:t xml:space="preserve"> the lesser of: (i)</w:t>
      </w:r>
      <w:r>
        <w:t xml:space="preserve"> 0.5% </w:t>
      </w:r>
      <w:r w:rsidR="005D32EF">
        <w:t xml:space="preserve">relative to </w:t>
      </w:r>
      <w:r>
        <w:t xml:space="preserve">from the measurement made by the standard meter used in the test, </w:t>
      </w:r>
      <w:r w:rsidR="005D32EF">
        <w:t xml:space="preserve">or (ii) 1.0% relative to the manufacturer’s accuracy specification for the standard meter used in the test, then Seller must, at its sole cost and expense, </w:t>
      </w:r>
      <w:r w:rsidR="00467A01">
        <w:t xml:space="preserve">repair or replace the affected portion(s) of the Metering System within a reasonable period </w:t>
      </w:r>
      <w:r w:rsidR="0082756C">
        <w:t>after</w:t>
      </w:r>
      <w:r w:rsidR="00467A01">
        <w:t xml:space="preserve"> the test. </w:t>
      </w:r>
      <w:r w:rsidR="00321ABB">
        <w:t xml:space="preserve">Further, if the Metering System or component provides a measurement that varies by more than 1.0% relative to the measurement made by </w:t>
      </w:r>
      <w:r w:rsidR="004B60E0">
        <w:t xml:space="preserve">the standard meter used in the test, then </w:t>
      </w:r>
      <w:r>
        <w:t>all measurements of energy made by the Metering System during the Adjustment Period</w:t>
      </w:r>
      <w:r w:rsidR="004B60E0">
        <w:t xml:space="preserve"> will be adjusted to address any inaccuracies, and all amounts previously invoiced or paid for that energy will be reconciled</w:t>
      </w:r>
      <w:r>
        <w:t>. “</w:t>
      </w:r>
      <w:r>
        <w:rPr>
          <w:b/>
        </w:rPr>
        <w:t>Adjustment Period</w:t>
      </w:r>
      <w:r>
        <w:t>” means either: (i) the actual period when inaccurate measurements were made by the Metering System, if that period can be determined to the mutual satisfaction of the Parties; or (ii) if the actual period cannot be determined to the mutual satisfaction of the Parties, the second half of the period from the date of the last test of the Metering System to the date the failure is discovered or the test is made If the Parties are unable to agree on the adjustment to be applied to the Adjustment Period, the adjustment will be determined: (a) by correcting the error if the percentage of error is ascertainable by calibration, tests, or mathematical calculation; or (b) if not so ascertainable, by estimating based on deliveries made under similar conditions during the period since the last test. Within 30 Days after the determination of any adjustment, GPC will pay Seller any additional amounts then due for deliveries of energy or Declared Capacity during the Adjustment Period or GPC will be entitled to a credit against any subsequent payments for energy or Declared Capacity, as the case may be.</w:t>
      </w:r>
    </w:p>
    <w:p w:rsidR="007C2163" w:rsidP="007C2163" w:rsidRDefault="0095500C" w14:paraId="37579048" w14:textId="23402697">
      <w:pPr>
        <w:pStyle w:val="zGTC03"/>
      </w:pPr>
      <w:r>
        <w:rPr>
          <w:b/>
        </w:rPr>
        <w:t>Notice of Testing.</w:t>
      </w:r>
      <w:r>
        <w:t xml:space="preserve"> GPC and its Representatives may be present at any test, inspection, maintenance, adjustment, </w:t>
      </w:r>
      <w:r w:rsidR="00AD2A1A">
        <w:t xml:space="preserve">or </w:t>
      </w:r>
      <w:r>
        <w:t xml:space="preserve">replacement of any part of the Metering System relating to obligations under this PPA. Seller must provide GPC with reasonable prior notice regarding an activity described in the preceding sentence. </w:t>
      </w:r>
    </w:p>
    <w:p w:rsidRPr="007D52DF" w:rsidR="006C528B" w:rsidP="007D52DF" w:rsidRDefault="009266C4" w14:paraId="5C46AB74" w14:textId="7B63673A">
      <w:pPr>
        <w:pStyle w:val="zGTC03"/>
      </w:pPr>
      <w:r>
        <w:rPr>
          <w:b/>
        </w:rPr>
        <w:t xml:space="preserve">Loss Factor Adjustment. </w:t>
      </w:r>
      <w:r>
        <w:t xml:space="preserve">For a Facility interconnected to the STT, if, and to the extent, the Metering System is not measuring deliveries of energy physically at the POI, the metered energy quantity will be adjusted for losses to or from the POI by a loss factor determined by GPC, in accordance with Prudent Industry Practices. </w:t>
      </w:r>
    </w:p>
    <w:p w:rsidRPr="00192433" w:rsidR="007C2163" w:rsidP="007C2163" w:rsidRDefault="00BC3B10" w14:paraId="2AAAA9C6" w14:textId="57A6C66E">
      <w:pPr>
        <w:pStyle w:val="zGTC01"/>
        <w:rPr>
          <w:rFonts w:ascii="Arial" w:hAnsi="Arial"/>
        </w:rPr>
      </w:pPr>
      <w:bookmarkStart w:name="_Toc212472990" w:id="108"/>
      <w:bookmarkStart w:name="_Toc227840679" w:id="109"/>
      <w:r>
        <w:rPr>
          <w:rFonts w:ascii="Arial" w:hAnsi="Arial"/>
        </w:rPr>
        <w:t>DECLARED Capacity and Performance Tests</w:t>
      </w:r>
      <w:bookmarkEnd w:id="108"/>
      <w:bookmarkEnd w:id="109"/>
    </w:p>
    <w:p w:rsidRPr="00192433" w:rsidR="007C2163" w:rsidP="007C2163" w:rsidRDefault="007C2163" w14:paraId="703FD1BD" w14:textId="1BD134E1">
      <w:pPr>
        <w:pStyle w:val="zGTC02"/>
        <w:rPr>
          <w:rFonts w:ascii="Arial" w:hAnsi="Arial" w:eastAsia="PMingLiU" w:cs="Arial"/>
          <w:vanish/>
          <w:szCs w:val="20"/>
          <w:specVanish/>
        </w:rPr>
      </w:pPr>
      <w:bookmarkStart w:name="_Toc212472991" w:id="110"/>
      <w:bookmarkStart w:name="_Toc227840680" w:id="111"/>
      <w:r>
        <w:rPr>
          <w:rFonts w:ascii="Arial" w:hAnsi="Arial" w:cs="Arial"/>
          <w:szCs w:val="20"/>
        </w:rPr>
        <w:t>Tested Reliable Capacity and Declared Capacity.</w:t>
      </w:r>
      <w:bookmarkEnd w:id="110"/>
      <w:bookmarkEnd w:id="111"/>
    </w:p>
    <w:p w:rsidRPr="00192433" w:rsidR="007C2163" w:rsidP="007C2163" w:rsidRDefault="007C2163" w14:paraId="5B5E446F" w14:textId="3C1ABA92">
      <w:pPr>
        <w:pStyle w:val="zGNormal"/>
        <w:rPr>
          <w:bCs/>
        </w:rPr>
      </w:pPr>
      <w:r>
        <w:t xml:space="preserve"> Before Commercial Operation, Seller must conduct, at its expense, Performance Testing as detailed in Exhibit E (</w:t>
      </w:r>
      <w:r>
        <w:rPr>
          <w:i/>
          <w:iCs/>
        </w:rPr>
        <w:t>Performance Testing Procedures</w:t>
      </w:r>
      <w:r>
        <w:t>) to establish the Tested Capacity Values and the Declared Capacity Values in accordance with</w:t>
      </w:r>
      <w:r>
        <w:rPr>
          <w:bCs/>
        </w:rPr>
        <w:t xml:space="preserve"> Exhibit B (</w:t>
      </w:r>
      <w:r>
        <w:rPr>
          <w:bCs/>
          <w:i/>
          <w:iCs/>
        </w:rPr>
        <w:t>Capacity; Capacity Payments</w:t>
      </w:r>
      <w:r>
        <w:rPr>
          <w:i/>
        </w:rPr>
        <w:t xml:space="preserve"> and Payment Reductions; Buydown</w:t>
      </w:r>
      <w:r>
        <w:rPr>
          <w:bCs/>
        </w:rPr>
        <w:t>)</w:t>
      </w:r>
      <w:r>
        <w:t xml:space="preserve">. </w:t>
      </w:r>
      <w:r>
        <w:rPr>
          <w:bCs/>
        </w:rPr>
        <w:t xml:space="preserve">Seller must notify GPC </w:t>
      </w:r>
      <w:r w:rsidR="00A46825">
        <w:rPr>
          <w:bCs/>
        </w:rPr>
        <w:t xml:space="preserve">Representatives </w:t>
      </w:r>
      <w:r>
        <w:rPr>
          <w:bCs/>
        </w:rPr>
        <w:t xml:space="preserve">in advance of </w:t>
      </w:r>
      <w:r w:rsidR="00A46825">
        <w:rPr>
          <w:bCs/>
        </w:rPr>
        <w:t xml:space="preserve">Seller’s </w:t>
      </w:r>
      <w:r>
        <w:rPr>
          <w:bCs/>
        </w:rPr>
        <w:t xml:space="preserve">Performance Testing and allow GPC to witness and participate in the </w:t>
      </w:r>
      <w:r w:rsidR="001C78DB">
        <w:rPr>
          <w:bCs/>
        </w:rPr>
        <w:t xml:space="preserve">Performance Testing </w:t>
      </w:r>
      <w:r>
        <w:rPr>
          <w:bCs/>
        </w:rPr>
        <w:t xml:space="preserve">as GPC desires. Subject to Seller’s compliance with the previous sentence, Seller will not be required to delay or reschedule </w:t>
      </w:r>
      <w:r w:rsidR="00B405B6">
        <w:rPr>
          <w:bCs/>
        </w:rPr>
        <w:t xml:space="preserve">Performance Testing </w:t>
      </w:r>
      <w:r>
        <w:rPr>
          <w:bCs/>
        </w:rPr>
        <w:t>solely due to GPC’s unavailability. Upon Seller’s completion of any Performance Test, Seller must promptly provide to GPC a complete written report, in accordance with Exhibit E</w:t>
      </w:r>
      <w:r w:rsidR="00B405B6">
        <w:rPr>
          <w:bCs/>
        </w:rPr>
        <w:t>, of the Performance Test</w:t>
      </w:r>
      <w:r>
        <w:rPr>
          <w:bCs/>
        </w:rPr>
        <w:t>, certified by a responsible officer of Seller, for GPC’s review and verification. Following the Delivery Commencement Date,</w:t>
      </w:r>
      <w:r>
        <w:t xml:space="preserve"> Seller must cooperate with GPC’s request for information concerning </w:t>
      </w:r>
      <w:r w:rsidR="00AE3970">
        <w:t xml:space="preserve">Facility </w:t>
      </w:r>
      <w:r>
        <w:t>performance that GPC may reasonably request from time to time.</w:t>
      </w:r>
    </w:p>
    <w:p w:rsidRPr="00192433" w:rsidR="007C2163" w:rsidP="007C2163" w:rsidRDefault="007C2163" w14:paraId="4A742B11" w14:textId="77777777">
      <w:pPr>
        <w:pStyle w:val="zGTC02"/>
        <w:rPr>
          <w:rFonts w:ascii="Arial" w:hAnsi="Arial" w:eastAsia="PMingLiU" w:cs="Arial"/>
          <w:vanish/>
          <w:szCs w:val="20"/>
          <w:specVanish/>
        </w:rPr>
      </w:pPr>
      <w:bookmarkStart w:name="_Toc212472992" w:id="112"/>
      <w:bookmarkStart w:name="_Toc227840681" w:id="113"/>
      <w:r>
        <w:rPr>
          <w:rFonts w:ascii="Arial" w:hAnsi="Arial" w:cs="Arial"/>
          <w:szCs w:val="20"/>
        </w:rPr>
        <w:t>Disputes Concerning Capacity Tests.</w:t>
      </w:r>
      <w:bookmarkEnd w:id="112"/>
      <w:bookmarkEnd w:id="113"/>
    </w:p>
    <w:p w:rsidRPr="00F10071" w:rsidR="007C2163" w:rsidP="007C2163" w:rsidRDefault="007C2163" w14:paraId="65A515B9" w14:textId="75E8796E">
      <w:pPr>
        <w:pStyle w:val="zGNormal"/>
      </w:pPr>
      <w:r>
        <w:t xml:space="preserve"> If the Parties disagree regarding the Performance Test results, the Parties will resolve the dispute in accordance with </w:t>
      </w:r>
      <w:r w:rsidR="003678F3">
        <w:t xml:space="preserve">Section </w:t>
      </w:r>
      <w:r>
        <w:t>19</w:t>
      </w:r>
      <w:r w:rsidR="003678F3">
        <w:t>.2</w:t>
      </w:r>
      <w:r>
        <w:t xml:space="preserve"> (</w:t>
      </w:r>
      <w:r w:rsidR="003678F3">
        <w:rPr>
          <w:i/>
          <w:iCs/>
        </w:rPr>
        <w:t>Expert Arbitration</w:t>
      </w:r>
      <w:r w:rsidR="003678F3">
        <w:t>)</w:t>
      </w:r>
      <w:r>
        <w:t xml:space="preserve">. If the dispute is not resolved by the first Day of any Annual Period, the Tested Reliable Capacity and Declared Capacity in effect for the Annual Period may not exceed the Tested Reliable Capacity and Declared Capacity established under </w:t>
      </w:r>
      <w:r>
        <w:rPr>
          <w:bCs/>
        </w:rPr>
        <w:t>Exhibit B (</w:t>
      </w:r>
      <w:r>
        <w:rPr>
          <w:bCs/>
          <w:i/>
          <w:iCs/>
        </w:rPr>
        <w:t>Capacity; Capacity Payments</w:t>
      </w:r>
      <w:r>
        <w:rPr>
          <w:i/>
        </w:rPr>
        <w:t xml:space="preserve"> and Payment Reductions; Buydown</w:t>
      </w:r>
      <w:r>
        <w:rPr>
          <w:bCs/>
        </w:rPr>
        <w:t>)</w:t>
      </w:r>
      <w:r>
        <w:t xml:space="preserve"> by the most recent undisputed Performance Test, subject to the outcome of this dispute resolution process. Following the resolution of the dispute, an adjustment </w:t>
      </w:r>
      <w:r w:rsidR="00AC1C85">
        <w:t xml:space="preserve">may </w:t>
      </w:r>
      <w:r>
        <w:t>be made to all Monthly Capacity Payments made regarding the Annual Period to account for any difference between the new Declared Capacity and the preceding Declared Capacity.</w:t>
      </w:r>
    </w:p>
    <w:p w:rsidRPr="00F10071" w:rsidR="007C2163" w:rsidP="007C2163" w:rsidRDefault="002B7E3A" w14:paraId="093F3F4A" w14:textId="16C832C1">
      <w:pPr>
        <w:pStyle w:val="zGTC01"/>
        <w:rPr>
          <w:rFonts w:ascii="Arial" w:hAnsi="Arial"/>
          <w:szCs w:val="20"/>
        </w:rPr>
      </w:pPr>
      <w:bookmarkStart w:name="_Toc212472993" w:id="114"/>
      <w:bookmarkStart w:name="_Toc227840682" w:id="115"/>
      <w:r>
        <w:rPr>
          <w:rFonts w:ascii="Arial" w:hAnsi="Arial"/>
          <w:szCs w:val="20"/>
        </w:rPr>
        <w:t>Operation and Maintenance</w:t>
      </w:r>
      <w:bookmarkEnd w:id="114"/>
      <w:bookmarkEnd w:id="115"/>
    </w:p>
    <w:p w:rsidRPr="00F10071" w:rsidR="007C2163" w:rsidP="007C2163" w:rsidRDefault="007C2163" w14:paraId="5A6BAEA2" w14:textId="77777777">
      <w:pPr>
        <w:pStyle w:val="zGTC02"/>
        <w:rPr>
          <w:rFonts w:ascii="Arial" w:hAnsi="Arial" w:eastAsia="PMingLiU" w:cs="Arial"/>
          <w:vanish/>
          <w:szCs w:val="20"/>
          <w:specVanish/>
        </w:rPr>
      </w:pPr>
      <w:bookmarkStart w:name="_Toc212472994" w:id="116"/>
      <w:bookmarkStart w:name="_Toc227840683" w:id="117"/>
      <w:r>
        <w:rPr>
          <w:rFonts w:ascii="Arial" w:hAnsi="Arial" w:cs="Arial"/>
          <w:szCs w:val="20"/>
        </w:rPr>
        <w:t>Operation and Maintenance.</w:t>
      </w:r>
      <w:bookmarkEnd w:id="116"/>
      <w:bookmarkEnd w:id="117"/>
    </w:p>
    <w:p w:rsidRPr="00F10071" w:rsidR="007C2163" w:rsidP="007C2163" w:rsidRDefault="007C2163" w14:paraId="701751E4" w14:textId="77777777">
      <w:pPr>
        <w:pStyle w:val="zGTC02"/>
        <w:numPr>
          <w:ilvl w:val="0"/>
          <w:numId w:val="0"/>
        </w:numPr>
        <w:rPr>
          <w:rFonts w:ascii="Arial" w:hAnsi="Arial" w:cs="Arial"/>
          <w:szCs w:val="20"/>
        </w:rPr>
      </w:pPr>
    </w:p>
    <w:p w:rsidRPr="00192433" w:rsidR="007C2163" w:rsidP="007C2163" w:rsidRDefault="0004466C" w14:paraId="49AD9E40" w14:textId="22C47EA9">
      <w:pPr>
        <w:pStyle w:val="zGTC03"/>
      </w:pPr>
      <w:r>
        <w:rPr>
          <w:b/>
        </w:rPr>
        <w:t xml:space="preserve">General Standards. </w:t>
      </w:r>
      <w:r>
        <w:t xml:space="preserve">Seller must manage, control, operate, and maintain all parts of the Facility in a manner consistent with Prudent Industry Practices, considering GPC’s right to Schedule the Facility, and in accordance with applicable planning standards and operating policies of SERC and NERC and in </w:t>
      </w:r>
      <w:r>
        <w:lastRenderedPageBreak/>
        <w:t>accordance with the Operating Procedures to be developed by the Operating Committee. The requirements of this Section 10.1.1 (</w:t>
      </w:r>
      <w:r>
        <w:rPr>
          <w:i/>
          <w:iCs/>
        </w:rPr>
        <w:t>General Standards</w:t>
      </w:r>
      <w:r>
        <w:t>) will not be interpreted to limit GPC’s Scheduling rights as provided for elsewhere in this PPA.</w:t>
      </w:r>
    </w:p>
    <w:p w:rsidRPr="00F10071" w:rsidR="007C2163" w:rsidP="007C2163" w:rsidRDefault="00D44103" w14:paraId="249CD1FF" w14:textId="7287640C">
      <w:pPr>
        <w:pStyle w:val="zGTC03"/>
      </w:pPr>
      <w:r>
        <w:rPr>
          <w:b/>
        </w:rPr>
        <w:t>Written Operating Procedures.</w:t>
      </w:r>
      <w:r>
        <w:t xml:space="preserve"> Seller and GPC will mutually develop and agree upon written Operating Procedures no later than six Months before the Delivery Commencement Date. Topics covered will include: (i) Performance Tests procedures, deliveries of energy during start-up and testing of the Facility; (ii) the method of Day-to-Day communications; (iii) clearance and switching practices; (iv) daily capacity availability and energy reports; (v) Facility operations log; (vi) reactive power output; (vii) Technical Limits regarding Facility operation (including minimum run times, Maximum Ramp Rates), (viii) minimum down times between starts, quick start capability and other limits specified in Exhibit D (</w:t>
      </w:r>
      <w:r>
        <w:rPr>
          <w:i/>
        </w:rPr>
        <w:t>Technical Limits and Schedule Procedures</w:t>
      </w:r>
      <w:r>
        <w:t>)); (ix) ramp rates for the delivery of power to the Electric System; (x) coordination of maintenance scheduling; (xi) designation of Confidential Information; and (xii) any other matters as the Operating Representatives agree are appropriate. The Operating Representatives will be responsible for modifying, from time to time, the Operating Procedures in writing to reflect agreed upon changes. In the event of inconsistency or conflict between the Operating Procedures and specific terms of this PPA, the specific terms of this PPA will take precedence.</w:t>
      </w:r>
    </w:p>
    <w:p w:rsidRPr="00F10071" w:rsidR="007C2163" w:rsidP="007C2163" w:rsidRDefault="00996DA7" w14:paraId="2F30E7D3" w14:textId="31842EF2">
      <w:pPr>
        <w:pStyle w:val="zGTC03"/>
      </w:pPr>
      <w:r>
        <w:rPr>
          <w:b/>
        </w:rPr>
        <w:t xml:space="preserve">Safety Devices, Safety Practices, and Records. </w:t>
      </w:r>
      <w:r>
        <w:t>Seller must employ at the Facility all safety devices and safety practices required by Prudent Industry Practices. Seller must keep accurate records of any accident or other occurrence at the Site that results in injury to persons or damage to property. Seller must provide to GPC reasonable access to these records upon at least seven Days’ notice during normal business Hours, but Seller will not be required to provide access to employment records regarding Facility personnel.</w:t>
      </w:r>
    </w:p>
    <w:p w:rsidRPr="00F10071" w:rsidR="007C2163" w:rsidP="007C2163" w:rsidRDefault="00080C54" w14:paraId="023A485F" w14:textId="5192A7E6">
      <w:pPr>
        <w:pStyle w:val="zGTC03"/>
      </w:pPr>
      <w:r>
        <w:rPr>
          <w:b/>
        </w:rPr>
        <w:t>Facility Personnel.</w:t>
      </w:r>
      <w:r>
        <w:t xml:space="preserve"> During the Term, Seller must employ qualified and trained personnel for management, operation, and maintenance of the Facility.</w:t>
      </w:r>
    </w:p>
    <w:p w:rsidRPr="00F10071" w:rsidR="007C2163" w:rsidP="007C2163" w:rsidRDefault="006D5B34" w14:paraId="10F71944" w14:textId="064416AB">
      <w:pPr>
        <w:pStyle w:val="zGTC02"/>
        <w:rPr>
          <w:rFonts w:ascii="Arial" w:hAnsi="Arial" w:eastAsia="PMingLiU" w:cs="Arial"/>
          <w:vanish/>
          <w:szCs w:val="20"/>
          <w:specVanish/>
        </w:rPr>
      </w:pPr>
      <w:bookmarkStart w:name="_Toc169778463" w:id="118"/>
      <w:bookmarkStart w:name="_Toc212472995" w:id="119"/>
      <w:bookmarkStart w:name="_Toc227840684" w:id="120"/>
      <w:r>
        <w:rPr>
          <w:rFonts w:ascii="Arial" w:hAnsi="Arial" w:cs="Arial"/>
          <w:szCs w:val="20"/>
        </w:rPr>
        <w:t>Maintenance Scheduling.</w:t>
      </w:r>
      <w:bookmarkEnd w:id="118"/>
      <w:bookmarkEnd w:id="119"/>
      <w:bookmarkEnd w:id="120"/>
    </w:p>
    <w:p w:rsidRPr="00F10071" w:rsidR="007C2163" w:rsidP="007C2163" w:rsidRDefault="007C2163" w14:paraId="7290F462" w14:textId="77777777">
      <w:pPr>
        <w:pStyle w:val="zGTC02"/>
        <w:numPr>
          <w:ilvl w:val="0"/>
          <w:numId w:val="0"/>
        </w:numPr>
        <w:rPr>
          <w:rFonts w:ascii="Arial" w:hAnsi="Arial" w:cs="Arial"/>
          <w:szCs w:val="20"/>
        </w:rPr>
      </w:pPr>
    </w:p>
    <w:p w:rsidRPr="00192433" w:rsidR="007C2163" w:rsidP="000738D7" w:rsidRDefault="00A50F64" w14:paraId="3DFC4AAA" w14:textId="1EEC0610">
      <w:pPr>
        <w:pStyle w:val="zGTC03"/>
      </w:pPr>
      <w:r>
        <w:rPr>
          <w:b/>
        </w:rPr>
        <w:t xml:space="preserve">Maintenance Schedule Reporting and Approvals. </w:t>
      </w:r>
      <w:r>
        <w:t xml:space="preserve">Commencing in the year before the year of the Delivery Commencement Date, and continuing throughout the Term, Seller must submit to GPC, before September 1, Maintenance Schedules covering the next four Annual Periods or the number of Annual Periods remaining in the Term, whichever is less. Seller must not schedule any maintenance of the Facility during the </w:t>
      </w:r>
      <w:r w:rsidR="00831001">
        <w:t xml:space="preserve">Standard </w:t>
      </w:r>
      <w:r>
        <w:t xml:space="preserve">Seasonal Performance Period or the Winter Seasonal Performance Period of any Annual Period that would decrease the capacity output of the Facility below the applicable Declared Capacity for such Seasonal Performance Period without the prior written consent of GPC. GPC will have 30 Days to review the proposed Maintenance Schedules and may approve or reject (in whole or in part) the Maintenance Schedules. The Maintenance Schedules are subject to the approval of GPC, which approval GPC will not unreasonably withhold or delay. However, any determination by GPC to disapprove a Hot Gas Path Inspection or Major Inspection in May will not be considered unreasonable. If any portion of a Maintenance Schedule is rejected by GPC, Seller must resubmit a revised Maintenance Schedule to GPC within 30 Days after GPC’s rejection and GPC and Seller agree to use best efforts to promptly develop Maintenance Schedules that are mutually acceptable, considering the burdens that GPC’s changes impose on Seller compared to the burdens avoided by GPC because of </w:t>
      </w:r>
      <w:r w:rsidR="00410690">
        <w:t xml:space="preserve">such </w:t>
      </w:r>
      <w:r>
        <w:t>changes. Any dispute concerning this Section 10.2.1 (</w:t>
      </w:r>
      <w:r>
        <w:rPr>
          <w:i/>
          <w:iCs/>
        </w:rPr>
        <w:t>Maintenance Schedule Reporting and Approvals</w:t>
      </w:r>
      <w:r>
        <w:t>) will be resolved in accordance with the provisions of Part 19 (</w:t>
      </w:r>
      <w:r>
        <w:rPr>
          <w:i/>
        </w:rPr>
        <w:t>Dispute Resolution</w:t>
      </w:r>
      <w:r>
        <w:t>) applicable to Maintenance Schedule disputes. The outages included in the final, approved Maintenance Schedule for the current Annual Period will be the Scheduled Outages for that Annual Period.</w:t>
      </w:r>
    </w:p>
    <w:p w:rsidRPr="00192433" w:rsidR="007C2163" w:rsidP="007C2163" w:rsidRDefault="00E408E3" w14:paraId="12C9275D" w14:textId="1B6E6CE4">
      <w:pPr>
        <w:pStyle w:val="zGTC03"/>
      </w:pPr>
      <w:r>
        <w:rPr>
          <w:b/>
        </w:rPr>
        <w:t xml:space="preserve">Maintenance Outages. </w:t>
      </w:r>
      <w:r>
        <w:t xml:space="preserve">In addition to Scheduled Outages, Seller may request Maintenance Outages during any Annual Period. Seller must notify GPC (in writing, electronically, or orally) of each Maintenance Outage no less than 24 Hours in advance and at least one Business Day in advance of Seller’s proposed commencement of the Maintenance Outage. In Seller’s request, Seller must identify the equipment and applicable Declared Capacity that will not be available for delivery at the POD and the proposed start time and duration of the Maintenance Outage. GPC will respond to Seller’s request as soon as reasonably practicable. Seller must not take a Maintenance Outage without GPC’s prior written or telephonic consent, and GPC will not unreasonably withhold, condition, or delay its consent. Despite the preceding sentence, each Party acknowledges that it will be reasonable for GPC to deny any request for a Maintenance Outage if GPC reasonably believes that it may Schedule the Facility to a level that would require the availability of the equipment that is proposed to be Unavailable during the Maintenance Outage. GPC will have the right to revoke its consent to a Maintenance Outage if changed conditions </w:t>
      </w:r>
      <w:r>
        <w:lastRenderedPageBreak/>
        <w:t xml:space="preserve">require Scheduling of the Declared Capacity scheduled to be Unavailable during the Maintenance Outage. If GPC reasonably requests Seller to return to full Availability status all or part of that portion of the Facility that is affected by the Maintenance Outage, Seller must comply as soon as reasonably practical. GPC will not dispatch the Facility to the extent that the Facility is not capable of delivering energy as a direct result of a Scheduled Outage or a Maintenance Outage approved by GPC. </w:t>
      </w:r>
      <w:r>
        <w:rPr>
          <w:u w:color="0000FF"/>
        </w:rPr>
        <w:t>For avoidance of doubt, GPC’s advanced consent is not required for Seller to take any action that Seller reasonably believes is necessary to prevent damage to person or property, but (i) any resulting outage or derate will not be considered a Maintenance Outage or Scheduled Outage; and (ii) Seller must notify GPC of any resulting outage or derate as soon as practicable.</w:t>
      </w:r>
    </w:p>
    <w:p w:rsidRPr="00F55EAF" w:rsidR="00F55EAF" w:rsidP="00F55EAF" w:rsidRDefault="00F55EAF" w14:paraId="51E3166D" w14:textId="39CBB29A">
      <w:pPr>
        <w:pStyle w:val="zGTC03"/>
      </w:pPr>
      <w:r>
        <w:rPr>
          <w:b/>
        </w:rPr>
        <w:t>Reporting of Forced Outages and Derates.</w:t>
      </w:r>
      <w:r>
        <w:t xml:space="preserve"> Seller must notify GPC promptly, through the method required by the Operating Procedures, upon the occurrence of any Forced Outage or Forced Derate. As soon as practicable, but in any event not later than one Business Day after the beginning of the period of the Forced Outage or Forced Derate, Seller must notify GPC of: (i) the cause of the outage or derate; (ii) the amount of capacity affected by the outage or derate; (iii) the proposed corrective action to address the outage or derate; and (iv) Seller’s reasonable estimate of the expected duration of the Forced Outage or Forced Derate and expected return to full operation.</w:t>
      </w:r>
    </w:p>
    <w:p w:rsidRPr="00F10071" w:rsidR="007C2163" w:rsidP="007C2163" w:rsidRDefault="005F03AF" w14:paraId="49F7D8D3" w14:textId="75CB2476">
      <w:pPr>
        <w:pStyle w:val="zGTC03"/>
      </w:pPr>
      <w:r>
        <w:rPr>
          <w:b/>
        </w:rPr>
        <w:t>System Emergencies.</w:t>
      </w:r>
      <w:r>
        <w:t xml:space="preserve"> If Seller has a Scheduled Outage or Maintenance Outage, and the Scheduled Outage or Maintenance Outage occurs or would occur coincident with a System Emergency, GPC will notify Seller of the System Emergency. GPC</w:t>
      </w:r>
      <w:r w:rsidR="008F5845">
        <w:t xml:space="preserve"> may</w:t>
      </w:r>
      <w:r>
        <w:t xml:space="preserve">, because of the System Emergency, request Seller to reschedule the Scheduled Outage or Maintenance Outage or, if the Scheduled Outage or Maintenance Outage has begun, to expedite </w:t>
      </w:r>
      <w:r w:rsidR="00721F2E">
        <w:t xml:space="preserve">its </w:t>
      </w:r>
      <w:r>
        <w:t>completion, and Seller must comply with GPC’s request as soon as reasonably practical, subject to Prudent Industry Practices and any limitation or coordination requirement outlined in the Operating Procedures as necessary for Seller to preserve its equipment warranties.</w:t>
      </w:r>
    </w:p>
    <w:p w:rsidRPr="00F10071" w:rsidR="007C2163" w:rsidP="007C2163" w:rsidRDefault="007C2163" w14:paraId="4445FFC7" w14:textId="77777777">
      <w:pPr>
        <w:pStyle w:val="zGTC02"/>
        <w:rPr>
          <w:rFonts w:ascii="Arial" w:hAnsi="Arial" w:eastAsia="PMingLiU" w:cs="Arial"/>
          <w:vanish/>
          <w:szCs w:val="20"/>
          <w:specVanish/>
        </w:rPr>
      </w:pPr>
      <w:bookmarkStart w:name="_Toc212472996" w:id="121"/>
      <w:bookmarkStart w:name="_Toc227840685" w:id="122"/>
      <w:r>
        <w:rPr>
          <w:rFonts w:ascii="Arial" w:hAnsi="Arial" w:cs="Arial"/>
          <w:szCs w:val="20"/>
        </w:rPr>
        <w:t>Permits.</w:t>
      </w:r>
      <w:bookmarkEnd w:id="121"/>
      <w:bookmarkEnd w:id="122"/>
    </w:p>
    <w:p w:rsidRPr="00192433" w:rsidR="007C2163" w:rsidP="007C2163" w:rsidRDefault="007C2163" w14:paraId="4C724910" w14:textId="754A264B">
      <w:pPr>
        <w:pStyle w:val="zGNormal"/>
      </w:pPr>
      <w:r>
        <w:t xml:space="preserve"> Seller must maintain, for the period required by applicable law during the Term, all Air Permits, including those necessary to operate the Facility up to the</w:t>
      </w:r>
      <w:r>
        <w:rPr>
          <w:b/>
          <w:iCs/>
        </w:rPr>
        <w:t xml:space="preserve"> </w:t>
      </w:r>
      <w:r>
        <w:t xml:space="preserve">Air Permit Operating Limits. </w:t>
      </w:r>
      <w:r>
        <w:rPr>
          <w:kern w:val="2"/>
          <w14:ligatures w14:val="standardContextual"/>
        </w:rPr>
        <w:t>Subject to the provisions of Part 17 (</w:t>
      </w:r>
      <w:r>
        <w:rPr>
          <w:i/>
          <w:iCs/>
          <w:kern w:val="2"/>
          <w14:ligatures w14:val="standardContextual"/>
        </w:rPr>
        <w:t>Compliance with Law</w:t>
      </w:r>
      <w:r>
        <w:rPr>
          <w:kern w:val="2"/>
          <w14:ligatures w14:val="standardContextual"/>
        </w:rPr>
        <w:t>) concerning a Change of Law, Seller must ensure that, beginning on the Delivery Commencement Date and continuing throughout the remainder of the Term, Seller retains the capability to operate the Facility subject to then applicable Air Permit Operating Limits, the Operating Procedures, and Prudent Industry Practices. Seller must not affirmatively seek</w:t>
      </w:r>
      <w:r w:rsidR="00B928E4">
        <w:rPr>
          <w:kern w:val="2"/>
          <w14:ligatures w14:val="standardContextual"/>
        </w:rPr>
        <w:t xml:space="preserve">, except as </w:t>
      </w:r>
      <w:r w:rsidR="00A81BBA">
        <w:rPr>
          <w:kern w:val="2"/>
          <w14:ligatures w14:val="standardContextual"/>
        </w:rPr>
        <w:t>required by applicable law,</w:t>
      </w:r>
      <w:r>
        <w:rPr>
          <w:kern w:val="2"/>
          <w14:ligatures w14:val="standardContextual"/>
        </w:rPr>
        <w:t xml:space="preserve"> any (a) modification, renewal, or replacement of an Air Permit that imposes more stringent emissions limitations or operational constraints than those described in Table A-3 (</w:t>
      </w:r>
      <w:r>
        <w:rPr>
          <w:i/>
          <w:iCs/>
          <w:kern w:val="2"/>
          <w14:ligatures w14:val="standardContextual"/>
        </w:rPr>
        <w:t>Additional Facility and Operating Information</w:t>
      </w:r>
      <w:r>
        <w:rPr>
          <w:kern w:val="2"/>
          <w14:ligatures w14:val="standardContextual"/>
        </w:rPr>
        <w:t>) of Exhibit A (</w:t>
      </w:r>
      <w:r>
        <w:rPr>
          <w:i/>
          <w:iCs/>
          <w:kern w:val="2"/>
          <w14:ligatures w14:val="standardContextual"/>
        </w:rPr>
        <w:t>Facility Description and Additional Details</w:t>
      </w:r>
      <w:r>
        <w:rPr>
          <w:kern w:val="2"/>
          <w14:ligatures w14:val="standardContextual"/>
        </w:rPr>
        <w:t>) as in effect on the Effective Date, or (b) other conditions that would restrict or impair the ability of the Facility to deliver capacity or energy in accordance with this PPA</w:t>
      </w:r>
      <w:r>
        <w:t xml:space="preserve"> However, the Facility’s inability to meet GPC’s Schedules within the Air Permit Operating Limits will not be deemed a Seller Event of Default so long as Seller completely covers for the remainder of the Term any shortfall in the Facility’s ability to meet GPC’s Schedules by electing to provide physical Alternate Delivery from an Alternate Resource in accordance with Section 4.1.4(i) (</w:t>
      </w:r>
      <w:r>
        <w:rPr>
          <w:i/>
          <w:iCs/>
        </w:rPr>
        <w:t>Scheduled Energy Delivery Using Alternate Resource</w:t>
      </w:r>
      <w:r>
        <w:t xml:space="preserve">). Seller must: (i) </w:t>
      </w:r>
      <w:r w:rsidR="00FB732B">
        <w:t xml:space="preserve">promptly </w:t>
      </w:r>
      <w:r>
        <w:t xml:space="preserve">provide GPC with </w:t>
      </w:r>
      <w:r w:rsidR="00FB732B">
        <w:t>notice of Seller’s receipt</w:t>
      </w:r>
      <w:r w:rsidR="00BB54DE">
        <w:t xml:space="preserve"> of</w:t>
      </w:r>
      <w:r w:rsidR="00FB732B">
        <w:t xml:space="preserve"> the Air Permit, including </w:t>
      </w:r>
      <w:r>
        <w:t xml:space="preserve">a copy of the Air Permit; and (ii) promptly provide GPC with </w:t>
      </w:r>
      <w:r w:rsidR="00FB732B">
        <w:t>notice</w:t>
      </w:r>
      <w:r>
        <w:t xml:space="preserve"> of any Air Permit renewal or amendment</w:t>
      </w:r>
      <w:r w:rsidR="00FB732B">
        <w:t>, including a copy o</w:t>
      </w:r>
      <w:r w:rsidR="00A6346E">
        <w:t>f the renewal or amendment</w:t>
      </w:r>
      <w:r>
        <w:t>.</w:t>
      </w:r>
    </w:p>
    <w:p w:rsidRPr="00192433" w:rsidR="007C2163" w:rsidP="007C2163" w:rsidRDefault="003E0ED2" w14:paraId="5769C77F" w14:textId="45BC4888">
      <w:pPr>
        <w:pStyle w:val="zGTC03"/>
      </w:pPr>
      <w:r>
        <w:rPr>
          <w:b/>
        </w:rPr>
        <w:t>Alternative Determination of Capacity Payment.</w:t>
      </w:r>
      <w:r>
        <w:t xml:space="preserve"> For a Seller Event of Default caused by Seller’s inability to maintain the Air Permit Operating Limits, the capacity and energy that would be considered available to GPC under this PPA in calculating the Termination Payment in accordance with Section 16.3.3 (</w:t>
      </w:r>
      <w:r>
        <w:rPr>
          <w:i/>
        </w:rPr>
        <w:t>Determining Gains, Losses, and Costs</w:t>
      </w:r>
      <w:r>
        <w:t>) will be determined by utilizing the Air Permit Operating Limits in effect on the Early Termination Date.</w:t>
      </w:r>
    </w:p>
    <w:p w:rsidRPr="00192433" w:rsidR="007C2163" w:rsidP="007C2163" w:rsidRDefault="007C2163" w14:paraId="1017476E" w14:textId="77777777">
      <w:pPr>
        <w:pStyle w:val="zGTC02"/>
        <w:rPr>
          <w:rFonts w:ascii="Arial" w:hAnsi="Arial" w:eastAsia="PMingLiU" w:cs="Arial"/>
          <w:vanish/>
          <w:szCs w:val="20"/>
          <w:specVanish/>
        </w:rPr>
      </w:pPr>
      <w:bookmarkStart w:name="_Toc212472997" w:id="123"/>
      <w:bookmarkStart w:name="_Toc227840686" w:id="124"/>
      <w:r>
        <w:rPr>
          <w:rFonts w:ascii="Arial" w:hAnsi="Arial" w:cs="Arial"/>
          <w:szCs w:val="20"/>
        </w:rPr>
        <w:t>Access to the Site and the Facility.</w:t>
      </w:r>
      <w:bookmarkEnd w:id="123"/>
      <w:bookmarkEnd w:id="124"/>
    </w:p>
    <w:p w:rsidRPr="00F10071" w:rsidR="007C2163" w:rsidP="007C2163" w:rsidRDefault="001D1A67" w14:paraId="681BF6D7" w14:textId="77CE4542">
      <w:pPr>
        <w:pStyle w:val="zGNormal"/>
      </w:pPr>
      <w:r>
        <w:t xml:space="preserve"> Seller grants to GPC or GPC’s designated Representatives, with reasonable prior notice to Seller</w:t>
      </w:r>
      <w:r w:rsidR="008E2C7C">
        <w:t>, the right to enter the Site</w:t>
      </w:r>
      <w:r>
        <w:t xml:space="preserve"> at reasonable times (including nights and weekends) to: (i) inspect, maintain, and test meters and other GPC equipment; (ii) monitor or measure energy generated by the Facility in accordance with this PPA and Prudent Industry Practices; (iii) monitor Performance Tests; (iv) inspect the Facility; </w:t>
      </w:r>
      <w:r w:rsidR="00966BD2">
        <w:t xml:space="preserve">or </w:t>
      </w:r>
      <w:r>
        <w:t xml:space="preserve">(v) inspect and test facilities related to the supply of Natural Gas. Seller must cooperate in the physical inspection of the Facility as GPC may reasonably require, so long as: (a) the inspections will not materially interfere with the Facility’s testing or operations; and (b) GPC complies with rules and regulations of Governmental Authorities having jurisdiction regarding the Facility and with Seller’s reasonable policies and procedures applicable to the Facility, including those regarding safety, and any requirement that Seller Representatives accompany GPC Representatives during Site visits. </w:t>
      </w:r>
      <w:r>
        <w:rPr>
          <w:b/>
          <w:bCs/>
          <w:u w:val="single"/>
        </w:rPr>
        <w:t>GPC’s technical review or inspection of the Facility, as applicable, will not be construed as endorsing Facility design or construction or as any warranty of the safety, durability, or reliability of the Facility</w:t>
      </w:r>
      <w:r>
        <w:rPr>
          <w:b/>
        </w:rPr>
        <w:t xml:space="preserve">. </w:t>
      </w:r>
      <w:r>
        <w:t xml:space="preserve">Seller must cooperate, and must cause its Representatives to </w:t>
      </w:r>
      <w:r>
        <w:lastRenderedPageBreak/>
        <w:t xml:space="preserve">cooperate, in: (I) providing the information GPC </w:t>
      </w:r>
      <w:r w:rsidR="003045AF">
        <w:t xml:space="preserve">reasonably </w:t>
      </w:r>
      <w:r>
        <w:t>requests; and (II) the physical inspections of the Facility as GPC may reasonably request during and after completion of construction.</w:t>
      </w:r>
    </w:p>
    <w:p w:rsidRPr="00F10071" w:rsidR="009C0C8C" w:rsidP="009C0C8C" w:rsidRDefault="007C2163" w14:paraId="10566927" w14:textId="02A30A9E">
      <w:pPr>
        <w:pStyle w:val="zGTC02"/>
        <w:rPr>
          <w:rFonts w:ascii="Arial" w:hAnsi="Arial" w:eastAsia="PMingLiU" w:cs="Arial"/>
          <w:vanish/>
          <w:szCs w:val="20"/>
          <w:specVanish/>
        </w:rPr>
      </w:pPr>
      <w:bookmarkStart w:name="_Toc212472998" w:id="125"/>
      <w:bookmarkStart w:name="_Toc227840687" w:id="126"/>
      <w:r>
        <w:rPr>
          <w:rFonts w:ascii="Arial" w:hAnsi="Arial" w:cs="Arial"/>
        </w:rPr>
        <w:t>Availability of Records.</w:t>
      </w:r>
      <w:bookmarkEnd w:id="125"/>
      <w:bookmarkEnd w:id="126"/>
    </w:p>
    <w:p w:rsidRPr="0040039D" w:rsidR="007C2163" w:rsidP="009C0C8C" w:rsidRDefault="009C0C8C" w14:paraId="180D0410" w14:textId="3F43F6C1">
      <w:pPr>
        <w:pStyle w:val="zGNormal6"/>
        <w:rPr>
          <w:rFonts w:eastAsia="PMingLiU"/>
        </w:rPr>
      </w:pPr>
      <w:r>
        <w:t xml:space="preserve"> Seller must keep complete and accurate records and all other data necessary for the purposes of proper </w:t>
      </w:r>
      <w:r w:rsidR="006600B1">
        <w:t xml:space="preserve">PPA </w:t>
      </w:r>
      <w:r>
        <w:t>administration in accordance with the following guidelines:</w:t>
      </w:r>
    </w:p>
    <w:p w:rsidRPr="00F10071" w:rsidR="007C2163" w:rsidP="007C2163" w:rsidRDefault="00677DC7" w14:paraId="4661960E" w14:textId="32451CFC">
      <w:pPr>
        <w:pStyle w:val="zGTC03"/>
      </w:pPr>
      <w:r>
        <w:rPr>
          <w:b/>
        </w:rPr>
        <w:t xml:space="preserve">Holding Period. </w:t>
      </w:r>
      <w:r>
        <w:t>Seller must maintain all records related to the Facility and Seller’s performance under this PPA for a minimum of five years after the creation of the record or data and for any additional time period required by applicable law or a Governmental Authority. However, the records must be kept for as long as is necessary to complete any audit that began or was announced during the five-year period.</w:t>
      </w:r>
      <w:r>
        <w:rPr>
          <w:rFonts w:eastAsia="Calibri"/>
        </w:rPr>
        <w:t xml:space="preserve"> Despite any </w:t>
      </w:r>
      <w:r w:rsidR="000F02EF">
        <w:rPr>
          <w:rFonts w:eastAsia="Calibri"/>
        </w:rPr>
        <w:t xml:space="preserve">other </w:t>
      </w:r>
      <w:r>
        <w:rPr>
          <w:rFonts w:eastAsia="Calibri"/>
        </w:rPr>
        <w:t>PPA provision,</w:t>
      </w:r>
      <w:r w:rsidR="005A6B9B">
        <w:rPr>
          <w:rFonts w:eastAsia="Calibri"/>
        </w:rPr>
        <w:t xml:space="preserve"> during the</w:t>
      </w:r>
      <w:r w:rsidR="00A66559">
        <w:rPr>
          <w:rFonts w:eastAsia="Calibri"/>
        </w:rPr>
        <w:t xml:space="preserve"> Term and for</w:t>
      </w:r>
      <w:r w:rsidR="005A6B9B">
        <w:rPr>
          <w:rFonts w:eastAsia="Calibri"/>
        </w:rPr>
        <w:t xml:space="preserve"> </w:t>
      </w:r>
      <w:r w:rsidR="00EB39F5">
        <w:rPr>
          <w:rFonts w:eastAsia="Calibri"/>
        </w:rPr>
        <w:t xml:space="preserve">six </w:t>
      </w:r>
      <w:r w:rsidR="005A6B9B">
        <w:rPr>
          <w:rFonts w:eastAsia="Calibri"/>
        </w:rPr>
        <w:t>year</w:t>
      </w:r>
      <w:r w:rsidR="00EB39F5">
        <w:rPr>
          <w:rFonts w:eastAsia="Calibri"/>
        </w:rPr>
        <w:t>s</w:t>
      </w:r>
      <w:r w:rsidR="005A6B9B">
        <w:rPr>
          <w:rFonts w:eastAsia="Calibri"/>
        </w:rPr>
        <w:t xml:space="preserve"> </w:t>
      </w:r>
      <w:r w:rsidR="00A66559">
        <w:rPr>
          <w:rFonts w:eastAsia="Calibri"/>
        </w:rPr>
        <w:t>after the Term</w:t>
      </w:r>
      <w:r w:rsidRPr="002D2A8F" w:rsidR="005A6B9B">
        <w:rPr>
          <w:rFonts w:eastAsia="Calibri"/>
        </w:rPr>
        <w:t>,</w:t>
      </w:r>
      <w:r>
        <w:rPr>
          <w:rFonts w:eastAsia="Calibri"/>
        </w:rPr>
        <w:t xml:space="preserve"> Seller must provide </w:t>
      </w:r>
      <w:r>
        <w:t>GPC</w:t>
      </w:r>
      <w:r>
        <w:rPr>
          <w:rFonts w:eastAsia="Calibri"/>
        </w:rPr>
        <w:t xml:space="preserve"> with 30 Days’ prior notice</w:t>
      </w:r>
      <w:r w:rsidR="00A02097">
        <w:rPr>
          <w:rFonts w:eastAsia="Calibri"/>
        </w:rPr>
        <w:t xml:space="preserve"> before disposing of or destroying any record or data</w:t>
      </w:r>
      <w:r w:rsidR="002D4F06">
        <w:rPr>
          <w:rFonts w:eastAsia="Calibri"/>
        </w:rPr>
        <w:t xml:space="preserve"> related to the Facility or Seller’s performance under this PPA</w:t>
      </w:r>
      <w:r>
        <w:rPr>
          <w:rFonts w:eastAsia="Calibri"/>
        </w:rPr>
        <w:t>.</w:t>
      </w:r>
    </w:p>
    <w:p w:rsidRPr="00F10071" w:rsidR="007C2163" w:rsidP="007C2163" w:rsidRDefault="00677DC7" w14:paraId="28C6726D" w14:textId="1D60CCAE">
      <w:pPr>
        <w:pStyle w:val="zGTC03"/>
      </w:pPr>
      <w:r>
        <w:rPr>
          <w:b/>
        </w:rPr>
        <w:t xml:space="preserve">Operating Logs. </w:t>
      </w:r>
      <w:r>
        <w:t>Seller must maintain at the Facility an accurate and up-to-date operating log with records of: (i) real and reactive power production for each Hour; (ii) changes in operating status and scheduled maintenance; (iii) Scheduled Outages, Maintenance Outages, Forced Outages, Forced Derates, and Force Majeure Events; (iv) any unusual condition found during an inspection; and (v) any significant event related to the operation of the Facility.</w:t>
      </w:r>
    </w:p>
    <w:p w:rsidRPr="00F10071" w:rsidR="007C2163" w:rsidP="007C2163" w:rsidRDefault="00677DC7" w14:paraId="6020832E" w14:textId="4DF7A9F3">
      <w:pPr>
        <w:pStyle w:val="zGTC03"/>
      </w:pPr>
      <w:r>
        <w:rPr>
          <w:b/>
        </w:rPr>
        <w:t>GPC’s Access to Facility and PPA Records.</w:t>
      </w:r>
      <w:r>
        <w:t xml:space="preserve"> Upon reasonable advance notice and during normal business Hours, GPC will have the right from time to time to examine at the Facility, or at a location mutually agreed to by the Parties, the records and data relating to the Facility and this PPA, including all historical test records relating to the Facility.</w:t>
      </w:r>
    </w:p>
    <w:p w:rsidRPr="00192433" w:rsidR="007C2163" w:rsidP="007C2163" w:rsidRDefault="00237B66" w14:paraId="5A5575C5" w14:textId="1CAE423C">
      <w:pPr>
        <w:pStyle w:val="zGTC03"/>
      </w:pPr>
      <w:r>
        <w:rPr>
          <w:rFonts w:eastAsia="MS Mincho"/>
          <w:b/>
          <w:lang w:eastAsia="zh-CN"/>
        </w:rPr>
        <w:t>G</w:t>
      </w:r>
      <w:r>
        <w:rPr>
          <w:b/>
        </w:rPr>
        <w:t>PC’s Access to Financial and Business Information.</w:t>
      </w:r>
      <w:r>
        <w:rPr>
          <w:rFonts w:eastAsia="MS Mincho"/>
          <w:lang w:eastAsia="zh-CN"/>
        </w:rPr>
        <w:t xml:space="preserve"> At GPC’s request, throughout the Term, Seller </w:t>
      </w:r>
      <w:r>
        <w:t>must</w:t>
      </w:r>
      <w:r>
        <w:rPr>
          <w:rFonts w:eastAsia="MS Mincho"/>
          <w:lang w:eastAsia="zh-CN"/>
        </w:rPr>
        <w:t xml:space="preserve"> provide to </w:t>
      </w:r>
      <w:r>
        <w:t>GPC</w:t>
      </w:r>
      <w:r>
        <w:rPr>
          <w:rFonts w:eastAsia="MS Mincho"/>
          <w:lang w:eastAsia="zh-CN"/>
        </w:rPr>
        <w:t xml:space="preserve"> public and non-public financial and business information reasonably necessary for </w:t>
      </w:r>
      <w:r>
        <w:t>GPC</w:t>
      </w:r>
      <w:r>
        <w:rPr>
          <w:rFonts w:eastAsia="MS Mincho"/>
          <w:lang w:eastAsia="zh-CN"/>
        </w:rPr>
        <w:t xml:space="preserve"> to make accounting determinations. Without limiting the preceding sentence, u</w:t>
      </w:r>
      <w:r>
        <w:rPr>
          <w:rFonts w:eastAsia="Calibri"/>
        </w:rPr>
        <w:t xml:space="preserve">pon reasonable notice to Seller, </w:t>
      </w:r>
      <w:r>
        <w:t>GPC</w:t>
      </w:r>
      <w:r>
        <w:rPr>
          <w:rFonts w:eastAsia="Calibri"/>
        </w:rPr>
        <w:t xml:space="preserve"> and GPC’s independent auditor will have the right to inspect, from time to time, Seller’s books and records as are reasonably necessary for </w:t>
      </w:r>
      <w:r>
        <w:t>GPC</w:t>
      </w:r>
      <w:r>
        <w:rPr>
          <w:rFonts w:eastAsia="Calibri"/>
        </w:rPr>
        <w:t xml:space="preserve"> to determine whether Seller constitutes a VIE or this PPA represents a VI. To the extent the inspection requires access to Seller’s Confidential Information, the information will constitute Confidential Information subject to Section 20.16 (</w:t>
      </w:r>
      <w:r>
        <w:rPr>
          <w:rFonts w:eastAsia="Calibri"/>
          <w:i/>
        </w:rPr>
        <w:t>Confidentiality</w:t>
      </w:r>
      <w:r>
        <w:rPr>
          <w:rFonts w:eastAsia="Calibri"/>
        </w:rPr>
        <w:t>).</w:t>
      </w:r>
    </w:p>
    <w:p w:rsidRPr="00192433" w:rsidR="0017479E" w:rsidP="007C2163" w:rsidRDefault="0017479E" w14:paraId="38A49BA7" w14:textId="2075AB91">
      <w:pPr>
        <w:pStyle w:val="zGTC03"/>
      </w:pPr>
      <w:r>
        <w:rPr>
          <w:b/>
        </w:rPr>
        <w:t xml:space="preserve">GADS Data. </w:t>
      </w:r>
      <w:r w:rsidRPr="00425E31" w:rsidR="00413246">
        <w:t>Seller must provide to GPC, by no later than the 10</w:t>
      </w:r>
      <w:r w:rsidRPr="000E3C93" w:rsidR="00413246">
        <w:rPr>
          <w:vertAlign w:val="superscript"/>
        </w:rPr>
        <w:t>th</w:t>
      </w:r>
      <w:r w:rsidRPr="00425E31" w:rsidR="00413246">
        <w:t xml:space="preserve"> Day of each Month, all data for the preceding Month relating to the Facility that is required by applicable law to be reported to the NERC Generation Availability Data System (GADS) (or any successor system or other applicable system). Without limiting the previous sentence, Seller must use commercially reasonable efforts to obtain and provide to GPC any such data not in Seller’s possession or control.</w:t>
      </w:r>
    </w:p>
    <w:p w:rsidRPr="00192433" w:rsidR="007C2163" w:rsidP="007C2163" w:rsidRDefault="0049539D" w14:paraId="1B93DC49" w14:textId="3742FB75">
      <w:pPr>
        <w:pStyle w:val="zGTC02"/>
        <w:rPr>
          <w:rFonts w:ascii="Arial" w:hAnsi="Arial" w:eastAsia="PMingLiU" w:cs="Arial"/>
          <w:vanish/>
          <w:szCs w:val="20"/>
          <w:specVanish/>
        </w:rPr>
      </w:pPr>
      <w:bookmarkStart w:name="_Toc212472999" w:id="127"/>
      <w:bookmarkStart w:name="_Toc227840688" w:id="128"/>
      <w:r>
        <w:rPr>
          <w:rFonts w:ascii="Arial" w:hAnsi="Arial" w:cs="Arial"/>
          <w:szCs w:val="20"/>
        </w:rPr>
        <w:t>Effect of GPC Action.</w:t>
      </w:r>
      <w:bookmarkEnd w:id="127"/>
      <w:bookmarkEnd w:id="128"/>
    </w:p>
    <w:p w:rsidRPr="00F10071" w:rsidR="007C2163" w:rsidP="007C2163" w:rsidRDefault="007C2163" w14:paraId="1276AE92" w14:textId="06622220">
      <w:pPr>
        <w:pStyle w:val="zGNormal"/>
      </w:pPr>
      <w:r>
        <w:t xml:space="preserve"> Seller understands and agrees that GPC’s receipt and review of any material related to the Project or any physical inspection of the Facility GPC conducts under any PPA provision is solely for GPC’s own information. </w:t>
      </w:r>
      <w:r>
        <w:rPr>
          <w:b/>
          <w:u w:val="single"/>
        </w:rPr>
        <w:t xml:space="preserve">By conducting the review or inspection, GPC makes no endorsement of the design or representation or warranty of the safety, durability, or reliability of the Facility, all of which are </w:t>
      </w:r>
      <w:r w:rsidR="005F1CD7">
        <w:rPr>
          <w:b/>
          <w:u w:val="single"/>
        </w:rPr>
        <w:t xml:space="preserve">the </w:t>
      </w:r>
      <w:r>
        <w:rPr>
          <w:b/>
          <w:u w:val="single"/>
        </w:rPr>
        <w:t xml:space="preserve">sole responsibility </w:t>
      </w:r>
      <w:r w:rsidR="005F1CD7">
        <w:rPr>
          <w:b/>
          <w:u w:val="single"/>
        </w:rPr>
        <w:t xml:space="preserve">of Seller </w:t>
      </w:r>
      <w:r>
        <w:rPr>
          <w:b/>
          <w:u w:val="single"/>
        </w:rPr>
        <w:t>in accordance with the terms of this PPA, and GPC will not be deemed to have accepted any condition of the Facility that is not in full compliance with the terms of this PPA.</w:t>
      </w:r>
      <w:r>
        <w:t xml:space="preserve"> Seller must not represent to any third party that, because of GPC’s receipt </w:t>
      </w:r>
      <w:r w:rsidR="00F37141">
        <w:t xml:space="preserve">or </w:t>
      </w:r>
      <w:r>
        <w:t>review of any material or any inspection, GPC is in any way responsible for the engineering or construction soundness or operational practices of the Facility.</w:t>
      </w:r>
    </w:p>
    <w:p w:rsidRPr="00F10071" w:rsidR="007C2163" w:rsidP="007C2163" w:rsidRDefault="007C2163" w14:paraId="6E13C68B" w14:textId="77777777">
      <w:pPr>
        <w:pStyle w:val="zGTC02"/>
        <w:rPr>
          <w:rFonts w:ascii="Arial" w:hAnsi="Arial" w:eastAsia="PMingLiU" w:cs="Arial"/>
          <w:vanish/>
          <w:szCs w:val="20"/>
          <w:specVanish/>
        </w:rPr>
      </w:pPr>
      <w:bookmarkStart w:name="_Toc212473000" w:id="129"/>
      <w:bookmarkStart w:name="_Toc227840689" w:id="130"/>
      <w:r>
        <w:rPr>
          <w:rFonts w:ascii="Arial" w:hAnsi="Arial" w:cs="Arial"/>
          <w:szCs w:val="20"/>
        </w:rPr>
        <w:t>Operating Committee.</w:t>
      </w:r>
      <w:bookmarkEnd w:id="129"/>
      <w:bookmarkEnd w:id="130"/>
    </w:p>
    <w:p w:rsidRPr="00F10071" w:rsidR="007C2163" w:rsidP="007C2163" w:rsidRDefault="007C2163" w14:paraId="07B4A27C" w14:textId="77777777">
      <w:pPr>
        <w:pStyle w:val="zGTC02"/>
        <w:numPr>
          <w:ilvl w:val="0"/>
          <w:numId w:val="0"/>
        </w:numPr>
        <w:rPr>
          <w:rFonts w:ascii="Arial" w:hAnsi="Arial" w:cs="Arial"/>
          <w:szCs w:val="20"/>
        </w:rPr>
      </w:pPr>
    </w:p>
    <w:p w:rsidRPr="00F10071" w:rsidR="007C2163" w:rsidP="007C2163" w:rsidRDefault="00810C56" w14:paraId="37CA1663" w14:textId="35234550">
      <w:pPr>
        <w:pStyle w:val="zGTC03"/>
      </w:pPr>
      <w:r>
        <w:rPr>
          <w:b/>
        </w:rPr>
        <w:t xml:space="preserve">Appointments. </w:t>
      </w:r>
      <w:r>
        <w:t xml:space="preserve">The Parties will establish an Operating Committee comprised of two Operating Representatives, one appointed by each of Seller and GPC. Each Party will provide notice of the appointments to the other Party. Each Party may change </w:t>
      </w:r>
      <w:r w:rsidR="009147CB">
        <w:t xml:space="preserve">its </w:t>
      </w:r>
      <w:r>
        <w:t xml:space="preserve">Operating Representative appointment at any time by </w:t>
      </w:r>
      <w:r w:rsidR="00384BDF">
        <w:t xml:space="preserve">providing </w:t>
      </w:r>
      <w:r>
        <w:t>notice</w:t>
      </w:r>
      <w:r w:rsidR="00384BDF">
        <w:t xml:space="preserve"> to the other Party</w:t>
      </w:r>
      <w:r>
        <w:t>. The Operating Representatives will meet as necessary, but not less often than once each calendar year, at a mutually agreeable time and place upon prior notice. The Operating Representatives will represent the Parties in all matters arising under this PPA that may be delegated to them by mutual agreement of the Parties, but the Operating Representatives will not have any authority to modify or amend the terms of this PPA.</w:t>
      </w:r>
    </w:p>
    <w:p w:rsidR="007C2163" w:rsidP="007C2163" w:rsidRDefault="00810C56" w14:paraId="5EC9954D" w14:textId="4FD1BAC1">
      <w:pPr>
        <w:pStyle w:val="zGTC03"/>
      </w:pPr>
      <w:r>
        <w:rPr>
          <w:b/>
        </w:rPr>
        <w:t xml:space="preserve">Cooperation. </w:t>
      </w:r>
      <w:r>
        <w:t xml:space="preserve">Each Party will cooperate in providing the Operating Representatives all information required in the performance of their duties. If the Operating Representatives are unable to agree on any matter falling under their jurisdiction, the Operating Representatives will submit the matter to senior </w:t>
      </w:r>
      <w:r>
        <w:lastRenderedPageBreak/>
        <w:t>officers for discussion and resolution. All decisions and agreements made by the Operating Representatives or their principals must be evidenced in writing.</w:t>
      </w:r>
    </w:p>
    <w:p w:rsidRPr="00F10071" w:rsidR="0034713D" w:rsidP="0034713D" w:rsidRDefault="0034713D" w14:paraId="437420ED" w14:textId="52352BD1">
      <w:pPr>
        <w:pStyle w:val="zGTC02"/>
        <w:rPr>
          <w:rFonts w:ascii="Arial" w:hAnsi="Arial" w:eastAsia="PMingLiU" w:cs="Arial"/>
          <w:vanish/>
          <w:szCs w:val="20"/>
          <w:specVanish/>
        </w:rPr>
      </w:pPr>
      <w:bookmarkStart w:name="_Toc212473001" w:id="131"/>
      <w:bookmarkStart w:name="_Toc227840690" w:id="132"/>
      <w:r>
        <w:t>Cyber Security.</w:t>
      </w:r>
      <w:bookmarkEnd w:id="131"/>
      <w:bookmarkEnd w:id="132"/>
    </w:p>
    <w:p w:rsidR="00AE603A" w:rsidP="00AE603A" w:rsidRDefault="0034713D" w14:paraId="26E4C8D3" w14:textId="5D54005A">
      <w:pPr>
        <w:pStyle w:val="zGNormal"/>
      </w:pPr>
      <w:r>
        <w:t xml:space="preserve"> The </w:t>
      </w:r>
      <w:r>
        <w:rPr>
          <w:rStyle w:val="ui-provider"/>
        </w:rPr>
        <w:t xml:space="preserve">Facility must comply with </w:t>
      </w:r>
      <w:r>
        <w:t>the requirements for Bulk Electric System generation facilities in North America set forth in the NERC reliability standards (</w:t>
      </w:r>
      <w:r>
        <w:rPr>
          <w:i/>
          <w:iCs/>
        </w:rPr>
        <w:t>Cyber Security Standards</w:t>
      </w:r>
      <w:r>
        <w:t>) created pursuant to FERC Order 706 (</w:t>
      </w:r>
      <w:r>
        <w:rPr>
          <w:i/>
          <w:iCs/>
        </w:rPr>
        <w:t>Mandatory Reliability</w:t>
      </w:r>
      <w:r>
        <w:rPr>
          <w:i/>
        </w:rPr>
        <w:t xml:space="preserve"> Standards</w:t>
      </w:r>
      <w:r>
        <w:rPr>
          <w:i/>
          <w:iCs/>
        </w:rPr>
        <w:t xml:space="preserve"> for Critical Infrastructure Protection</w:t>
      </w:r>
      <w:r>
        <w:t>), other applicable law, or Prudent Industry Practices</w:t>
      </w:r>
      <w:r>
        <w:rPr>
          <w:rStyle w:val="ui-provider"/>
        </w:rPr>
        <w:t xml:space="preserve">. </w:t>
      </w:r>
      <w:r>
        <w:t>With respect to any actual or suspected cyber security incident that compromises, disrupts, or constitutes an attempt to compromise or disrupt: (i) Seller’s cyber security or physical security at the Facility; (ii) the performance of Seller’s obligations regarding the operation of the Facility; or (iii) products, software, hardware, or systems provided or to be provided by Seller under this PPA (a “</w:t>
      </w:r>
      <w:r>
        <w:rPr>
          <w:b/>
          <w:bCs/>
        </w:rPr>
        <w:t>Cyber Security Incident</w:t>
      </w:r>
      <w:r>
        <w:t xml:space="preserve">”), Seller must report any Cyber Security Incident to GPC within 24 Hours after discovery. Seller must take immediate steps to address any Cyber Security Incident and to mitigate </w:t>
      </w:r>
      <w:r w:rsidR="0069732D">
        <w:t xml:space="preserve">any </w:t>
      </w:r>
      <w:r>
        <w:t xml:space="preserve">impact to the Facility and GPC as a result of a Cyber Security Incident, </w:t>
      </w:r>
      <w:r w:rsidR="00325EF3">
        <w:t xml:space="preserve">up to and </w:t>
      </w:r>
      <w:r>
        <w:t>including the replacement of affected equipment</w:t>
      </w:r>
      <w:r w:rsidR="00911DAB">
        <w:t>, if applicable</w:t>
      </w:r>
      <w:r>
        <w:t>.</w:t>
      </w:r>
    </w:p>
    <w:p w:rsidRPr="00F10071" w:rsidR="007C2163" w:rsidP="007C2163" w:rsidRDefault="002B7E3A" w14:paraId="767193CB" w14:textId="35C5E4F6">
      <w:pPr>
        <w:pStyle w:val="zGTC01"/>
        <w:rPr>
          <w:rFonts w:ascii="Arial" w:hAnsi="Arial"/>
          <w:szCs w:val="20"/>
        </w:rPr>
      </w:pPr>
      <w:bookmarkStart w:name="_Toc212473002" w:id="133"/>
      <w:bookmarkStart w:name="_Toc227840691" w:id="134"/>
      <w:r>
        <w:rPr>
          <w:rFonts w:ascii="Arial" w:hAnsi="Arial"/>
          <w:szCs w:val="20"/>
        </w:rPr>
        <w:t>Fuel Supply Allowances</w:t>
      </w:r>
      <w:bookmarkEnd w:id="133"/>
      <w:bookmarkEnd w:id="134"/>
    </w:p>
    <w:p w:rsidRPr="00F10071" w:rsidR="007C2163" w:rsidP="007C2163" w:rsidRDefault="007C2163" w14:paraId="7E3FD75E" w14:textId="77777777">
      <w:pPr>
        <w:pStyle w:val="zGTC02"/>
        <w:rPr>
          <w:rFonts w:ascii="Arial" w:hAnsi="Arial" w:eastAsia="PMingLiU" w:cs="Arial"/>
          <w:vanish/>
          <w:szCs w:val="20"/>
          <w:specVanish/>
        </w:rPr>
      </w:pPr>
      <w:bookmarkStart w:name="_Toc212473003" w:id="135"/>
      <w:bookmarkStart w:name="_Toc227840692" w:id="136"/>
      <w:r>
        <w:rPr>
          <w:rFonts w:ascii="Arial" w:hAnsi="Arial" w:cs="Arial"/>
          <w:szCs w:val="20"/>
        </w:rPr>
        <w:t>Overview.</w:t>
      </w:r>
      <w:bookmarkEnd w:id="135"/>
      <w:bookmarkEnd w:id="136"/>
    </w:p>
    <w:p w:rsidRPr="00F10071" w:rsidR="007C2163" w:rsidP="007C2163" w:rsidRDefault="007C2163" w14:paraId="72361E77" w14:textId="77777777">
      <w:pPr>
        <w:pStyle w:val="zGTC02"/>
        <w:numPr>
          <w:ilvl w:val="0"/>
          <w:numId w:val="0"/>
        </w:numPr>
        <w:rPr>
          <w:rFonts w:ascii="Arial" w:hAnsi="Arial" w:cs="Arial"/>
          <w:szCs w:val="20"/>
        </w:rPr>
      </w:pPr>
    </w:p>
    <w:p w:rsidRPr="00192433" w:rsidR="007C2163" w:rsidP="007C2163" w:rsidRDefault="007143D2" w14:paraId="213BBC09" w14:textId="7A9E642B">
      <w:pPr>
        <w:pStyle w:val="zGTC03"/>
      </w:pPr>
      <w:r>
        <w:rPr>
          <w:b/>
        </w:rPr>
        <w:t xml:space="preserve">Natural Gas Availability; Gas Supply Plan. </w:t>
      </w:r>
      <w:r>
        <w:t xml:space="preserve">Before the Delivery Commencement Date, Seller must acquire and pay for any Natural Gas used at the Facility. </w:t>
      </w:r>
      <w:r w:rsidRPr="00917D83" w:rsidR="00917D83">
        <w:t>At all times following the Delivery Commencement Date during the Term, the Facility must be capable of utilizing Natural Gas meeting the Gas Quality Standards to produce the energy committed to GPC under this PPA</w:t>
      </w:r>
      <w:r>
        <w:t>. GPC will develop a Gas Supply Plan.</w:t>
      </w:r>
    </w:p>
    <w:p w:rsidRPr="00192433" w:rsidR="007C2163" w:rsidP="007C2163" w:rsidRDefault="004F1A0F" w14:paraId="0BA9620A" w14:textId="478BE605">
      <w:pPr>
        <w:pStyle w:val="zGTC03"/>
      </w:pPr>
      <w:r>
        <w:rPr>
          <w:b/>
        </w:rPr>
        <w:t xml:space="preserve">Monthly Fuel Adjustments; Natural Gas Responsibility. </w:t>
      </w:r>
      <w:r>
        <w:t>In accordance with Exhibit C (</w:t>
      </w:r>
      <w:r>
        <w:rPr>
          <w:i/>
        </w:rPr>
        <w:t>Energy Payment Calculation</w:t>
      </w:r>
      <w:r>
        <w:t>), Section 1.4 (</w:t>
      </w:r>
      <w:r>
        <w:rPr>
          <w:i/>
        </w:rPr>
        <w:t>Monthly Fuel Adjustment</w:t>
      </w:r>
      <w:r>
        <w:t>), GPC will receive or pay, as the case may be, a Monthly Fuel Adjustment based on the Guaranteed Heat Rate described in Exhibit F (</w:t>
      </w:r>
      <w:r>
        <w:rPr>
          <w:i/>
        </w:rPr>
        <w:t>Guaranteed Heat Rates</w:t>
      </w:r>
      <w:r>
        <w:t>) for all Natural Gas used to generate energy that is delivered to GPC in accordance with GPC’s Scheduling Instructions, including ramping: (i) from synchronization to Minimum Capacity (Startup Energy); (ii) from Minimum Capacity to Base Operating Mode; (iii) from Base Operating Mode to Supplemental Operating Mode; and (iv) down from the higher output levels to a lower output level or offline. The ramping energy will be multiplied by the appropriate Guaranteed Heat Rates in accordance with Exhibit F to determine the Daily Guaranteed Fuel quantity during ramping. The Guaranteed Heat Rate for ramping from synchronization to Minimum Capacity will be the Guaranteed Heat Rate for Minimum Capacity. Seller will be responsible for the cost of Natural Gas for the Facility start-up before synchronization. Each Party will be responsible in accordance with Exhibit B (</w:t>
      </w:r>
      <w:r>
        <w:rPr>
          <w:i/>
        </w:rPr>
        <w:t>Capacity; Capacity Payments and Payment Reductions; Buydown</w:t>
      </w:r>
      <w:r>
        <w:t>), Section 1.2 (</w:t>
      </w:r>
      <w:r>
        <w:rPr>
          <w:i/>
        </w:rPr>
        <w:t>Tested Reliable Capacity; Performance Tests</w:t>
      </w:r>
      <w:r>
        <w:t>) for the cost of Natural Gas, including transportation charges, required for Performance Testing.</w:t>
      </w:r>
    </w:p>
    <w:p w:rsidRPr="00192433" w:rsidR="007C2163" w:rsidP="007C2163" w:rsidRDefault="007C2163" w14:paraId="7C22D905" w14:textId="77777777">
      <w:pPr>
        <w:pStyle w:val="zGTC02"/>
        <w:rPr>
          <w:rFonts w:ascii="Arial" w:hAnsi="Arial" w:eastAsia="PMingLiU" w:cs="Arial"/>
          <w:vanish/>
          <w:szCs w:val="20"/>
          <w:specVanish/>
        </w:rPr>
      </w:pPr>
      <w:bookmarkStart w:name="_Toc212473004" w:id="137"/>
      <w:bookmarkStart w:name="_Toc227840693" w:id="138"/>
      <w:r>
        <w:rPr>
          <w:rFonts w:ascii="Arial" w:hAnsi="Arial" w:cs="Arial"/>
          <w:szCs w:val="20"/>
        </w:rPr>
        <w:t>Natural Gas Transportation Capacity.</w:t>
      </w:r>
      <w:bookmarkEnd w:id="137"/>
      <w:bookmarkEnd w:id="138"/>
    </w:p>
    <w:p w:rsidRPr="00192433" w:rsidR="007C2163" w:rsidP="007C2163" w:rsidRDefault="007C2163" w14:paraId="5FEC8847" w14:textId="77777777">
      <w:pPr>
        <w:pStyle w:val="zGTC02"/>
        <w:numPr>
          <w:ilvl w:val="0"/>
          <w:numId w:val="0"/>
        </w:numPr>
        <w:rPr>
          <w:rFonts w:ascii="Arial" w:hAnsi="Arial" w:cs="Arial"/>
          <w:szCs w:val="20"/>
        </w:rPr>
      </w:pPr>
    </w:p>
    <w:p w:rsidRPr="00192433" w:rsidR="007C2163" w:rsidP="007C2163" w:rsidRDefault="00DE206E" w14:paraId="1035088D" w14:textId="53C4FB55">
      <w:pPr>
        <w:pStyle w:val="zGTC03"/>
      </w:pPr>
      <w:r>
        <w:rPr>
          <w:b/>
        </w:rPr>
        <w:t xml:space="preserve">Gas Supply Plan Costs. </w:t>
      </w:r>
      <w:r>
        <w:t>Except as provided in this Part 11 (</w:t>
      </w:r>
      <w:r>
        <w:rPr>
          <w:i/>
        </w:rPr>
        <w:t>Fuel Supply Allowances</w:t>
      </w:r>
      <w:r>
        <w:t>), GPC will bear all costs incurred under the Gas Supply Plan. To the extent GPC desires to have or use storage capacity to better manage the Natural Gas requirements of the Facility, GPC will obtain such capacity at its expense.</w:t>
      </w:r>
    </w:p>
    <w:p w:rsidRPr="00192433" w:rsidR="007C2163" w:rsidP="007C2163" w:rsidRDefault="00861B0E" w14:paraId="5D95CD42" w14:textId="5D042B67">
      <w:pPr>
        <w:pStyle w:val="zGTC03"/>
      </w:pPr>
      <w:r>
        <w:rPr>
          <w:b/>
        </w:rPr>
        <w:t>Facilities, Infrastructure, and Property Interests.</w:t>
      </w:r>
      <w:r>
        <w:t xml:space="preserve"> At Seller’s expense, Seller must cause to be acquired, constructed, owned, operated, and maintained, all facilities, infrastructure, and property interests, including conditioning facilities (such as filtering, separation, and dehydration facilities), pressure regulation, and instrumentation, in each case that are necessary for Seller to receive, measure, and use Natural Gas delivered by GPC at the Gas Delivery Point so as to enable the Facility to produce energy as committed to GPC under this PPA, including all costs associated with the construction and operation of the gas pipeline lateral(s) necessary to connect the Facility to the fuel supplier’s (or suppliers’) gas pipeline(s). Seller is also responsible for all costs associated with the construction, operation, and maintenance of all infrastructure and equipment (including the infrastructure and equipment of any transporter or fuel supplier) associated with the interconnection of transporters’ and/or fuel supplier(s)’ gas pipeline lateral(s) or other piping and equipment with the Facility and the facilities and infrastructure and property interests required of Seller under this Section 11.2.2 (</w:t>
      </w:r>
      <w:r>
        <w:rPr>
          <w:i/>
          <w:iCs/>
        </w:rPr>
        <w:t>Facilities, Infrastructure, and Property Interests</w:t>
      </w:r>
      <w:r>
        <w:t>).</w:t>
      </w:r>
    </w:p>
    <w:p w:rsidRPr="00192433" w:rsidR="007C2163" w:rsidP="007C2163" w:rsidRDefault="009A49A5" w14:paraId="56F0341E" w14:textId="04FC3333">
      <w:pPr>
        <w:pStyle w:val="zGTC03"/>
        <w:rPr>
          <w:rStyle w:val="DeltaViewInsertion"/>
          <w:color w:val="auto"/>
          <w:u w:val="none"/>
        </w:rPr>
      </w:pPr>
      <w:r>
        <w:rPr>
          <w:b/>
          <w:w w:val="0"/>
        </w:rPr>
        <w:t xml:space="preserve">Acceptance at Gas Delivery Point. </w:t>
      </w:r>
      <w:r>
        <w:rPr>
          <w:w w:val="0"/>
        </w:rPr>
        <w:t>Seller agrees to accept at the Gas Delivery Point any Natural Gas that: (i) meets the gas quality standards for delivered Natural Gas under the applicable gas transportation provider’s</w:t>
      </w:r>
      <w:r>
        <w:rPr>
          <w:b/>
          <w:i/>
          <w:w w:val="0"/>
        </w:rPr>
        <w:t xml:space="preserve"> </w:t>
      </w:r>
      <w:r>
        <w:rPr>
          <w:w w:val="0"/>
        </w:rPr>
        <w:t xml:space="preserve">FERC gas tariff and the applicable transportation agreement(s); (ii) </w:t>
      </w:r>
      <w:r>
        <w:rPr>
          <w:rStyle w:val="DeltaViewInsertion"/>
          <w:color w:val="auto"/>
          <w:u w:val="none"/>
        </w:rPr>
        <w:t xml:space="preserve">does not </w:t>
      </w:r>
      <w:r>
        <w:rPr>
          <w:rStyle w:val="DeltaViewInsertion"/>
          <w:color w:val="auto"/>
          <w:u w:val="none"/>
        </w:rPr>
        <w:lastRenderedPageBreak/>
        <w:t>meet the gas quality standards described in the immediately preceding provision, so long as the Natural Gas would not, in Seller’s reasonable discretion, have a material adverse effect on the Facility; or (iii) Seller allows to flow beyond the Gas Delivery Point. If Seller refuses to accept delivery of Natural Gas that does not meet the gas quality standards described in item (i) of this Section 11.2.3 (</w:t>
      </w:r>
      <w:r>
        <w:rPr>
          <w:rStyle w:val="DeltaViewInsertion"/>
          <w:i/>
          <w:iCs/>
          <w:color w:val="auto"/>
          <w:u w:val="none"/>
        </w:rPr>
        <w:t>Acceptance at Gas Delivery Point</w:t>
      </w:r>
      <w:r>
        <w:rPr>
          <w:rStyle w:val="DeltaViewInsertion"/>
          <w:color w:val="auto"/>
          <w:u w:val="none"/>
        </w:rPr>
        <w:t xml:space="preserve">), GPC will be deemed to have failed to deliver that Natural Gas. </w:t>
      </w:r>
    </w:p>
    <w:p w:rsidRPr="00192433" w:rsidR="007C2163" w:rsidP="007C2163" w:rsidRDefault="0041023D" w14:paraId="580C4641" w14:textId="2975BFE8">
      <w:pPr>
        <w:pStyle w:val="zGTC03"/>
      </w:pPr>
      <w:r>
        <w:rPr>
          <w:b/>
        </w:rPr>
        <w:t xml:space="preserve">Imbalance </w:t>
      </w:r>
      <w:r>
        <w:rPr>
          <w:b/>
          <w:w w:val="0"/>
        </w:rPr>
        <w:t xml:space="preserve">Charges. </w:t>
      </w:r>
      <w:r>
        <w:t xml:space="preserve">The Parties will exercise reasonable commercial efforts to minimize any Imbalance Charges. GPC will be responsible for all Imbalance Charges relating to delivery of Natural Gas to the Facility to meet GPC’s Scheduling Instructions. </w:t>
      </w:r>
      <w:r w:rsidRPr="00D12637" w:rsidR="00D12637">
        <w:t>If GPC or Seller receives an invoice for Imbalance Charges from a transporter or supplier of Natural Gas, the receiving Party will notify the other Party within a reasonable period after receipt of the invoice and the Parties will determine the cause for the charges</w:t>
      </w:r>
      <w:r>
        <w:t>. To the extent that the Imbalance Charges were incurred because of GPC’s action or inaction, then GPC will pay the Imbalance Charges. To the extent that the Imbalance Charges were incurred because of Seller’s actions or inaction, or a Forced Derate associated with attempting to respond to GPC’s Schedule, then Seller must pay the Imbalance Charges. Imbalance Charges that are not due to the action or inaction of GPC or Seller or those for which a cause cannot be determined will be shared equally by GPC and Seller. Any disputes under this Section 11.2.4 (</w:t>
      </w:r>
      <w:r>
        <w:rPr>
          <w:i/>
          <w:iCs/>
        </w:rPr>
        <w:t>Imbalance Charges</w:t>
      </w:r>
      <w:r>
        <w:t>) will be resolved in accordance with Part 19 (</w:t>
      </w:r>
      <w:r>
        <w:rPr>
          <w:i/>
        </w:rPr>
        <w:t>Dispute Resolution</w:t>
      </w:r>
      <w:r>
        <w:t>) applicable to Imbalance Charges disputes.</w:t>
      </w:r>
    </w:p>
    <w:p w:rsidRPr="00192433" w:rsidR="007C2163" w:rsidP="007C2163" w:rsidRDefault="00E85F65" w14:paraId="69EFFFE8" w14:textId="6031652E">
      <w:pPr>
        <w:pStyle w:val="zGTC03"/>
      </w:pPr>
      <w:r>
        <w:rPr>
          <w:b/>
        </w:rPr>
        <w:t>Measurements; Title.</w:t>
      </w:r>
      <w:r>
        <w:t xml:space="preserve"> All Natural Gas supplied by GPC in accordance with this PPA will be measured at the Gas Delivery Point. GPC will retain title to Natural Gas provided by GPC to meet GPC’s Schedules. The title to all energy generated by the Facility because of the conversion of the Natural Gas to energy in the Facility will vest in GPC immediately upon its generation and, in accordance with this tolling arrangement, Seller must make the Facility Available to GPC to convert GPC’s Natural Gas to GPC’s energy. Despite the preceding sentences, risk of loss of Natural Gas GPC supplies in accordance with this PPA will transfer from GPC to Seller at the Gas Delivery Point and Seller must bear the risk of loss of energy generated at the Facility until Seller transfers the energy to GPC at the POD.</w:t>
      </w:r>
    </w:p>
    <w:p w:rsidRPr="00192433" w:rsidR="007C2163" w:rsidP="007C2163" w:rsidRDefault="007C2163" w14:paraId="37394E62" w14:textId="29157D74">
      <w:pPr>
        <w:pStyle w:val="zGTC02"/>
        <w:rPr>
          <w:rFonts w:ascii="Arial" w:hAnsi="Arial" w:eastAsia="PMingLiU" w:cs="Arial"/>
          <w:vanish/>
          <w:szCs w:val="20"/>
          <w:specVanish/>
        </w:rPr>
      </w:pPr>
      <w:bookmarkStart w:name="_Toc212473005" w:id="139"/>
      <w:bookmarkStart w:name="_Toc227840694" w:id="140"/>
      <w:r>
        <w:rPr>
          <w:rFonts w:ascii="Arial" w:hAnsi="Arial" w:cs="Arial"/>
          <w:szCs w:val="20"/>
        </w:rPr>
        <w:t>Allowances.</w:t>
      </w:r>
      <w:bookmarkEnd w:id="139"/>
      <w:bookmarkEnd w:id="140"/>
    </w:p>
    <w:p w:rsidRPr="00192433" w:rsidR="007C2163" w:rsidP="007C2163" w:rsidRDefault="007C2163" w14:paraId="2C80DD0B" w14:textId="77777777">
      <w:pPr>
        <w:pStyle w:val="zGTC02"/>
        <w:numPr>
          <w:ilvl w:val="0"/>
          <w:numId w:val="0"/>
        </w:numPr>
        <w:rPr>
          <w:rFonts w:ascii="Arial" w:hAnsi="Arial" w:cs="Arial"/>
          <w:szCs w:val="20"/>
        </w:rPr>
      </w:pPr>
    </w:p>
    <w:p w:rsidRPr="00F805E4" w:rsidR="007C2163" w:rsidP="007C2163" w:rsidRDefault="003002CA" w14:paraId="66ACC7DC" w14:textId="60C0E04C">
      <w:pPr>
        <w:pStyle w:val="zGTC03"/>
      </w:pPr>
      <w:r>
        <w:rPr>
          <w:b/>
        </w:rPr>
        <w:t>NOx and SO2 Allowances.</w:t>
      </w:r>
      <w:r>
        <w:t xml:space="preserve"> Seller will reserve for GPC’s sole benefit all Unit NOx Allowances and Unit SO2 Allowances, and Seller must use, at no cost to GPC, all Unit NOx Allowances and Unit SO2 Allowances for NOx Emissions and SO2 Emissions, respectively, from the Facility resulting from energy generated to meet GPC’s Scheduling Instructions. </w:t>
      </w:r>
      <w:bookmarkStart w:name="_Hlk25149159" w:id="141"/>
      <w:r>
        <w:t xml:space="preserve">If NOx Emissions or SO2 Emissions resulting from energy generated by the </w:t>
      </w:r>
      <w:r w:rsidR="002123DD">
        <w:t>u</w:t>
      </w:r>
      <w:r>
        <w:t xml:space="preserve">nit to meet GPC’s Scheduling Instructions exceed the Unit NOx Allowances or Unit SO2 Allowances, respectively, GPC will be required to obtain and supply, at GPC’s expense, additional NOx Allowances or SO2 Allowances, as applicable, required for the NOx Emissions or SO2 Emissions in excess of the Unit NOx Allowances or Unit SO2 Allowances, except that GPC will not be required to provide any NOx Allowances or SO2 Allowances that are needed due to Seller exceeding the emission rates allowed by the Air Permit, any Consent, or any other applicable law, </w:t>
      </w:r>
      <w:r w:rsidRPr="00BC0E36" w:rsidR="00BC0E36">
        <w:t xml:space="preserve">unless the excess emissions are the result of operating the </w:t>
      </w:r>
      <w:r w:rsidR="002123DD">
        <w:t>u</w:t>
      </w:r>
      <w:r w:rsidRPr="00BC0E36" w:rsidR="00BC0E36">
        <w:t>nit as required by order of a Governmental Authority exercising emergency authority, including an order under Section 202(c) of the Federal Power Act</w:t>
      </w:r>
      <w:r w:rsidR="00BC0E36">
        <w:t xml:space="preserve">, </w:t>
      </w:r>
      <w:r>
        <w:t xml:space="preserve">except that, Seller will not be required to follow any instruction from GPC or take any action that would result in Seller exceeding the emission rates allowed by the Air Permit, any Consent, or any other applicable law, and Seller will not have liability to GPC for failing to take any such action. </w:t>
      </w:r>
      <w:bookmarkEnd w:id="141"/>
      <w:r>
        <w:t xml:space="preserve">In no event will Seller transfer any Unit NOx Allowances or Unit SO2 Allowances to any Person other than GPC at any time or otherwise use Unit NOx Allowances or Unit SO2 Allowances for any purpose other than the NOx Emissions and SO2 Emissions from the </w:t>
      </w:r>
      <w:r w:rsidR="002123DD">
        <w:t>u</w:t>
      </w:r>
      <w:r>
        <w:t>nit resulting from energy generated to meet GPC’s Scheduling Instructions.</w:t>
      </w:r>
    </w:p>
    <w:p w:rsidRPr="00F805E4" w:rsidR="007C2163" w:rsidP="007C2163" w:rsidRDefault="000B4E34" w14:paraId="0D7C2D19" w14:textId="6269BA85">
      <w:pPr>
        <w:pStyle w:val="zGTC04"/>
      </w:pPr>
      <w:r>
        <w:rPr>
          <w:b/>
        </w:rPr>
        <w:t>NOx or SO2 Allowance Rights.</w:t>
      </w:r>
      <w:r>
        <w:t xml:space="preserve"> If Seller is allocated, issued, or has the right to obtain NOx Allowances or SO2 Allowances for a portion of, or its entire fleet of, generating units that are subject to the same Governmental Authority that governs NOx Allowances and SO2 Allowances for the </w:t>
      </w:r>
      <w:r w:rsidR="002123DD">
        <w:t>u</w:t>
      </w:r>
      <w:r>
        <w:t>nit, then a proportion of the NOx Allowances or SO2 Allowances will be reserved as Unit NOx Allowances or Unit SO2 Allowances, as applicable, for GPC’s benefit in accordance with this Section 11.3 (</w:t>
      </w:r>
      <w:r>
        <w:rPr>
          <w:i/>
        </w:rPr>
        <w:t>Allowances</w:t>
      </w:r>
      <w:r>
        <w:t>). The proportion of NOx Allowances or SO2 Allowances to be reserved as Unit NOx Allowances or Unit SO2 Allowances, as applicable, will be calculated based on the method, formula, or other similar calculation used by the Governmental Authority to determine such NOx Allowances or SO2 Allowances attributable to each generating unit compared to the sum of all NOx Allowances or SO2 Allowances for all generating units of Seller. For purposes of this Section 11.3.1(i) (</w:t>
      </w:r>
      <w:r>
        <w:rPr>
          <w:i/>
        </w:rPr>
        <w:t>NOx or SO2 Allowance Rights</w:t>
      </w:r>
      <w:r>
        <w:t>), all references to “Seller” will be deemed to include Seller’s Affiliates or other entity to which NOx Allowances or SO2 Allowances may be or have been allocated to or given rights to obtain for the Facility.</w:t>
      </w:r>
    </w:p>
    <w:p w:rsidRPr="00F805E4" w:rsidR="007C2163" w:rsidP="007C2163" w:rsidRDefault="008E4D56" w14:paraId="6FDADA51" w14:textId="6EB1B584">
      <w:pPr>
        <w:pStyle w:val="zGTC03"/>
      </w:pPr>
      <w:r>
        <w:rPr>
          <w:b/>
        </w:rPr>
        <w:lastRenderedPageBreak/>
        <w:t>Facility Exceeding NOx Allowances or SO2 Allowances.</w:t>
      </w:r>
      <w:r>
        <w:t xml:space="preserve"> If for any period the Unit NOx Allowances or Unit SO2 Allowances exceed the number of NOx Allowances or SO2 Allowances, respectively, required for NOx Emissions or SO2 Emissions resulting from energy generated by the </w:t>
      </w:r>
      <w:r w:rsidR="002123DD">
        <w:t>u</w:t>
      </w:r>
      <w:r>
        <w:t>nit to meet GPC’s Scheduling Instructions for the period, then Seller will carry forward the excess Unit NOx Allowances or Unit SO2 Allowances, as applicable, to use for GPC’s benefit in accordance with Section 11.3.1 (</w:t>
      </w:r>
      <w:r>
        <w:rPr>
          <w:i/>
        </w:rPr>
        <w:t>NOx and SO2 Allowances</w:t>
      </w:r>
      <w:r>
        <w:t xml:space="preserve">) in future periods to the extent the Unit NOx Allowances or Unit SO2 Allowances are allowed to be carried forward. At the end of the Term: (i) Seller must, to the extent permitted by applicable law, transfer to GPC any excess Unit NOx Allowances or Unit SO2 Allowances that GPC obtained for the </w:t>
      </w:r>
      <w:r w:rsidR="002123DD">
        <w:t>u</w:t>
      </w:r>
      <w:r>
        <w:t xml:space="preserve">nit, and GPC may utilize those Unit NOx Allowances or Unit SO2 Allowances for any purpose in GPC’s sole discretion; and (ii) Seller will retain any excess Unit NOx Allowances or Unit SO2 Allowances that GPC did not obtain for the Facility, and may use those excess Unit NOx Allowances or Unit SO2 Allowances that GPC did not obtain for the </w:t>
      </w:r>
      <w:r w:rsidR="002123DD">
        <w:t>u</w:t>
      </w:r>
      <w:r>
        <w:t>nit for any purpose, in Seller’s sole discretion.</w:t>
      </w:r>
    </w:p>
    <w:p w:rsidRPr="00F805E4" w:rsidR="007C2163" w:rsidP="007C2163" w:rsidRDefault="000D519C" w14:paraId="39F64525" w14:textId="727B6BCD">
      <w:pPr>
        <w:pStyle w:val="zGTC03"/>
      </w:pPr>
      <w:r>
        <w:rPr>
          <w:b/>
        </w:rPr>
        <w:t xml:space="preserve">Substitute Unit Applicability. </w:t>
      </w:r>
      <w:r>
        <w:t>This Section 11.3 (</w:t>
      </w:r>
      <w:r>
        <w:rPr>
          <w:i/>
          <w:iCs/>
        </w:rPr>
        <w:t>Allowances</w:t>
      </w:r>
      <w:r>
        <w:t>) will apply to a Substitute Unit that is authorized in accordance with Section 4.4 (</w:t>
      </w:r>
      <w:r>
        <w:rPr>
          <w:i/>
        </w:rPr>
        <w:t>Substitution of a Unit at the Site</w:t>
      </w:r>
      <w:r>
        <w:t>). However, GPC will not be required to provide any NOx Allowances or SO2 Allowances that are required regarding any Alternate Resource, and Seller will be responsible, at Seller’s expense, for obtaining all NOx Allowances or SO2 Allowances required for any Alternate Resource.</w:t>
      </w:r>
    </w:p>
    <w:p w:rsidRPr="00F805E4" w:rsidR="007C2163" w:rsidP="007C2163" w:rsidRDefault="000D519C" w14:paraId="37C76FB0" w14:textId="7AEA943D">
      <w:pPr>
        <w:pStyle w:val="zGTC03"/>
      </w:pPr>
      <w:r>
        <w:rPr>
          <w:b/>
        </w:rPr>
        <w:t xml:space="preserve">Other Emissions Allowances. </w:t>
      </w:r>
      <w:r>
        <w:t>Subject to Section 17.1 (</w:t>
      </w:r>
      <w:r>
        <w:rPr>
          <w:i/>
          <w:iCs/>
        </w:rPr>
        <w:t>New GHG Law</w:t>
      </w:r>
      <w:r>
        <w:t xml:space="preserve">), Seller will be solely responsible, at Seller’s sole cost, for any other emission allowances other than NOx Allowances or SO2 Allowances that are required concerning the </w:t>
      </w:r>
      <w:r w:rsidR="002123DD">
        <w:t>u</w:t>
      </w:r>
      <w:r>
        <w:t xml:space="preserve">nit or any Substitute Unit, including for any emissions or energy produced from the </w:t>
      </w:r>
      <w:r w:rsidR="002123DD">
        <w:t>u</w:t>
      </w:r>
      <w:r>
        <w:t>nit or any Substitute Unit.</w:t>
      </w:r>
    </w:p>
    <w:p w:rsidRPr="00192433" w:rsidR="007C2163" w:rsidP="007C2163" w:rsidRDefault="002B7E3A" w14:paraId="79148535" w14:textId="21EE80EA">
      <w:pPr>
        <w:pStyle w:val="zGTC01"/>
        <w:rPr>
          <w:rFonts w:ascii="Arial" w:hAnsi="Arial"/>
          <w:szCs w:val="20"/>
        </w:rPr>
      </w:pPr>
      <w:bookmarkStart w:name="_Toc212473006" w:id="142"/>
      <w:bookmarkStart w:name="_Toc227840695" w:id="143"/>
      <w:r>
        <w:rPr>
          <w:rFonts w:ascii="Arial" w:hAnsi="Arial"/>
          <w:szCs w:val="20"/>
        </w:rPr>
        <w:t>Energy Scheduling and Transmission</w:t>
      </w:r>
      <w:bookmarkEnd w:id="142"/>
      <w:bookmarkEnd w:id="143"/>
    </w:p>
    <w:p w:rsidRPr="00192433" w:rsidR="007C2163" w:rsidP="007C2163" w:rsidRDefault="007C2163" w14:paraId="23472D07" w14:textId="77777777">
      <w:pPr>
        <w:pStyle w:val="zGTC02"/>
        <w:rPr>
          <w:rFonts w:ascii="Arial" w:hAnsi="Arial" w:eastAsia="PMingLiU" w:cs="Arial"/>
          <w:vanish/>
          <w:szCs w:val="20"/>
          <w:specVanish/>
        </w:rPr>
      </w:pPr>
      <w:bookmarkStart w:name="_Toc212473007" w:id="144"/>
      <w:bookmarkStart w:name="_Toc227840696" w:id="145"/>
      <w:r>
        <w:rPr>
          <w:rFonts w:ascii="Arial" w:hAnsi="Arial" w:cs="Arial"/>
          <w:szCs w:val="20"/>
        </w:rPr>
        <w:t>Energy Scheduling.</w:t>
      </w:r>
      <w:bookmarkEnd w:id="144"/>
      <w:bookmarkEnd w:id="145"/>
    </w:p>
    <w:p w:rsidRPr="00192433" w:rsidR="007C2163" w:rsidP="007C2163" w:rsidRDefault="007C2163" w14:paraId="7C97393C" w14:textId="06ADA49E">
      <w:pPr>
        <w:pStyle w:val="zGNormal"/>
      </w:pPr>
      <w:r>
        <w:t xml:space="preserve"> GPC will issue Scheduling Instructions for the electrical output committed under this PPA. GPC has the right to Schedule the Facility on AGC or non-AGC. </w:t>
      </w:r>
    </w:p>
    <w:p w:rsidRPr="00192433" w:rsidR="007C2163" w:rsidP="007C2163" w:rsidRDefault="007C2163" w14:paraId="507BAEE1" w14:textId="77777777">
      <w:pPr>
        <w:pStyle w:val="zGTC02"/>
        <w:rPr>
          <w:rFonts w:ascii="Arial" w:hAnsi="Arial" w:eastAsia="PMingLiU" w:cs="Arial"/>
          <w:vanish/>
          <w:szCs w:val="20"/>
          <w:specVanish/>
        </w:rPr>
      </w:pPr>
      <w:bookmarkStart w:name="_Toc212473008" w:id="146"/>
      <w:bookmarkStart w:name="_Toc227840697" w:id="147"/>
      <w:r>
        <w:rPr>
          <w:rFonts w:ascii="Arial" w:hAnsi="Arial" w:cs="Arial"/>
          <w:szCs w:val="20"/>
        </w:rPr>
        <w:t>Coordination and Scheduling.</w:t>
      </w:r>
      <w:bookmarkEnd w:id="146"/>
      <w:bookmarkEnd w:id="147"/>
    </w:p>
    <w:p w:rsidRPr="00192433" w:rsidR="007C2163" w:rsidP="007C2163" w:rsidRDefault="007C2163" w14:paraId="33F0BFC9" w14:textId="77777777">
      <w:pPr>
        <w:pStyle w:val="zGTC02"/>
        <w:numPr>
          <w:ilvl w:val="0"/>
          <w:numId w:val="0"/>
        </w:numPr>
        <w:rPr>
          <w:rFonts w:ascii="Arial" w:hAnsi="Arial" w:cs="Arial"/>
          <w:szCs w:val="20"/>
        </w:rPr>
      </w:pPr>
    </w:p>
    <w:p w:rsidRPr="00192433" w:rsidR="007C2163" w:rsidP="007C2163" w:rsidRDefault="007239DA" w14:paraId="35FA57E3" w14:textId="5AB9150B">
      <w:pPr>
        <w:pStyle w:val="zGTC03"/>
      </w:pPr>
      <w:r>
        <w:rPr>
          <w:b/>
        </w:rPr>
        <w:t xml:space="preserve">Schedules. </w:t>
      </w:r>
      <w:r>
        <w:t>Despite any other provision of this PPA, GPC will submit</w:t>
      </w:r>
      <w:r w:rsidR="00B772E5">
        <w:t xml:space="preserve"> </w:t>
      </w:r>
      <w:r>
        <w:t>Schedules in accordance with the procedures in this Section 12.2 (</w:t>
      </w:r>
      <w:r>
        <w:rPr>
          <w:i/>
          <w:iCs/>
        </w:rPr>
        <w:t>Coordination and Scheduling</w:t>
      </w:r>
      <w:r>
        <w:t>) and Exhibit D (</w:t>
      </w:r>
      <w:r>
        <w:rPr>
          <w:i/>
        </w:rPr>
        <w:t>Technical Limits and Schedule Procedures</w:t>
      </w:r>
      <w:r>
        <w:t>)</w:t>
      </w:r>
      <w:r w:rsidR="00EA0F21">
        <w:t>, subject to the Technical Limits and the Scheduling limitations in this PPA</w:t>
      </w:r>
      <w:r>
        <w:t xml:space="preserve">. Seller is not obligated to deliver energy in response to those portions of Scheduling Instructions that materially deviate from </w:t>
      </w:r>
      <w:r w:rsidR="00893D9A">
        <w:t xml:space="preserve">those </w:t>
      </w:r>
      <w:r>
        <w:t>procedures</w:t>
      </w:r>
      <w:r w:rsidR="00F70DC2">
        <w:t xml:space="preserve"> or exceed</w:t>
      </w:r>
      <w:r w:rsidR="00DD1A5F">
        <w:t xml:space="preserve"> </w:t>
      </w:r>
      <w:r w:rsidR="00893D9A">
        <w:t>those</w:t>
      </w:r>
      <w:r w:rsidR="00DD1A5F">
        <w:t xml:space="preserve"> limitations</w:t>
      </w:r>
      <w:r>
        <w:t xml:space="preserve">. GPC is not entitled to Schedule energy, and Seller is not obligated to deliver energy, to the extent the energy cannot be delivered due to: </w:t>
      </w:r>
      <w:r>
        <w:rPr>
          <w:w w:val="0"/>
        </w:rPr>
        <w:t xml:space="preserve">(a) GPC’s failure to deliver to the Facility a sufficient quantity of fuel to generate such energy at the applicable Guaranteed Heat Rate; </w:t>
      </w:r>
      <w:r>
        <w:t>(b) GPC’s inability to receive such energy at the POD; or (c) the inability of Seller to operate the Facility in excess of Air Permit Operating Limits per calendar year, except that Seller will not be excused from failing to meet GPC’s Schedule in accordance with this subsection (c) if the failure is the result of Seller’s operation of the Facility for purposes other than complying with GPC’s Schedules and the associated requirements of this PPA.</w:t>
      </w:r>
    </w:p>
    <w:p w:rsidRPr="00192433" w:rsidR="007C2163" w:rsidP="007C2163" w:rsidRDefault="001F485F" w14:paraId="600A7F72" w14:textId="18FE959A">
      <w:pPr>
        <w:pStyle w:val="zGTC03"/>
      </w:pPr>
      <w:r>
        <w:rPr>
          <w:b/>
        </w:rPr>
        <w:t xml:space="preserve">Electrical Output; Scheduling Instructions; IA Compliance. </w:t>
      </w:r>
      <w:r>
        <w:t>The electrical output committed under this PPA will be subject to Scheduling Instructions. Seller must comply with the Scheduling Instructions at the time designated for compliance, subject to the Technical Limits and Scheduling procedures set forth in Exhibit D (T</w:t>
      </w:r>
      <w:r>
        <w:rPr>
          <w:i/>
        </w:rPr>
        <w:t>echnical Limits and Schedule Procedures</w:t>
      </w:r>
      <w:r>
        <w:t>). In addition, at the request of GPC, Seller must make reasonable efforts to cause the Facility to control voltage by producing or absorbing reactive power subject to the Technical Limits, so long as such actions do not cause Seller to breach any term or condition in the IA and so long as GPC will reimburse Seller for any incremental costs Seller incurred (including waiving any negative Facility Availability impacts directly attributable to Seller’s compliance with the reactive power instructions) in excess of those costs Seller would have incurred under the IA because of Seller’s compliance with any request.</w:t>
      </w:r>
    </w:p>
    <w:p w:rsidRPr="00192433" w:rsidR="007C2163" w:rsidP="007C2163" w:rsidRDefault="00082069" w14:paraId="0DC82C68" w14:textId="09B39BF8">
      <w:pPr>
        <w:pStyle w:val="zGTC03"/>
      </w:pPr>
      <w:r>
        <w:rPr>
          <w:b/>
        </w:rPr>
        <w:t xml:space="preserve">Records and Energy Scheduling. </w:t>
      </w:r>
      <w:r>
        <w:t>GPC and Seller will maintain written records of the quantities of energy to be delivered each six-second period and Hour during the Term. Following the Delivery Commencement Date, GPC may Schedule energy at any time during the Term and</w:t>
      </w:r>
      <w:r w:rsidR="00B44A46">
        <w:t>, when Scheduled by GPC in accordance with Section 12.2.1</w:t>
      </w:r>
      <w:r w:rsidR="00E87037">
        <w:t xml:space="preserve"> (</w:t>
      </w:r>
      <w:r w:rsidR="00E87037">
        <w:rPr>
          <w:i/>
          <w:iCs/>
        </w:rPr>
        <w:t>Schedules</w:t>
      </w:r>
      <w:r w:rsidR="00E87037">
        <w:t xml:space="preserve">), </w:t>
      </w:r>
      <w:r>
        <w:t>Seller must cause the entire output capability of the Facility to be available to GPC.</w:t>
      </w:r>
    </w:p>
    <w:p w:rsidRPr="00192433" w:rsidR="007C2163" w:rsidP="007C2163" w:rsidRDefault="00082069" w14:paraId="535C4C26" w14:textId="0692BD03">
      <w:pPr>
        <w:pStyle w:val="zGTC04"/>
        <w:rPr>
          <w:szCs w:val="20"/>
        </w:rPr>
      </w:pPr>
      <w:r>
        <w:rPr>
          <w:b/>
          <w:szCs w:val="20"/>
        </w:rPr>
        <w:lastRenderedPageBreak/>
        <w:t xml:space="preserve">Day-Ahead Scheduling Instructions and Deadlines. </w:t>
      </w:r>
      <w:r>
        <w:rPr>
          <w:szCs w:val="20"/>
        </w:rPr>
        <w:t xml:space="preserve">If </w:t>
      </w:r>
      <w:r>
        <w:t>GPC</w:t>
      </w:r>
      <w:r>
        <w:rPr>
          <w:szCs w:val="20"/>
        </w:rPr>
        <w:t xml:space="preserve"> elects to Schedule energy for delivery on the next Business Day, </w:t>
      </w:r>
      <w:r>
        <w:t>GPC</w:t>
      </w:r>
      <w:r>
        <w:rPr>
          <w:szCs w:val="20"/>
        </w:rPr>
        <w:t xml:space="preserve"> will provide Seller with GPC’s Schedule for the delivery no later than: (i) 12:00 p.m. CPT on the Business Day before the Day of delivery for deliveries from the Facility; or (ii) 9:00 a.m. CPT on the Business Day before the Day of delivery for deliveries from an Alternate Resource. The Day-ahead Scheduling Instruction will also include any electric deliveries from midnight to midnight for any Days that precede the next Business Day (i.e., weekends and holidays). </w:t>
      </w:r>
      <w:r>
        <w:t>GPC</w:t>
      </w:r>
      <w:r>
        <w:rPr>
          <w:szCs w:val="20"/>
        </w:rPr>
        <w:t xml:space="preserve"> will also provide a non-binding, good faith estimate of its Scheduling Instructions for the 24-Hour period following the next Business Day. </w:t>
      </w:r>
      <w:r>
        <w:t>GPC</w:t>
      </w:r>
      <w:r>
        <w:rPr>
          <w:szCs w:val="20"/>
        </w:rPr>
        <w:t xml:space="preserve"> may submit Scheduling Instructions for the Base Operating Mode for each Hour in increments of 1 MW, which may vary Hour to Hour, subject to a minimum of the Minimum Capacity up to the full Base Operating Mode Energy output capability. Supplemental Operating Mode Energy may also be Scheduled by </w:t>
      </w:r>
      <w:r>
        <w:t>GPC</w:t>
      </w:r>
      <w:r>
        <w:rPr>
          <w:szCs w:val="20"/>
        </w:rPr>
        <w:t xml:space="preserve"> up to the full Supplemental Operating Mode Energy output capability each Hour. Scheduling of the full output capability of the Declared Base Capacity is a prerequisite to the Scheduling of Supplemental Operating Mode Energy. </w:t>
      </w:r>
      <w:r>
        <w:t>GPC</w:t>
      </w:r>
      <w:r>
        <w:rPr>
          <w:szCs w:val="20"/>
        </w:rPr>
        <w:t xml:space="preserve"> will be required to accept and pay for energy during ramp up and ramp down periods at a price as described in Exhibit C (</w:t>
      </w:r>
      <w:r>
        <w:rPr>
          <w:i/>
          <w:szCs w:val="20"/>
        </w:rPr>
        <w:t>Energy Payment Calculation</w:t>
      </w:r>
      <w:r>
        <w:rPr>
          <w:szCs w:val="20"/>
        </w:rPr>
        <w:t>).</w:t>
      </w:r>
    </w:p>
    <w:p w:rsidRPr="00192433" w:rsidR="007C2163" w:rsidP="007C2163" w:rsidRDefault="00F44A92" w14:paraId="16E23AC1" w14:textId="4669D3C3">
      <w:pPr>
        <w:pStyle w:val="zGTC04"/>
      </w:pPr>
      <w:r>
        <w:rPr>
          <w:b/>
        </w:rPr>
        <w:t>Scheduling Instructions Submitted after the Day-Ahead Scheduling Deadline.</w:t>
      </w:r>
      <w:r>
        <w:t xml:space="preserve"> For Scheduling Instructions submitted after the Day-ahead deadline, GPC will provide Seller with a proposed revised Schedule at least </w:t>
      </w:r>
      <w:r>
        <w:rPr>
          <w:highlight w:val="yellow"/>
        </w:rPr>
        <w:t>#one</w:t>
      </w:r>
      <w:r>
        <w:rPr>
          <w:b/>
          <w:i/>
          <w:color w:val="FF0000"/>
          <w:highlight w:val="cyan"/>
          <w:u w:val="single"/>
        </w:rPr>
        <w:t>OR</w:t>
      </w:r>
      <w:r>
        <w:rPr>
          <w:highlight w:val="yellow"/>
        </w:rPr>
        <w:t>#NumberInAccordanceWithFacilityOperatingCharacteristics</w:t>
      </w:r>
      <w:r>
        <w:t xml:space="preserve"> Hour before the start-up or ramp up of energy delivery. If energy is not already Scheduled, GPC will be assessed one or more Startup Events, as applicable, in accordance with Exhibit C (</w:t>
      </w:r>
      <w:r>
        <w:rPr>
          <w:i/>
        </w:rPr>
        <w:t>Energy Payment Calculation</w:t>
      </w:r>
      <w:r>
        <w:t>), Section 1.3 (</w:t>
      </w:r>
      <w:r>
        <w:rPr>
          <w:i/>
        </w:rPr>
        <w:t>Monthly Startup Charges (MSC)</w:t>
      </w:r>
      <w:r>
        <w:t>). GPC will be responsible for the actual costs (commensurate with the Guaranteed Heat Rate) of implementing the intra-Day Scheduling Instruction (including any associated imbalance penalties, if any, that the Transmission Service Provider assessed); however, the costs will not include any lost opportunity costs for power sales from the Facility.</w:t>
      </w:r>
    </w:p>
    <w:p w:rsidRPr="00192433" w:rsidR="00C3750A" w:rsidP="007C2163" w:rsidRDefault="007A3143" w14:paraId="76BF047E" w14:textId="7F1CDF90">
      <w:pPr>
        <w:pStyle w:val="zGTC04"/>
      </w:pPr>
      <w:r>
        <w:rPr>
          <w:b/>
        </w:rPr>
        <w:t xml:space="preserve">Deemed Schedule; GPC’s Scheduling Right. </w:t>
      </w:r>
      <w:r>
        <w:t>Despite the preceding Section 12.2.3(ii) (</w:t>
      </w:r>
      <w:r>
        <w:rPr>
          <w:i/>
        </w:rPr>
        <w:t>Scheduling Instructions Submitted after the Day-Ahead Scheduling Deadline</w:t>
      </w:r>
      <w:r>
        <w:t>), if Seller has provided notice that an Unavailability Event has occurred before GPC giving intra-Day Scheduling Instructions, the most recent Schedule GPC submitted will be deemed the Schedule for the balance of the Day in which Seller has provided notice that the Unavailability Event has occurred. If no Day-ahead or intra-Day Schedule has been given to Seller for a given Day and Seller subsequently provides notice that an Unavailability Event has occurred, GPC will have the right to submit one intra-Day Schedule for the balance of the Day and afterwards will not change that intra-Day Schedule for the balance of the Day. For each Day following the Unavailability Event until the return of the Facility to service, GPC will have the right to submit a Day-ahead Schedule and one intra-Day Schedule for the balance of the Day and afterwards will not change that Schedule for the balance of the Day. During an Unavailability Event, Seller must inform GPC regularly regarding the projected schedule of the return to service of the Facility.</w:t>
      </w:r>
    </w:p>
    <w:p w:rsidRPr="00192433" w:rsidR="007C2163" w:rsidP="00FD475B" w:rsidRDefault="00F27ECB" w14:paraId="7FF4B5A2" w14:textId="0EBCBC9A">
      <w:pPr>
        <w:pStyle w:val="zGTC04"/>
      </w:pPr>
      <w:r>
        <w:rPr>
          <w:b/>
          <w:bCs/>
        </w:rPr>
        <w:t xml:space="preserve">Return to Service after Unavailability. </w:t>
      </w:r>
      <w:r>
        <w:t>If the Facility can return to service, Seller must notify GPC before 3:00 p.m. CPT on the Day before the Day on which the Facility will return to service to be able to deliver the entire Schedule GPC requested from the Facility. If the Facility can return to service intra-Day, Seller must give a three-Hour notification of ability to operate. GPC then has the right to submit a new Schedule for the balance of that Day. The previous Day’s Schedule remains the obligation of Seller until the end of the three-Hour notification. If GPC chooses to Schedule zero MWh for the balance of the Day, there is no obligation for Seller for the remainder of that Day. If GPC chooses to Schedule the Facility for greater than the Minimum Capacity, the</w:t>
      </w:r>
      <w:r>
        <w:rPr>
          <w:b/>
          <w:bCs/>
        </w:rPr>
        <w:t xml:space="preserve"> </w:t>
      </w:r>
      <w:r>
        <w:t>new forward Schedule becomes Seller’s delivery obligation for the remainder of that Day.</w:t>
      </w:r>
    </w:p>
    <w:p w:rsidRPr="00192433" w:rsidR="007C2163" w:rsidP="007C2163" w:rsidRDefault="0090001E" w14:paraId="69E8F88B" w14:textId="66347323">
      <w:pPr>
        <w:pStyle w:val="zGTC03"/>
      </w:pPr>
      <w:r>
        <w:rPr>
          <w:b/>
        </w:rPr>
        <w:t xml:space="preserve">Operator Requested Schedule. </w:t>
      </w:r>
      <w:r>
        <w:t>During the Term, Seller may from time to time request that the Facility be allowed to deliver electric energy output to GPC to test or evaluate Facility equipment (“</w:t>
      </w:r>
      <w:r>
        <w:rPr>
          <w:b/>
        </w:rPr>
        <w:t>Operator Requested Schedule</w:t>
      </w:r>
      <w:r>
        <w:t xml:space="preserve">”). Seller must request the Operator Requested Schedule from GPC at least one Business Day (and no later than 24 Hours) before the date of the Operator Requested Schedule and GPC will have the right to approve the Operator Requested Schedule (such approval not to be unreasonably withheld, conditioned, or delayed). If GPC approves and subsequently determines that it is necessary to Schedule the Facility during an Operator Requested Schedule, then GPC may cancel or </w:t>
      </w:r>
      <w:r>
        <w:lastRenderedPageBreak/>
        <w:t>interrupt the Operator Requested Schedule and subsequently Schedule the Facility as it deems appropriate. GPC will reimburse Seller for any reasonable, incremental expenses incurred by Seller due to Seller’s reliance on GPC’s previous approval of the Operator Requested Schedule.</w:t>
      </w:r>
    </w:p>
    <w:p w:rsidRPr="00192433" w:rsidR="004247C7" w:rsidP="007C2163" w:rsidRDefault="00D74663" w14:paraId="3E3DE208" w14:textId="77777777">
      <w:pPr>
        <w:pStyle w:val="zGTC03"/>
        <w:rPr>
          <w:b/>
          <w:bCs/>
        </w:rPr>
      </w:pPr>
      <w:r>
        <w:rPr>
          <w:b/>
          <w:bCs/>
        </w:rPr>
        <w:t xml:space="preserve">System Emergency. </w:t>
      </w:r>
    </w:p>
    <w:p w:rsidRPr="00192433" w:rsidR="007C2163" w:rsidP="7E0A8D69" w:rsidRDefault="009F708B" w14:paraId="2993CD88" w14:textId="0A63E968">
      <w:pPr>
        <w:pStyle w:val="zGTC04"/>
        <w:spacing w:line="259" w:lineRule="auto"/>
      </w:pPr>
      <w:r>
        <w:rPr>
          <w:b/>
          <w:bCs/>
        </w:rPr>
        <w:t xml:space="preserve">General System Emergency Procedure. </w:t>
      </w:r>
      <w:r>
        <w:t>The Parties recognize that GPC is a FERC jurisdictional entity subject to the reliability authority of NERC and that, to ensure continuous and reliable electric service, GPC operates its system in accordance with the operating criteria and guidelines of NERC. If a System Emergency is declared and the Scheduling Center, at its sole discretion, identifies the need to modify the schedule or dispatch of the Facility, the Scheduling Center will notify Seller’s personnel and, if requested, Seller will immediately place the energy of the Facility within the exclusive control of the Scheduling Center for the duration of the System Emergency. During the System Emergency, GPC will ensure that the Scheduling Center does not cause the Facility to be operated in a manner that exceeds the Technical Limits or any operations-related limits in the Air Permit without the prior consent of Seller, and, despite Seller’s consent, GPC will be responsible for the costs associated with operation of the Facility in accordance with the Scheduling Center control, including any penalties imposed on Seller by any Governmental Authority or costs incurred by Seller associated with additional maintenance or accelerated maintenance, in accordance with Prudent Industry Practices, due to the System Emergency. Without limiting anything in this Section 12.2.5 (</w:t>
      </w:r>
      <w:r>
        <w:rPr>
          <w:i/>
          <w:iCs/>
        </w:rPr>
        <w:t>System Emergency</w:t>
      </w:r>
      <w:r>
        <w:t>), the Scheduling Center may require Seller’s personnel to raise or lower production of energy generated by the Facility, including potential start-up or shutdown situations, to maintain safe and reliable load levels and voltages on the Electric System. To the extent Seller is required, under this Section 12.2.5(i) (</w:t>
      </w:r>
      <w:r>
        <w:rPr>
          <w:i/>
          <w:iCs/>
        </w:rPr>
        <w:t>General System Emergency Procedure</w:t>
      </w:r>
      <w:r>
        <w:t>), to take any action, or GPC takes any action, which will adversely affect Seller’s ability to meet GPC’s Schedules, including those Schedules modified in accordance with Section 12.2.5(ii)) (</w:t>
      </w:r>
      <w:r>
        <w:rPr>
          <w:i/>
          <w:iCs/>
        </w:rPr>
        <w:t>Cooperation During System Emergency</w:t>
      </w:r>
      <w:r>
        <w:t xml:space="preserve">), Seller may be excused from meeting GPC’s Schedules and, for purposes of the MAP calculation, the Hours (or equivalent Hours) of Unavailability due to System Emergency will be subtracted from Unplanned (Forced) Outage Hours and Equivalent Unplanned (Forced) Derated Unit Hours and the Hours (or equivalent Hours) of Unavailability due to System Emergency will be subtracted from Dispatch Hours, as shown in the MAP formulas in </w:t>
      </w:r>
      <w:r>
        <w:rPr>
          <w:bCs/>
        </w:rPr>
        <w:t>Exhibit B (</w:t>
      </w:r>
      <w:r>
        <w:rPr>
          <w:bCs/>
          <w:i/>
          <w:iCs/>
        </w:rPr>
        <w:t>Capacity; Capacity Payments</w:t>
      </w:r>
      <w:r>
        <w:rPr>
          <w:i/>
        </w:rPr>
        <w:t xml:space="preserve"> and Payment Reductions; Buydown</w:t>
      </w:r>
      <w:r>
        <w:rPr>
          <w:bCs/>
        </w:rPr>
        <w:t>)</w:t>
      </w:r>
      <w:r>
        <w:rPr>
          <w:b/>
          <w:bCs/>
        </w:rPr>
        <w:t xml:space="preserve">, </w:t>
      </w:r>
      <w:r>
        <w:t>Section 3.2 (</w:t>
      </w:r>
      <w:r>
        <w:rPr>
          <w:i/>
          <w:iCs/>
        </w:rPr>
        <w:t>Calculation of Monthly Availability Percentage</w:t>
      </w:r>
      <w:r>
        <w:t>).</w:t>
      </w:r>
    </w:p>
    <w:p w:rsidRPr="00192433" w:rsidR="007C2163" w:rsidP="004247C7" w:rsidRDefault="00050AA4" w14:paraId="26409680" w14:textId="21FCB4C0">
      <w:pPr>
        <w:pStyle w:val="zGTC04"/>
      </w:pPr>
      <w:r>
        <w:rPr>
          <w:b/>
          <w:bCs/>
        </w:rPr>
        <w:t xml:space="preserve">Cooperation During System Emergency. </w:t>
      </w:r>
      <w:r>
        <w:t>Seller must cooperate with GPC in establishing System Emergency plans, including recovery from a local or widespread electrical blackout, voltage reduction to effect load curtailment, or other plans that may be necessary or appropriate under the circumstances.</w:t>
      </w:r>
    </w:p>
    <w:p w:rsidRPr="00192433" w:rsidR="007C2163" w:rsidP="007C2163" w:rsidRDefault="007C2163" w14:paraId="16DA79E7" w14:textId="4C3361B3">
      <w:pPr>
        <w:pStyle w:val="zGTC02"/>
        <w:rPr>
          <w:rFonts w:ascii="Arial" w:hAnsi="Arial" w:eastAsia="PMingLiU" w:cs="Arial"/>
          <w:vanish/>
          <w:szCs w:val="20"/>
          <w:specVanish/>
        </w:rPr>
      </w:pPr>
      <w:bookmarkStart w:name="_Toc212473009" w:id="148"/>
      <w:bookmarkStart w:name="_Toc227840698" w:id="149"/>
      <w:r>
        <w:rPr>
          <w:rFonts w:ascii="Arial" w:hAnsi="Arial" w:cs="Arial"/>
          <w:szCs w:val="20"/>
        </w:rPr>
        <w:t>AGC.</w:t>
      </w:r>
      <w:bookmarkEnd w:id="148"/>
      <w:bookmarkEnd w:id="149"/>
    </w:p>
    <w:p w:rsidRPr="00192433" w:rsidR="007C2163" w:rsidP="007C2163" w:rsidRDefault="007C2163" w14:paraId="56835EBF" w14:textId="4720A519">
      <w:pPr>
        <w:pStyle w:val="zGNormal"/>
      </w:pPr>
      <w:r>
        <w:t xml:space="preserve"> The Facility must be capable of operating on AGC. Seller is responsible for all costs incurred at the Facility that are necessary to make the Facility respond to GPC’s AGC signals and to provide all information and control system access needed by GPC to effect these signals. GPC has the right, but not the obligation, to dispatch the Facility in the AGC mode. GPC has the right to: (i) operate the Facility on AGC; or (ii) provide a Schedule to Seller at any time. The integrated net effect of AGC during an Hour will be treated as a Schedule and subject to all limitations that otherwise apply to Schedules. If the AGC capability of the Facility is unavailable, GPC will utilize non-AGC Scheduling and Seller, at Seller’s expense, must use commercially reasonable efforts to re-establish AGC capability. </w:t>
      </w:r>
    </w:p>
    <w:p w:rsidRPr="00192433" w:rsidR="000120F1" w:rsidP="002F5B5C" w:rsidRDefault="0099203D" w14:paraId="27D72B08" w14:textId="391AAB35">
      <w:pPr>
        <w:pStyle w:val="zGTC03"/>
      </w:pPr>
      <w:r>
        <w:rPr>
          <w:rFonts w:eastAsiaTheme="minorEastAsia"/>
          <w:b/>
        </w:rPr>
        <w:t>Dynamic Scheduling.</w:t>
      </w:r>
      <w:r>
        <w:rPr>
          <w:rFonts w:eastAsiaTheme="minorEastAsia"/>
        </w:rPr>
        <w:t xml:space="preserve"> If the Facility is interconnected to the Electric System outside of the SBAA, then Seller must cooperate with GPC to implement a dynamic scheduling arrangement regarding Delivered Energy under GPC’s AGC schedules. The arrangement is contingent on: (i) the Parties’ mutual agreement; and (ii) securing required agreements and arrangements with the applicable balancing area authorities and Transmission Service Providers. </w:t>
      </w:r>
    </w:p>
    <w:p w:rsidRPr="00192433" w:rsidR="0099203D" w:rsidP="0099203D" w:rsidRDefault="00720FCB" w14:paraId="1808CD69" w14:textId="2AD7A7AE">
      <w:pPr>
        <w:pStyle w:val="zGTC04"/>
      </w:pPr>
      <w:r>
        <w:rPr>
          <w:rFonts w:eastAsiaTheme="minorEastAsia"/>
          <w:szCs w:val="20"/>
        </w:rPr>
        <w:t>The dynamic scheduling arrangement will be implemented to transmit energy in accordance with GPC’s AGC schedule from the POI to GPC’s load on the STT.</w:t>
      </w:r>
    </w:p>
    <w:p w:rsidRPr="00192433" w:rsidR="00095FF7" w:rsidP="00923736" w:rsidRDefault="0040311E" w14:paraId="3789B83D" w14:textId="2F99B7F1">
      <w:pPr>
        <w:pStyle w:val="zGTC04"/>
      </w:pPr>
      <w:r>
        <w:rPr>
          <w:rFonts w:eastAsiaTheme="minorEastAsia"/>
          <w:szCs w:val="20"/>
        </w:rPr>
        <w:t>The dynamic schedule arrangement must conform to the then-applicable business practices of the applicable balancing authority area(s) and Transmission Service Provider(s).</w:t>
      </w:r>
    </w:p>
    <w:p w:rsidRPr="00192433" w:rsidR="00EE25AF" w:rsidP="0099203D" w:rsidRDefault="006870BC" w14:paraId="292BF704" w14:textId="6EFA99F7">
      <w:pPr>
        <w:pStyle w:val="zGTC04"/>
      </w:pPr>
      <w:r>
        <w:rPr>
          <w:rFonts w:eastAsiaTheme="minorEastAsia"/>
          <w:szCs w:val="20"/>
        </w:rPr>
        <w:lastRenderedPageBreak/>
        <w:t>The dynamic schedule arrangement must include written agreements with the applicable balancing authorities and Transmission Service Provider(s) regarding electronic communications protocols, operating procedures, and the calculation of instantaneous and Hourly integrated dynamic schedule value(s).</w:t>
      </w:r>
    </w:p>
    <w:p w:rsidRPr="00192433" w:rsidR="00EA5923" w:rsidP="0099203D" w:rsidRDefault="00202B02" w14:paraId="6100DA86" w14:textId="24F19F42">
      <w:pPr>
        <w:pStyle w:val="zGTC04"/>
      </w:pPr>
      <w:r>
        <w:rPr>
          <w:rFonts w:eastAsiaTheme="minorEastAsia"/>
          <w:szCs w:val="20"/>
        </w:rPr>
        <w:t>Seller and GPC will install and maintain, or cause to be installed and maintained, any additional telemetry and communications equipment required for operation of the dynamic schedule.</w:t>
      </w:r>
    </w:p>
    <w:p w:rsidRPr="00192433" w:rsidR="00202B02" w:rsidP="0099203D" w:rsidRDefault="00327735" w14:paraId="0EDEC453" w14:textId="5FC66DBD">
      <w:pPr>
        <w:pStyle w:val="zGTC04"/>
      </w:pPr>
      <w:r>
        <w:rPr>
          <w:rFonts w:eastAsiaTheme="minorEastAsia"/>
          <w:szCs w:val="20"/>
        </w:rPr>
        <w:t>GPC’s AGC schedule will be constrained by the Facility high and low operating limits for the applicable period as communicated to GPC by the Facility.</w:t>
      </w:r>
    </w:p>
    <w:p w:rsidRPr="00192433" w:rsidR="00327735" w:rsidP="0099203D" w:rsidRDefault="006E5B01" w14:paraId="5E112416" w14:textId="26DE8A7D">
      <w:pPr>
        <w:pStyle w:val="zGTC04"/>
      </w:pPr>
      <w:r>
        <w:t>GPC’s AGC schedule may be limited due to a reliability curtailment enacted by a transmission reliability coordinator.</w:t>
      </w:r>
    </w:p>
    <w:p w:rsidRPr="00192433" w:rsidR="006E5B01" w:rsidP="0099203D" w:rsidRDefault="002B76CB" w14:paraId="107B669E" w14:textId="077890DB">
      <w:pPr>
        <w:pStyle w:val="zGTC04"/>
      </w:pPr>
      <w:r>
        <w:t>Delivered Energy will be subject to the then-applicable Maximum Ramp Rates per Exhibit D (</w:t>
      </w:r>
      <w:r>
        <w:rPr>
          <w:i/>
          <w:iCs/>
        </w:rPr>
        <w:t>Technical Limits and Schedule Procedures</w:t>
      </w:r>
      <w:r>
        <w:t>) Section 1.3 (</w:t>
      </w:r>
      <w:r>
        <w:rPr>
          <w:i/>
          <w:iCs/>
        </w:rPr>
        <w:t>Maximum Ramp Rates</w:t>
      </w:r>
      <w:r>
        <w:t>), or if applicable, any ramp rate(s) which are established by the Operating Committee.</w:t>
      </w:r>
    </w:p>
    <w:p w:rsidRPr="00192433" w:rsidR="002B76CB" w:rsidP="0099203D" w:rsidRDefault="003E20F0" w14:paraId="4EEB6B4D" w14:textId="6E8B3840">
      <w:pPr>
        <w:pStyle w:val="zGTC04"/>
      </w:pPr>
      <w:r>
        <w:t>Energy delivered to GPC’s load on the STT under GPC’s AGC schedule must be delivered to the STT interface net of transmission losses.</w:t>
      </w:r>
    </w:p>
    <w:p w:rsidRPr="00192433" w:rsidR="007C2163" w:rsidP="007C2163" w:rsidRDefault="007C2163" w14:paraId="08D69856" w14:textId="77777777">
      <w:pPr>
        <w:pStyle w:val="zGTC02"/>
        <w:rPr>
          <w:rFonts w:ascii="Arial" w:hAnsi="Arial" w:eastAsia="PMingLiU" w:cs="Arial"/>
          <w:vanish/>
          <w:szCs w:val="20"/>
          <w:specVanish/>
        </w:rPr>
      </w:pPr>
      <w:bookmarkStart w:name="_Toc212473010" w:id="150"/>
      <w:bookmarkStart w:name="_Toc227840699" w:id="151"/>
      <w:r>
        <w:rPr>
          <w:rFonts w:ascii="Arial" w:hAnsi="Arial" w:cs="Arial"/>
          <w:szCs w:val="20"/>
        </w:rPr>
        <w:t>Effect of Grid Emergencies.</w:t>
      </w:r>
      <w:bookmarkEnd w:id="150"/>
      <w:bookmarkEnd w:id="151"/>
    </w:p>
    <w:p w:rsidRPr="00192433" w:rsidR="007C2163" w:rsidP="007C2163" w:rsidRDefault="007C2163" w14:paraId="2B9ED1A4" w14:textId="7392188C">
      <w:pPr>
        <w:pStyle w:val="zGNormal"/>
      </w:pPr>
      <w:r>
        <w:t xml:space="preserve"> The Parties recognize that</w:t>
      </w:r>
      <w:r w:rsidR="00DD20B2">
        <w:t>,</w:t>
      </w:r>
      <w:r>
        <w:t xml:space="preserve"> </w:t>
      </w:r>
      <w:r>
        <w:rPr>
          <w:rFonts w:eastAsia="Times New Roman"/>
        </w:rPr>
        <w:t>in accordance with</w:t>
      </w:r>
      <w:r>
        <w:t xml:space="preserve"> the IA, Seller may be required to reduce generation or take certain actions during a Grid Emergency and may be required to disconnect the Facility from the Electric System to allow mitigation of system problems and repair or maintenance on the Interconnection Facilities or the Electric System.</w:t>
      </w:r>
      <w:r>
        <w:rPr>
          <w:bCs/>
        </w:rPr>
        <w:t xml:space="preserve"> To the extent that Seller is required under the </w:t>
      </w:r>
      <w:r>
        <w:t>IA</w:t>
      </w:r>
      <w:r>
        <w:rPr>
          <w:bCs/>
        </w:rPr>
        <w:t xml:space="preserve"> to take any action, other than instances where Seller’s acts or omissions are the cause for the required actions, which will adversely affect Seller’s ability to meet GPC’s Schedules, Seller </w:t>
      </w:r>
      <w:r>
        <w:t>will</w:t>
      </w:r>
      <w:r>
        <w:rPr>
          <w:bCs/>
        </w:rPr>
        <w:t xml:space="preserve"> be excused from meeting GPC’s Schedules and, for purposes of the MAP calculation, the Hours (or equivalent Hours) of Unavailability due to Grid Emergency </w:t>
      </w:r>
      <w:r>
        <w:t>will</w:t>
      </w:r>
      <w:r>
        <w:rPr>
          <w:bCs/>
        </w:rPr>
        <w:t xml:space="preserve"> be subtracted from Unplanned (Forced) Outage Hours and Equivalent Unplanned (Forced) Derated Unit Hours and the Hours (or equivalent Hours) of Unavailability </w:t>
      </w:r>
      <w:r>
        <w:t>will</w:t>
      </w:r>
      <w:r>
        <w:rPr>
          <w:bCs/>
        </w:rPr>
        <w:t xml:space="preserve"> be subtracted from Dispatch Hours, as shown in the MAP formulas in Exhibit B (</w:t>
      </w:r>
      <w:r>
        <w:rPr>
          <w:bCs/>
          <w:i/>
          <w:iCs/>
        </w:rPr>
        <w:t>Capacity; Capacity Payments</w:t>
      </w:r>
      <w:r>
        <w:rPr>
          <w:i/>
        </w:rPr>
        <w:t xml:space="preserve"> and Payment Reductions; Buydown</w:t>
      </w:r>
      <w:r>
        <w:rPr>
          <w:bCs/>
        </w:rPr>
        <w:t>), Section 3.2 (</w:t>
      </w:r>
      <w:r>
        <w:rPr>
          <w:bCs/>
          <w:i/>
          <w:iCs/>
        </w:rPr>
        <w:t>Calculation of Monthly Availability Percentage</w:t>
      </w:r>
      <w:r>
        <w:rPr>
          <w:bCs/>
        </w:rPr>
        <w:t>).</w:t>
      </w:r>
    </w:p>
    <w:p w:rsidRPr="00192433" w:rsidR="007C2163" w:rsidP="007C2163" w:rsidRDefault="007C2163" w14:paraId="06DD557A" w14:textId="18A91BCB">
      <w:pPr>
        <w:pStyle w:val="zGTC02"/>
        <w:rPr>
          <w:rFonts w:ascii="Arial" w:hAnsi="Arial" w:eastAsia="PMingLiU" w:cs="Arial"/>
          <w:vanish/>
          <w:szCs w:val="20"/>
          <w:specVanish/>
        </w:rPr>
      </w:pPr>
      <w:bookmarkStart w:name="_Toc212473011" w:id="152"/>
      <w:bookmarkStart w:name="_Toc227840700" w:id="153"/>
      <w:r>
        <w:rPr>
          <w:rFonts w:ascii="Arial" w:hAnsi="Arial" w:cs="Arial"/>
          <w:szCs w:val="20"/>
        </w:rPr>
        <w:t xml:space="preserve">Effect of Insufficient Capability in the </w:t>
      </w:r>
      <w:r>
        <w:rPr>
          <w:rFonts w:cs="Arial"/>
        </w:rPr>
        <w:t>Electric</w:t>
      </w:r>
      <w:r>
        <w:rPr>
          <w:rFonts w:ascii="Arial" w:hAnsi="Arial" w:cs="Arial"/>
          <w:szCs w:val="20"/>
        </w:rPr>
        <w:t xml:space="preserve"> System.</w:t>
      </w:r>
      <w:bookmarkEnd w:id="152"/>
      <w:bookmarkEnd w:id="153"/>
    </w:p>
    <w:p w:rsidRPr="00192433" w:rsidR="007C2163" w:rsidP="007C2163" w:rsidRDefault="007C2163" w14:paraId="7424D513" w14:textId="173818EC">
      <w:pPr>
        <w:pStyle w:val="zGNormal"/>
      </w:pPr>
      <w:r>
        <w:t xml:space="preserve"> If the Electric System is unable to receive the Scheduled Energy from the Facility, Seller will be excused from meeting GPC’s Schedules and,</w:t>
      </w:r>
      <w:r>
        <w:rPr>
          <w:bCs/>
        </w:rPr>
        <w:t xml:space="preserve"> for purposes of the MAP calculation,</w:t>
      </w:r>
      <w:r>
        <w:t xml:space="preserve"> the Hours (or equivalent Hours) of Unavailability will be subtracted from Unplanned (Forced) Outage Hours and Equivalent Unplanned (Forced) Derated Unit Hours and the Hours (or equivalent Hours) of Unavailability will be subtracted from Dispatch Hours, as shown in the MAP formulas in </w:t>
      </w:r>
      <w:r>
        <w:rPr>
          <w:bCs/>
        </w:rPr>
        <w:t>Exhibit B (</w:t>
      </w:r>
      <w:r>
        <w:rPr>
          <w:bCs/>
          <w:i/>
          <w:iCs/>
        </w:rPr>
        <w:t>Capacity; Capacity Payments</w:t>
      </w:r>
      <w:r>
        <w:rPr>
          <w:i/>
        </w:rPr>
        <w:t xml:space="preserve"> and Payment Reductions; Buydown</w:t>
      </w:r>
      <w:r>
        <w:rPr>
          <w:bCs/>
        </w:rPr>
        <w:t>), Section 3.2 (</w:t>
      </w:r>
      <w:r>
        <w:rPr>
          <w:bCs/>
          <w:i/>
          <w:iCs/>
        </w:rPr>
        <w:t>Calculation of Monthly Availability Percentage</w:t>
      </w:r>
      <w:r>
        <w:rPr>
          <w:bCs/>
        </w:rPr>
        <w:t>)</w:t>
      </w:r>
      <w:r>
        <w:t>. In the event Seller is utilizing an Alternate Resource to meet GPC’s Schedules and the Electric System is unable to receive the Scheduled Energy from the Alternate Resource, this will be treated as Unavailability to be included in the MAP calculation in accordance with</w:t>
      </w:r>
      <w:r>
        <w:rPr>
          <w:b/>
        </w:rPr>
        <w:t xml:space="preserve"> </w:t>
      </w:r>
      <w:r>
        <w:t xml:space="preserve">Exhibit B </w:t>
      </w:r>
      <w:r>
        <w:rPr>
          <w:bCs/>
        </w:rPr>
        <w:t>(</w:t>
      </w:r>
      <w:r>
        <w:rPr>
          <w:bCs/>
          <w:i/>
          <w:iCs/>
        </w:rPr>
        <w:t>Capacity; Capacity Payments</w:t>
      </w:r>
      <w:r>
        <w:rPr>
          <w:i/>
        </w:rPr>
        <w:t xml:space="preserve"> and Payment Reductions; Buydown</w:t>
      </w:r>
      <w:r>
        <w:rPr>
          <w:bCs/>
        </w:rPr>
        <w:t>)</w:t>
      </w:r>
      <w:r>
        <w:t>, Part 3 (</w:t>
      </w:r>
      <w:r>
        <w:rPr>
          <w:i/>
          <w:iCs/>
        </w:rPr>
        <w:t>Monthly Availability Adjustment</w:t>
      </w:r>
      <w:r>
        <w:t>).</w:t>
      </w:r>
    </w:p>
    <w:p w:rsidRPr="00192433" w:rsidR="00AC105D" w:rsidP="0017291E" w:rsidRDefault="00AC105D" w14:paraId="2E85E317" w14:textId="77777777">
      <w:pPr>
        <w:pStyle w:val="zGTC02"/>
        <w:spacing w:before="240"/>
        <w:rPr>
          <w:iCs/>
          <w:vanish/>
          <w:specVanish/>
        </w:rPr>
      </w:pPr>
      <w:bookmarkStart w:name="_Toc137409296" w:id="154"/>
      <w:bookmarkStart w:name="_Toc153986914" w:id="155"/>
      <w:bookmarkStart w:name="_Toc212473012" w:id="156"/>
      <w:bookmarkStart w:name="_Toc227840701" w:id="157"/>
      <w:r>
        <w:t>Transmission and Delivery Responsibilities of GPC.</w:t>
      </w:r>
      <w:bookmarkEnd w:id="154"/>
      <w:bookmarkEnd w:id="155"/>
      <w:bookmarkEnd w:id="156"/>
      <w:bookmarkEnd w:id="157"/>
    </w:p>
    <w:p w:rsidRPr="000565E2" w:rsidR="002B7B35" w:rsidP="002B7B35" w:rsidRDefault="00AC105D" w14:paraId="453DABA0" w14:textId="234A1E1A">
      <w:pPr>
        <w:pStyle w:val="zGNormal"/>
        <w:rPr>
          <w:rStyle w:val="zGEditorNote"/>
          <w:b w:val="0"/>
          <w:i w:val="0"/>
          <w:color w:val="auto"/>
          <w:spacing w:val="0"/>
          <w:shd w:val="clear" w:color="auto" w:fill="auto"/>
        </w:rPr>
      </w:pPr>
      <w:r>
        <w:t xml:space="preserve"> GPC will be solely responsible for scheduling and making all necessary arrangements for the Facility to be designated as a Network Resource for serving GPC’s load with deliveries of the energy sourced from the Facility. The designation will be obtained and maintained by GPC from COD throughout the remainder of the Term. The request will be consistent with the Network Resource process described in the Southern OATT. GPC will provide to Seller the OASIS reference number for the designation request. Except as otherwise provided in this PPA, GPC will be solely responsible for all costs and charges incurred in connection with delivery of energy from the POD to GPC’s load, whether imposed pursuant to standards or provisions established by FERC, another Governmental Authority, or any other Person.</w:t>
      </w:r>
    </w:p>
    <w:p w:rsidRPr="005F32FE" w:rsidR="008B5785" w:rsidP="008B5785" w:rsidRDefault="00D827D4" w14:paraId="4CE8D913" w14:textId="7A325FD4">
      <w:pPr>
        <w:pStyle w:val="zGTC02"/>
        <w:rPr>
          <w:rFonts w:ascii="Arial" w:hAnsi="Arial" w:eastAsia="PMingLiU" w:cs="Arial"/>
          <w:vanish/>
          <w:szCs w:val="20"/>
          <w:specVanish/>
        </w:rPr>
      </w:pPr>
      <w:bookmarkStart w:name="_Toc212473013" w:id="158"/>
      <w:bookmarkStart w:name="_Toc227840702" w:id="159"/>
      <w:r>
        <w:t>Seller Transmission and Delivery Responsibilities.</w:t>
      </w:r>
      <w:bookmarkEnd w:id="158"/>
      <w:bookmarkEnd w:id="159"/>
    </w:p>
    <w:p w:rsidRPr="005F32FE" w:rsidR="00262E03" w:rsidP="007C2163" w:rsidRDefault="008B5785" w14:paraId="03ACF20C" w14:textId="0720F7D8">
      <w:pPr>
        <w:pStyle w:val="zGNormal"/>
      </w:pPr>
      <w:r>
        <w:t xml:space="preserve"> If the Facility is interconnected to an Electric System outside the SBAA, Seller is responsible for Firm Transmission Service.</w:t>
      </w:r>
    </w:p>
    <w:p w:rsidRPr="00192433" w:rsidR="008B5785" w:rsidP="008B5785" w:rsidRDefault="001E2626" w14:paraId="147F2A4E" w14:textId="750937BD">
      <w:pPr>
        <w:pStyle w:val="zGTC03"/>
      </w:pPr>
      <w:r>
        <w:rPr>
          <w:b/>
          <w:bCs/>
        </w:rPr>
        <w:t xml:space="preserve">Firm Transmission Service. </w:t>
      </w:r>
      <w:r>
        <w:t xml:space="preserve">Seller will be solely responsible for making all necessary arrangements for the Firm Transmission Service necessary for the delivery of all energy to the POD, including ancillary services, from the Delivery Commencement Date throughout the remainder of the Term. Seller is solely responsible for all costs and charges incurred concerning providing Firm Transmission Service up to the POD, whether imposed under standards or provisions established by FERC, another Governmental Authority, any Transmission Service Provider, Interconnection Provider, or any other Person, including transmission and distribution costs, scheduling costs, generation and energy </w:t>
      </w:r>
      <w:r>
        <w:lastRenderedPageBreak/>
        <w:t>imbalance costs, congestion costs, operating reserve charges, and the cost of rights to utilize the transmission or distribution system.</w:t>
      </w:r>
    </w:p>
    <w:p w:rsidRPr="00192433" w:rsidR="00F643D2" w:rsidP="008B5785" w:rsidRDefault="00461C0C" w14:paraId="73AAE24E" w14:textId="77EFFAAE">
      <w:pPr>
        <w:pStyle w:val="zGTC03"/>
      </w:pPr>
      <w:r>
        <w:rPr>
          <w:b/>
          <w:bCs/>
        </w:rPr>
        <w:t>Southern Transmission Interface</w:t>
      </w:r>
      <w:r>
        <w:t>. Seller must: (i) obtain, maintain, and utilize Firm Transmission Service to deliver all energy from the Facility, through any applicable balancing authority area, to the POD; and (ii) provide to GPC all information reasonably requested by GPC, including information regarding the Facility or balancing authority area. Seller must procure Firm Transmission Service for the generating capacity of the Facility throughout the remainder of the Term to effectuate delivery to the selected Southern Transmission Interface.</w:t>
      </w:r>
    </w:p>
    <w:p w:rsidRPr="00192433" w:rsidR="00D36FD7" w:rsidP="000738D7" w:rsidRDefault="00D36FD7" w14:paraId="693D9515" w14:textId="7DAC3D13">
      <w:pPr>
        <w:pStyle w:val="zGTC03"/>
      </w:pPr>
      <w:r>
        <w:rPr>
          <w:b/>
          <w:bCs/>
        </w:rPr>
        <w:t>Information Regarding Delivery of Energy</w:t>
      </w:r>
      <w:r>
        <w:t>. Seller will provide and make available to GPC all information with respect to the delivery of energy and the interruption or curtailment of energy and Seller will use good faith efforts to obtain such information from other pertinent Persons in order to provide such information to GPC. Without limiting the foregoing, from the Delivery Commencement Date through the end of the Term, Seller will provide to GPC the transmission service request identification number for transmission service to the POD and any other information in the possession of Seller required by GPC to receive the energy delivered to or for the account of GPC at the POD.</w:t>
      </w:r>
    </w:p>
    <w:p w:rsidRPr="00192433" w:rsidR="007C2163" w:rsidP="007C2163" w:rsidRDefault="002B7E3A" w14:paraId="440F3D1A" w14:textId="4EDAB21C">
      <w:pPr>
        <w:pStyle w:val="zGTC01"/>
        <w:rPr>
          <w:rFonts w:ascii="Arial" w:hAnsi="Arial"/>
          <w:szCs w:val="20"/>
        </w:rPr>
      </w:pPr>
      <w:bookmarkStart w:name="_Toc212473014" w:id="160"/>
      <w:bookmarkStart w:name="_Toc227840703" w:id="161"/>
      <w:r>
        <w:rPr>
          <w:rFonts w:ascii="Arial" w:hAnsi="Arial"/>
          <w:szCs w:val="20"/>
        </w:rPr>
        <w:t>Insurance</w:t>
      </w:r>
      <w:bookmarkEnd w:id="160"/>
      <w:bookmarkEnd w:id="161"/>
    </w:p>
    <w:p w:rsidRPr="00192433" w:rsidR="007C2163" w:rsidP="007C2163" w:rsidRDefault="007C2163" w14:paraId="17A7EA63" w14:textId="77777777">
      <w:pPr>
        <w:pStyle w:val="zGTC02"/>
        <w:rPr>
          <w:rFonts w:ascii="Arial" w:hAnsi="Arial" w:eastAsia="PMingLiU" w:cs="Arial"/>
          <w:vanish/>
          <w:szCs w:val="20"/>
          <w:specVanish/>
        </w:rPr>
      </w:pPr>
      <w:bookmarkStart w:name="_Toc212473015" w:id="162"/>
      <w:bookmarkStart w:name="_Toc227840704" w:id="163"/>
      <w:r>
        <w:rPr>
          <w:rFonts w:ascii="Arial" w:hAnsi="Arial" w:cs="Arial"/>
          <w:szCs w:val="20"/>
        </w:rPr>
        <w:t>Insurance Required of Seller.</w:t>
      </w:r>
      <w:bookmarkEnd w:id="162"/>
      <w:bookmarkEnd w:id="163"/>
    </w:p>
    <w:p w:rsidRPr="00192433" w:rsidR="007C2163" w:rsidP="004B488C" w:rsidRDefault="007C2163" w14:paraId="1FD78693" w14:textId="7769D784">
      <w:pPr>
        <w:pStyle w:val="zGNormal"/>
      </w:pPr>
      <w:r>
        <w:t xml:space="preserve"> Throughout the Term, Seller must acquire and maintain in effect without interruption, at its sole cost and expense, the types and amounts of insurance coverage as are consistent with Prudent Industry Practices, but in no event less than the types and amounts described in this Part 13 (</w:t>
      </w:r>
      <w:r>
        <w:rPr>
          <w:i/>
          <w:iCs/>
        </w:rPr>
        <w:t>Insurance</w:t>
      </w:r>
      <w:r>
        <w:t>). All insurance must be with insurers: (i) holding an AM Best rating of at least A- VII or equivalent; (ii) whose financial condition and policy forms are acceptable to GPC (Seller must not unreasonably withhold requested documents); and (iii) authorized to transact insurance in the state where the Facility is located.</w:t>
      </w:r>
    </w:p>
    <w:p w:rsidRPr="00192433" w:rsidR="007C2163" w:rsidP="007C2163" w:rsidRDefault="007C2163" w14:paraId="2A526821" w14:textId="77777777">
      <w:pPr>
        <w:pStyle w:val="zGTC02"/>
        <w:rPr>
          <w:rFonts w:ascii="Arial" w:hAnsi="Arial" w:eastAsia="PMingLiU" w:cs="Arial"/>
          <w:vanish/>
          <w:szCs w:val="20"/>
          <w:specVanish/>
        </w:rPr>
      </w:pPr>
      <w:bookmarkStart w:name="_Toc212473016" w:id="164"/>
      <w:bookmarkStart w:name="_Toc227840705" w:id="165"/>
      <w:r>
        <w:rPr>
          <w:rFonts w:ascii="Arial" w:hAnsi="Arial" w:cs="Arial"/>
          <w:szCs w:val="20"/>
        </w:rPr>
        <w:t>Proof of Insurance.</w:t>
      </w:r>
      <w:bookmarkEnd w:id="164"/>
      <w:bookmarkEnd w:id="165"/>
    </w:p>
    <w:p w:rsidRPr="00192433" w:rsidR="007C2163" w:rsidP="004B488C" w:rsidRDefault="007C2163" w14:paraId="367192B4" w14:textId="677A7605">
      <w:pPr>
        <w:pStyle w:val="zGNormal"/>
      </w:pPr>
      <w:r>
        <w:t xml:space="preserve"> Before the Effective Date and annually after the Effective Date on the COD anniversary, Seller must provide to GPC a certificate of insurance certifying Seller’s coverage under insurance policy(ies) issued by an insurance company or insurance companies meeting the requirements of Section 13.1 (</w:t>
      </w:r>
      <w:r>
        <w:rPr>
          <w:i/>
        </w:rPr>
        <w:t>Insurance Required of Seller</w:t>
      </w:r>
      <w:r>
        <w:t>). GPC’s receipt or acceptance, without objection, of a certificate of insurance that does not comply with this Part 13 (</w:t>
      </w:r>
      <w:r>
        <w:rPr>
          <w:i/>
          <w:iCs/>
        </w:rPr>
        <w:t>Insurance</w:t>
      </w:r>
      <w:r>
        <w:t xml:space="preserve">) does not operate as GPC’s waiver of Seller’s obligations under the requirements of this Part 13. </w:t>
      </w:r>
    </w:p>
    <w:p w:rsidRPr="00192433" w:rsidR="007404EC" w:rsidP="007404EC" w:rsidRDefault="007404EC" w14:paraId="1B7CB926" w14:textId="77777777">
      <w:pPr>
        <w:pStyle w:val="zGTC02"/>
        <w:rPr>
          <w:rFonts w:ascii="Arial" w:hAnsi="Arial" w:eastAsia="PMingLiU" w:cs="Arial"/>
          <w:vanish/>
          <w:szCs w:val="20"/>
          <w:specVanish/>
        </w:rPr>
      </w:pPr>
      <w:bookmarkStart w:name="_Toc212473017" w:id="166"/>
      <w:bookmarkStart w:name="_Toc227840706" w:id="167"/>
      <w:r>
        <w:rPr>
          <w:b w:val="0"/>
        </w:rPr>
        <w:t>General Terms.</w:t>
      </w:r>
      <w:bookmarkEnd w:id="166"/>
      <w:bookmarkEnd w:id="167"/>
    </w:p>
    <w:p w:rsidRPr="00192433" w:rsidR="007404EC" w:rsidP="00ED7147" w:rsidRDefault="00E105C0" w14:paraId="727A8F5D" w14:textId="3EC6D71E">
      <w:pPr>
        <w:pStyle w:val="zGNormal"/>
        <w:rPr>
          <w:b/>
          <w:bCs/>
          <w:u w:val="single"/>
        </w:rPr>
      </w:pPr>
      <w:r>
        <w:t xml:space="preserve"> Upon commencement of operation of the Facility, the required insurance coverage must contain a broad form contractual endorsement specifically covering liabilities arising out of or caused by the operation of the Facility or by Seller’s failure to maintain the Facility in satisfactory and safe operating condition. Seller’s insurance must be primary for any activity arising out of this PPA. Insurance or self-insurance maintained by GPC or other additional insureds is in excess of Seller’s insurance, contingent and non-contributory. To the extent allowed by applicable law, </w:t>
      </w:r>
      <w:r w:rsidR="004E3384">
        <w:t>the GPC-Related Parties</w:t>
      </w:r>
      <w:r>
        <w:t xml:space="preserve"> must be additional insureds under the commercial general liability policy, auto liability policy and, if applicable, excess/umbrella policy. </w:t>
      </w:r>
      <w:r>
        <w:rPr>
          <w:b/>
          <w:bCs/>
          <w:u w:val="single"/>
        </w:rPr>
        <w:t xml:space="preserve">To the extent allowed by applicable law, Seller waives, and must require its insurers to waive, a right of subrogation against </w:t>
      </w:r>
      <w:r w:rsidR="004E3384">
        <w:rPr>
          <w:b/>
          <w:bCs/>
          <w:u w:val="single"/>
        </w:rPr>
        <w:t>the GPC-Related Parties</w:t>
      </w:r>
      <w:r>
        <w:rPr>
          <w:b/>
          <w:bCs/>
          <w:u w:val="single"/>
        </w:rPr>
        <w:t xml:space="preserve"> for the commercial general liability policy, auto liability policy, umbrella policy, if applicable, and the workers’ compensation policy.</w:t>
      </w:r>
    </w:p>
    <w:p w:rsidRPr="00192433" w:rsidR="00ED7147" w:rsidP="006A6974" w:rsidRDefault="0074389C" w14:paraId="45140BB0" w14:textId="77777777">
      <w:pPr>
        <w:pStyle w:val="zGTC02"/>
        <w:rPr>
          <w:rFonts w:ascii="Arial" w:hAnsi="Arial" w:eastAsia="PMingLiU" w:cs="Arial"/>
          <w:vanish/>
          <w:szCs w:val="20"/>
          <w:specVanish/>
        </w:rPr>
      </w:pPr>
      <w:bookmarkStart w:name="_Toc212473018" w:id="168"/>
      <w:bookmarkStart w:name="_Toc227840707" w:id="169"/>
      <w:r>
        <w:rPr>
          <w:rFonts w:eastAsia="PMingLiU"/>
        </w:rPr>
        <w:t>Required Insurance.</w:t>
      </w:r>
      <w:bookmarkEnd w:id="168"/>
      <w:bookmarkEnd w:id="169"/>
    </w:p>
    <w:p w:rsidRPr="00192433" w:rsidR="00ED7147" w:rsidP="00ED7147" w:rsidRDefault="00ED7147" w14:paraId="08678C04" w14:textId="77777777">
      <w:pPr>
        <w:pStyle w:val="zGNormal"/>
      </w:pPr>
      <w:r>
        <w:t xml:space="preserve"> Seller must acquire and maintain throughout the Term, the following types of insurance:</w:t>
      </w:r>
    </w:p>
    <w:p w:rsidRPr="00192433" w:rsidR="007C2163" w:rsidP="00CF5355" w:rsidRDefault="002E02C5" w14:paraId="269BAC3E" w14:textId="5088717A">
      <w:pPr>
        <w:pStyle w:val="zGTC03"/>
        <w:rPr>
          <w:rFonts w:eastAsia="PMingLiU"/>
        </w:rPr>
      </w:pPr>
      <w:r>
        <w:rPr>
          <w:b/>
          <w:bCs/>
        </w:rPr>
        <w:t>Commercial General Liability Insurance.</w:t>
      </w:r>
      <w:r>
        <w:t xml:space="preserve"> </w:t>
      </w:r>
      <w:bookmarkStart w:name="_Hlk34375558" w:id="170"/>
      <w:r>
        <w:t>Commercial General Liability insurance providing the following coverage, which can be exceeded by Seller and may be met through a combination of primary insurance and following form excess or umbrella insurance, so long as the combined limits meet requirements of this PPA:</w:t>
      </w:r>
      <w:bookmarkEnd w:id="170"/>
    </w:p>
    <w:p w:rsidRPr="00192433" w:rsidR="00CF5355" w:rsidP="00CF5355" w:rsidRDefault="002F77E8" w14:paraId="047E9990" w14:textId="09766540">
      <w:pPr>
        <w:pStyle w:val="zGTC04"/>
      </w:pPr>
      <w:bookmarkStart w:name="_Hlk34375577" w:id="171"/>
      <w:r>
        <w:rPr>
          <w:b/>
          <w:bCs/>
        </w:rPr>
        <w:t>General Requirements.</w:t>
      </w:r>
      <w:r>
        <w:t xml:space="preserve"> Commercial general liability insurance in an “occurrence” form with bodily injury and property damage combined liability limits of not less than </w:t>
      </w:r>
      <w:r>
        <w:rPr>
          <w:b/>
          <w:bCs/>
        </w:rPr>
        <w:t>twenty million dollars ($20,000,000.00)</w:t>
      </w:r>
      <w:r>
        <w:t xml:space="preserve"> per occurrence and in </w:t>
      </w:r>
      <w:r w:rsidR="000A004E">
        <w:t xml:space="preserve">the </w:t>
      </w:r>
      <w:r>
        <w:t>aggregate, except that: (i) Seller may use any combination of primary or excess policies to satisfy the overall limit requirements; and (ii) if Seller uses a “claims-made” policy, it must maintain continuous coverage in effect for at least five years beyond termination of this PPA, through continuous renewal of the original policy or by purchasing extended discovery period or retroactive insurance dated back to the Effective Date of this PPA.</w:t>
      </w:r>
      <w:bookmarkEnd w:id="171"/>
    </w:p>
    <w:p w:rsidRPr="00192433" w:rsidR="007C2163" w:rsidP="00CF5355" w:rsidRDefault="008D2902" w14:paraId="4BF375A2" w14:textId="36CD7E9A">
      <w:pPr>
        <w:pStyle w:val="zGTC04"/>
      </w:pPr>
      <w:r>
        <w:rPr>
          <w:b/>
          <w:bCs/>
        </w:rPr>
        <w:lastRenderedPageBreak/>
        <w:t>Additional Requirements.</w:t>
      </w:r>
      <w:r>
        <w:t xml:space="preserve"> Specific coverage for broad form contractual liability and a separation of insureds provision.</w:t>
      </w:r>
    </w:p>
    <w:p w:rsidRPr="00192433" w:rsidR="00200684" w:rsidP="00BF1643" w:rsidRDefault="007C2163" w14:paraId="54175791" w14:textId="77777777">
      <w:pPr>
        <w:pStyle w:val="zGTC03"/>
        <w:rPr>
          <w:rFonts w:eastAsia="PMingLiU"/>
          <w:vanish/>
          <w:specVanish/>
        </w:rPr>
      </w:pPr>
      <w:bookmarkStart w:name="_Toc159338536" w:id="172"/>
      <w:bookmarkStart w:name="_Toc212473019" w:id="173"/>
      <w:bookmarkEnd w:id="172"/>
      <w:r w:rsidRPr="00BF1643">
        <w:rPr>
          <w:b/>
          <w:bCs/>
        </w:rPr>
        <w:t>Additional Insurance.</w:t>
      </w:r>
      <w:bookmarkEnd w:id="173"/>
    </w:p>
    <w:p w:rsidRPr="00192433" w:rsidR="007C2163" w:rsidP="00200684" w:rsidRDefault="00687679" w14:paraId="237625C9" w14:textId="68063225">
      <w:pPr>
        <w:pStyle w:val="zGNormal"/>
      </w:pPr>
      <w:r>
        <w:t xml:space="preserve"> In addition to the </w:t>
      </w:r>
      <w:r w:rsidR="00B01C32">
        <w:t xml:space="preserve">other </w:t>
      </w:r>
      <w:r>
        <w:t>requirements in Sections 13.1 (</w:t>
      </w:r>
      <w:r>
        <w:rPr>
          <w:i/>
          <w:iCs/>
        </w:rPr>
        <w:t>Insurance Required of Seller</w:t>
      </w:r>
      <w:r>
        <w:t>) through 13.4 (</w:t>
      </w:r>
      <w:r>
        <w:rPr>
          <w:i/>
          <w:iCs/>
        </w:rPr>
        <w:t>Required Insurance</w:t>
      </w:r>
      <w:r>
        <w:t>), Seller must acquire and maintain throughout the Term, the following additional types of insurance:</w:t>
      </w:r>
    </w:p>
    <w:p w:rsidRPr="00BD113B" w:rsidR="007C2163" w:rsidP="00EB2B0B" w:rsidRDefault="007C2163" w14:paraId="06946810" w14:textId="633263DC">
      <w:pPr>
        <w:pStyle w:val="zGTC04"/>
      </w:pPr>
      <w:r>
        <w:rPr>
          <w:b/>
          <w:bCs/>
        </w:rPr>
        <w:t>Workers’ Compensation.</w:t>
      </w:r>
      <w:r>
        <w:t xml:space="preserve"> </w:t>
      </w:r>
      <w:bookmarkStart w:name="_Hlk34375646" w:id="174"/>
      <w:r>
        <w:t xml:space="preserve">Workers’ compensation insurance in accordance with statutory requirements, including employer’s liability insurance, with limits not less than </w:t>
      </w:r>
      <w:r>
        <w:rPr>
          <w:b/>
          <w:bCs/>
        </w:rPr>
        <w:t>one million dollars ($1,000,000.00)</w:t>
      </w:r>
      <w:r>
        <w:t xml:space="preserve"> per occurrence and in the aggregate, and endorsement providing insurance for obligations under the U.S. Longshoremen’s and Harbor Worker’s Compensation Act and the Jones Act, where applicable.</w:t>
      </w:r>
      <w:bookmarkEnd w:id="174"/>
    </w:p>
    <w:p w:rsidRPr="00BD113B" w:rsidR="007C2163" w:rsidP="00EB2B0B" w:rsidRDefault="007C2163" w14:paraId="0668F1B4" w14:textId="4AD17496">
      <w:pPr>
        <w:pStyle w:val="zGTC04"/>
      </w:pPr>
      <w:r>
        <w:rPr>
          <w:b/>
        </w:rPr>
        <w:t>Auto Liability.</w:t>
      </w:r>
      <w:r>
        <w:t xml:space="preserve"> </w:t>
      </w:r>
      <w:bookmarkStart w:name="_Hlk34375667" w:id="175"/>
      <w:r>
        <w:t xml:space="preserve">Automobile liability insurance including owned, non-owned, and hired automobiles with combined bodily injury and property damage limits of at least </w:t>
      </w:r>
      <w:r>
        <w:rPr>
          <w:b/>
        </w:rPr>
        <w:t>two million dollars ($2,000,000.00)</w:t>
      </w:r>
      <w:r>
        <w:t>.</w:t>
      </w:r>
      <w:bookmarkEnd w:id="175"/>
    </w:p>
    <w:p w:rsidRPr="00BD113B" w:rsidR="007C2163" w:rsidP="00EB2B0B" w:rsidRDefault="007C2163" w14:paraId="030D293D" w14:textId="4E99FE08">
      <w:pPr>
        <w:pStyle w:val="zGTC04"/>
      </w:pPr>
      <w:r>
        <w:rPr>
          <w:b/>
        </w:rPr>
        <w:t>Pollution Liability.</w:t>
      </w:r>
      <w:r>
        <w:t xml:space="preserve"> </w:t>
      </w:r>
      <w:bookmarkStart w:name="_Hlk34375730" w:id="176"/>
      <w:r>
        <w:t xml:space="preserve">Coverage for bodily injury, property damage, including clean-up costs and defense costs resulting from sudden, accidental, or gradual pollution conditions, including the discharge, dispersal, release or escape of smoke, vapors, soot, fumes, acids, alkalis, toxic chemicals, hydrocarbons, liquids or gases, waste materials or other irritants, contaminants or pollutants into or upon land, the atmosphere or any water course or body of water will be maintained, with limits not less than </w:t>
      </w:r>
      <w:r>
        <w:rPr>
          <w:b/>
        </w:rPr>
        <w:t>five million dollars ($5,000,000.00)</w:t>
      </w:r>
      <w:r>
        <w:t xml:space="preserve"> per occurrence or claim, except that, if Seller uses a “claims-made” policy, the policy must maintain continuous coverage in effect for at least five years beyond termination of this PPA through continuous renewal of the original policy or by purchasing extended discovery period retroactive insurance dated back to the Effective Date of this PPA.</w:t>
      </w:r>
      <w:bookmarkEnd w:id="176"/>
      <w:r>
        <w:t xml:space="preserve"> Seller may meet the requirements under this Section 13.</w:t>
      </w:r>
      <w:r w:rsidR="005D6AA9">
        <w:t>4</w:t>
      </w:r>
      <w:r>
        <w:t>.</w:t>
      </w:r>
      <w:r w:rsidR="005D6AA9">
        <w:t>2(iii)</w:t>
      </w:r>
      <w:r>
        <w:t xml:space="preserve"> (</w:t>
      </w:r>
      <w:r>
        <w:rPr>
          <w:i/>
          <w:iCs/>
        </w:rPr>
        <w:t>Pollution Liability</w:t>
      </w:r>
      <w:r>
        <w:t>) through sudden or accidental pollution coverage as part of the insurance required under Section 13.4.1 (</w:t>
      </w:r>
      <w:r>
        <w:rPr>
          <w:i/>
        </w:rPr>
        <w:t>Commercial General Liability Insurance</w:t>
      </w:r>
      <w:r>
        <w:t>).</w:t>
      </w:r>
    </w:p>
    <w:p w:rsidRPr="00192433" w:rsidR="007C2163" w:rsidP="00EB2B0B" w:rsidRDefault="007C2163" w14:paraId="2AF3A808" w14:textId="7BAA5B77">
      <w:pPr>
        <w:pStyle w:val="zGTC04"/>
      </w:pPr>
      <w:r>
        <w:rPr>
          <w:b/>
        </w:rPr>
        <w:t>All Risk Property.</w:t>
      </w:r>
      <w:r>
        <w:t xml:space="preserve"> Replacement cost of the Facility. A deductible may be carried, which will be the absolute responsibility of Seller.</w:t>
      </w:r>
    </w:p>
    <w:p w:rsidRPr="00192433" w:rsidR="00BF60EC" w:rsidP="00EB2B0B" w:rsidRDefault="008F242B" w14:paraId="7EC59B20" w14:textId="5192F723">
      <w:pPr>
        <w:pStyle w:val="zGTC04"/>
      </w:pPr>
      <w:r>
        <w:rPr>
          <w:b/>
        </w:rPr>
        <w:t>Umbrella/Excess.</w:t>
      </w:r>
      <w:r>
        <w:t xml:space="preserve"> </w:t>
      </w:r>
      <w:r>
        <w:rPr>
          <w:rFonts w:eastAsia="PMingLiU"/>
        </w:rPr>
        <w:t xml:space="preserve">Umbrella/Excess Liability Insurance on an occurrence basis in excess of the underlying insurance identified in </w:t>
      </w:r>
      <w:r w:rsidR="007B5BCC">
        <w:rPr>
          <w:rFonts w:eastAsia="PMingLiU"/>
        </w:rPr>
        <w:t xml:space="preserve">this </w:t>
      </w:r>
      <w:r>
        <w:rPr>
          <w:rFonts w:eastAsia="PMingLiU"/>
        </w:rPr>
        <w:t>Section 13.4 (</w:t>
      </w:r>
      <w:r>
        <w:rPr>
          <w:rFonts w:eastAsia="PMingLiU"/>
          <w:i/>
          <w:iCs/>
        </w:rPr>
        <w:t>Required Insurance</w:t>
      </w:r>
      <w:r>
        <w:rPr>
          <w:rFonts w:eastAsia="PMingLiU"/>
        </w:rPr>
        <w:t xml:space="preserve">), </w:t>
      </w:r>
      <w:r w:rsidR="0036638F">
        <w:rPr>
          <w:rFonts w:eastAsia="PMingLiU"/>
        </w:rPr>
        <w:t xml:space="preserve">except for workers’ compensation, </w:t>
      </w:r>
      <w:r>
        <w:rPr>
          <w:rFonts w:eastAsia="PMingLiU"/>
        </w:rPr>
        <w:t xml:space="preserve">and which is at least as broad as each and every one of the underlying policies. The umbrella/excess liability policy must be written on a “drop-down-following form” basis. The amounts of insurance required may be satisfied by Seller purchasing coverage for the limits specified or by any combination of underlying and umbrella limits, so long as the total amount of insurance is not less than </w:t>
      </w:r>
      <w:r>
        <w:rPr>
          <w:rFonts w:eastAsia="PMingLiU"/>
          <w:b/>
          <w:bCs/>
        </w:rPr>
        <w:t>twenty million dollars ($20,000,000.00)</w:t>
      </w:r>
      <w:r>
        <w:rPr>
          <w:rFonts w:eastAsia="PMingLiU"/>
        </w:rPr>
        <w:t xml:space="preserve"> any one occurrence and annually reinstating general aggregate.</w:t>
      </w:r>
    </w:p>
    <w:p w:rsidRPr="00192433" w:rsidR="007C2163" w:rsidP="007C2163" w:rsidRDefault="007C2163" w14:paraId="60820E74" w14:textId="77777777">
      <w:pPr>
        <w:pStyle w:val="zGTC02"/>
        <w:rPr>
          <w:rFonts w:ascii="Arial" w:hAnsi="Arial" w:eastAsia="PMingLiU" w:cs="Arial"/>
          <w:vanish/>
          <w:szCs w:val="20"/>
          <w:specVanish/>
        </w:rPr>
      </w:pPr>
      <w:bookmarkStart w:name="_Toc212473020" w:id="177"/>
      <w:bookmarkStart w:name="_Toc227840708" w:id="178"/>
      <w:r>
        <w:rPr>
          <w:rFonts w:ascii="Arial" w:hAnsi="Arial" w:cs="Arial"/>
          <w:szCs w:val="20"/>
        </w:rPr>
        <w:t>Notice of Change or Cancellation.</w:t>
      </w:r>
      <w:bookmarkEnd w:id="177"/>
      <w:bookmarkEnd w:id="178"/>
    </w:p>
    <w:p w:rsidRPr="00192433" w:rsidR="007C2163" w:rsidP="007C2163" w:rsidRDefault="007C2163" w14:paraId="787156EC" w14:textId="5F927FC3">
      <w:pPr>
        <w:pStyle w:val="zGNormal"/>
      </w:pPr>
      <w:r>
        <w:t xml:space="preserve"> </w:t>
      </w:r>
      <w:bookmarkStart w:name="_Hlk34375774" w:id="179"/>
      <w:r>
        <w:t>The required insurance policies will be endorsed with a provision requiring the insurance company to notify GPC at least 30 Days prior to the effective date of any cancellation, except for a 10 Days’ notice for nonpayment of premium. If notice of cancellation is only commercially available to Seller’s attention, then Seller will forward the 30-Day (or, for non-payment of premium, 10 Days’) advance notice to GPC immediately upon receipt. Furthermore, Seller agrees to notify GPC at least 30 Days before the effective date of any known material change in a required policy.</w:t>
      </w:r>
      <w:bookmarkEnd w:id="179"/>
    </w:p>
    <w:p w:rsidRPr="00192433" w:rsidR="007C2163" w:rsidP="007C2163" w:rsidRDefault="007C2163" w14:paraId="2F209352" w14:textId="77777777">
      <w:pPr>
        <w:pStyle w:val="zGTC02"/>
        <w:rPr>
          <w:rFonts w:ascii="Arial" w:hAnsi="Arial" w:eastAsia="PMingLiU" w:cs="Arial"/>
          <w:vanish/>
          <w:szCs w:val="20"/>
          <w:specVanish/>
        </w:rPr>
      </w:pPr>
      <w:bookmarkStart w:name="_Toc212473021" w:id="180"/>
      <w:bookmarkStart w:name="_Toc227840709" w:id="181"/>
      <w:r>
        <w:rPr>
          <w:rFonts w:ascii="Arial" w:hAnsi="Arial" w:cs="Arial"/>
          <w:szCs w:val="20"/>
        </w:rPr>
        <w:t>Payment of Premiums.</w:t>
      </w:r>
      <w:bookmarkEnd w:id="180"/>
      <w:bookmarkEnd w:id="181"/>
    </w:p>
    <w:p w:rsidRPr="00192433" w:rsidR="007C2163" w:rsidP="007C2163" w:rsidRDefault="007C2163" w14:paraId="0FC086BC" w14:textId="4D502E00">
      <w:pPr>
        <w:pStyle w:val="zGNormal"/>
      </w:pPr>
      <w:r>
        <w:t xml:space="preserve"> </w:t>
      </w:r>
      <w:bookmarkStart w:name="_Hlk34375808" w:id="182"/>
      <w:r>
        <w:t>Seller must pay all premiums and other charges due on each insurance policy and will keep all coverage in force throughout the Term.</w:t>
      </w:r>
      <w:bookmarkEnd w:id="182"/>
      <w:r>
        <w:t xml:space="preserve"> If Seller fails to pay any premium, GPC may (but will not have any obligation), in GPC’s sole discretion, elect to pay the premiums on Seller’s behalf and withhold any amount paid from any amount due to Seller under this PPA.</w:t>
      </w:r>
    </w:p>
    <w:p w:rsidRPr="00192433" w:rsidR="007C2163" w:rsidP="007C2163" w:rsidRDefault="007C2163" w14:paraId="67FD9AE2" w14:textId="77777777">
      <w:pPr>
        <w:pStyle w:val="zGTC02"/>
        <w:rPr>
          <w:rFonts w:ascii="Arial" w:hAnsi="Arial" w:eastAsia="PMingLiU" w:cs="Arial"/>
          <w:vanish/>
          <w:szCs w:val="20"/>
          <w:specVanish/>
        </w:rPr>
      </w:pPr>
      <w:bookmarkStart w:name="_Toc212473022" w:id="183"/>
      <w:bookmarkStart w:name="_Toc227840710" w:id="184"/>
      <w:r>
        <w:rPr>
          <w:rFonts w:ascii="Arial" w:hAnsi="Arial" w:cs="Arial"/>
          <w:szCs w:val="20"/>
        </w:rPr>
        <w:t>No Waiver of Liability.</w:t>
      </w:r>
      <w:bookmarkEnd w:id="183"/>
      <w:bookmarkEnd w:id="184"/>
    </w:p>
    <w:p w:rsidRPr="00192433" w:rsidR="007C2163" w:rsidP="007C2163" w:rsidRDefault="007C2163" w14:paraId="072BBFF9" w14:textId="751CD012">
      <w:pPr>
        <w:pStyle w:val="zGNormal"/>
      </w:pPr>
      <w:r>
        <w:t xml:space="preserve"> </w:t>
      </w:r>
      <w:bookmarkStart w:name="_Hlk34375832" w:id="185"/>
      <w:r>
        <w:t>The provisions requiring Seller to acquire and maintain insurance under this PPA will not be construed as a waiver, restriction, or limitation of any liability imposed on Seller under this PPA, whether the liability is covered by insurance. It is the intent of the Parties, however, that to the extent there is insurance coverage available to cover the legal or contractually assumed liability of Seller, any payments due because of such liability will be made first from the proceeds of such policies.</w:t>
      </w:r>
      <w:bookmarkEnd w:id="185"/>
    </w:p>
    <w:p w:rsidRPr="00192433" w:rsidR="007C2163" w:rsidP="00E105C0" w:rsidRDefault="00B74E0D" w14:paraId="34706E34" w14:textId="756D2078">
      <w:pPr>
        <w:pStyle w:val="zGTC01"/>
      </w:pPr>
      <w:bookmarkStart w:name="_Toc212473023" w:id="186"/>
      <w:bookmarkStart w:name="_Toc227840711" w:id="187"/>
      <w:r>
        <w:t>Risk and Claims</w:t>
      </w:r>
      <w:bookmarkEnd w:id="186"/>
      <w:bookmarkEnd w:id="187"/>
    </w:p>
    <w:p w:rsidRPr="00192433" w:rsidR="00ED7147" w:rsidP="00ED7147" w:rsidRDefault="00DA11B1" w14:paraId="5039AA56" w14:textId="77777777">
      <w:pPr>
        <w:pStyle w:val="zGTC02"/>
        <w:rPr>
          <w:rFonts w:ascii="Arial" w:hAnsi="Arial" w:eastAsia="PMingLiU" w:cs="Arial"/>
          <w:vanish/>
          <w:szCs w:val="20"/>
          <w:specVanish/>
        </w:rPr>
      </w:pPr>
      <w:bookmarkStart w:name="_Toc212473024" w:id="188"/>
      <w:bookmarkStart w:name="_Toc227840712" w:id="189"/>
      <w:r>
        <w:rPr>
          <w:rFonts w:eastAsia="PMingLiU"/>
        </w:rPr>
        <w:t>Liability for Facility.</w:t>
      </w:r>
      <w:bookmarkEnd w:id="188"/>
      <w:bookmarkEnd w:id="189"/>
    </w:p>
    <w:p w:rsidRPr="00192433" w:rsidR="00A6200B" w:rsidP="00ED7147" w:rsidRDefault="00ED7147" w14:paraId="4EFBAA5A" w14:textId="624E05A9">
      <w:pPr>
        <w:pStyle w:val="zGNormal"/>
        <w:rPr>
          <w:b/>
          <w:u w:val="single"/>
          <w:specVanish/>
        </w:rPr>
      </w:pPr>
      <w:r>
        <w:rPr>
          <w:b/>
          <w:bCs/>
          <w:u w:val="single"/>
        </w:rPr>
        <w:t xml:space="preserve"> As between the Parties, Seller retains all liability and risk regarding the Facility and the Site. GPC: (i) assumes no duty, responsibility, obligation, or liability regarding Facility or Site </w:t>
      </w:r>
      <w:r>
        <w:rPr>
          <w:b/>
          <w:bCs/>
          <w:u w:val="single"/>
        </w:rPr>
        <w:lastRenderedPageBreak/>
        <w:t>condition or operation; (ii) is not liable for injury or damage associated with the Site or the Facility (including its operation, maintenance, repair, or replacement); and (iii) is not responsible for transmission, distribution, or control of electric energy within the Site or at the Facility.</w:t>
      </w:r>
      <w:r w:rsidR="00AA014A">
        <w:rPr>
          <w:b/>
          <w:bCs/>
          <w:u w:val="single"/>
        </w:rPr>
        <w:t xml:space="preserve"> The limitations in this Section 14.1 do not apply </w:t>
      </w:r>
      <w:r w:rsidR="00A70C91">
        <w:rPr>
          <w:b/>
          <w:bCs/>
          <w:u w:val="single"/>
        </w:rPr>
        <w:t>to</w:t>
      </w:r>
      <w:r w:rsidR="008B075B">
        <w:rPr>
          <w:b/>
          <w:bCs/>
          <w:u w:val="single"/>
        </w:rPr>
        <w:t xml:space="preserve"> the extent</w:t>
      </w:r>
      <w:r w:rsidR="00A70C91">
        <w:rPr>
          <w:b/>
          <w:bCs/>
          <w:u w:val="single"/>
        </w:rPr>
        <w:t xml:space="preserve"> injury or damage </w:t>
      </w:r>
      <w:r w:rsidR="008B4F03">
        <w:rPr>
          <w:b/>
          <w:bCs/>
          <w:u w:val="single"/>
        </w:rPr>
        <w:t xml:space="preserve">is </w:t>
      </w:r>
      <w:r w:rsidR="00A70C91">
        <w:rPr>
          <w:b/>
          <w:bCs/>
          <w:u w:val="single"/>
        </w:rPr>
        <w:t xml:space="preserve">caused by GPC’s </w:t>
      </w:r>
      <w:r w:rsidR="00B1325E">
        <w:rPr>
          <w:b/>
          <w:bCs/>
          <w:u w:val="single"/>
        </w:rPr>
        <w:t xml:space="preserve">sole negligence, </w:t>
      </w:r>
      <w:r w:rsidR="00A70C91">
        <w:rPr>
          <w:b/>
          <w:bCs/>
          <w:u w:val="single"/>
        </w:rPr>
        <w:t>gross negligence</w:t>
      </w:r>
      <w:r w:rsidR="00F661A7">
        <w:rPr>
          <w:b/>
          <w:bCs/>
          <w:u w:val="single"/>
        </w:rPr>
        <w:t>,</w:t>
      </w:r>
      <w:r w:rsidR="00A70C91">
        <w:rPr>
          <w:b/>
          <w:bCs/>
          <w:u w:val="single"/>
        </w:rPr>
        <w:t xml:space="preserve"> or intentional misconduct.</w:t>
      </w:r>
    </w:p>
    <w:p w:rsidRPr="00192433" w:rsidR="002B3D82" w:rsidP="002B3D82" w:rsidRDefault="002B3D82" w14:paraId="23411338" w14:textId="77777777">
      <w:pPr>
        <w:pStyle w:val="zGTC02"/>
        <w:rPr>
          <w:rFonts w:ascii="Arial" w:hAnsi="Arial" w:eastAsia="PMingLiU" w:cs="Arial"/>
          <w:vanish/>
          <w:szCs w:val="20"/>
          <w:specVanish/>
        </w:rPr>
      </w:pPr>
      <w:bookmarkStart w:name="_Toc212473025" w:id="190"/>
      <w:bookmarkStart w:name="_Toc227840713" w:id="191"/>
      <w:r>
        <w:rPr>
          <w:rFonts w:ascii="Arial" w:hAnsi="Arial" w:cs="Arial"/>
          <w:szCs w:val="20"/>
        </w:rPr>
        <w:t>No Liability.</w:t>
      </w:r>
      <w:bookmarkEnd w:id="190"/>
      <w:bookmarkEnd w:id="191"/>
    </w:p>
    <w:p w:rsidRPr="00192433" w:rsidR="00DA11B1" w:rsidP="002B3D82" w:rsidRDefault="00CE4ACC" w14:paraId="5A382BCB" w14:textId="24E2679F">
      <w:pPr>
        <w:pStyle w:val="zGNormal"/>
        <w:rPr>
          <w:u w:val="single"/>
        </w:rPr>
      </w:pPr>
      <w:r>
        <w:rPr>
          <w:b/>
          <w:bCs/>
          <w:u w:val="single"/>
        </w:rPr>
        <w:t xml:space="preserve"> Neither Party is responsible for the other Party’s equipment, including its condition or operation. Neither Party is responsible for the distribution or control of electric energy on the other Party’s side of the POD. GPC is not responsible for physical damage to, or destruction </w:t>
      </w:r>
      <w:r w:rsidR="006643C8">
        <w:rPr>
          <w:b/>
          <w:bCs/>
          <w:u w:val="single"/>
        </w:rPr>
        <w:t xml:space="preserve">or degradation </w:t>
      </w:r>
      <w:r>
        <w:rPr>
          <w:b/>
          <w:bCs/>
          <w:u w:val="single"/>
        </w:rPr>
        <w:t>of, Seller’s property, nor will Seller seek recovery from GPC for property damage (including loss of use or electric service outage), except in the case of sole negligence or intentional wrongdoing by GPC or Persons acting on behalf of GPC and for whom GPC is otherwise responsible. Without limiting the generality of the previous sentence, neither Party is liable to the other for damage arising from the simple failure (i.e., failure not caused by breach of contract, negligence, or intentional wrongful act) of a protective device or scheme.</w:t>
      </w:r>
      <w:r w:rsidR="005E198A">
        <w:rPr>
          <w:b/>
          <w:bCs/>
          <w:u w:val="single"/>
        </w:rPr>
        <w:t xml:space="preserve"> </w:t>
      </w:r>
      <w:r w:rsidR="009705E5">
        <w:rPr>
          <w:b/>
          <w:bCs/>
          <w:u w:val="single"/>
        </w:rPr>
        <w:t>The limitations in this Section 14.2 (</w:t>
      </w:r>
      <w:r w:rsidRPr="000777BF" w:rsidR="009705E5">
        <w:rPr>
          <w:b/>
          <w:bCs/>
          <w:i/>
          <w:iCs/>
          <w:u w:val="single"/>
        </w:rPr>
        <w:t>No Liability</w:t>
      </w:r>
      <w:r w:rsidR="009705E5">
        <w:rPr>
          <w:b/>
          <w:bCs/>
          <w:u w:val="single"/>
        </w:rPr>
        <w:t xml:space="preserve">) do not apply to </w:t>
      </w:r>
      <w:r w:rsidR="008B075B">
        <w:rPr>
          <w:b/>
          <w:bCs/>
          <w:u w:val="single"/>
        </w:rPr>
        <w:t xml:space="preserve">the extent </w:t>
      </w:r>
      <w:r w:rsidR="009705E5">
        <w:rPr>
          <w:b/>
          <w:bCs/>
          <w:u w:val="single"/>
        </w:rPr>
        <w:t xml:space="preserve">injury or damage </w:t>
      </w:r>
      <w:r w:rsidR="00D132E3">
        <w:rPr>
          <w:b/>
          <w:bCs/>
          <w:u w:val="single"/>
        </w:rPr>
        <w:t xml:space="preserve">is </w:t>
      </w:r>
      <w:r w:rsidR="009705E5">
        <w:rPr>
          <w:b/>
          <w:bCs/>
          <w:u w:val="single"/>
        </w:rPr>
        <w:t>caused by the sole negligence, gross negligence, or intentional misconduct of a Party or any Persons acting on behalf of such Party for whom such Party is responsible.</w:t>
      </w:r>
    </w:p>
    <w:p w:rsidRPr="00192433" w:rsidR="007C2163" w:rsidP="00A6200B" w:rsidRDefault="007C2163" w14:paraId="584083F3" w14:textId="49637129">
      <w:pPr>
        <w:pStyle w:val="zGTC02"/>
        <w:rPr>
          <w:rFonts w:eastAsia="PMingLiU"/>
          <w:vanish/>
          <w:specVanish/>
        </w:rPr>
      </w:pPr>
      <w:bookmarkStart w:name="_Toc212473026" w:id="192"/>
      <w:bookmarkStart w:name="_Toc227840714" w:id="193"/>
      <w:r>
        <w:t>Scope of Indemnity.</w:t>
      </w:r>
      <w:bookmarkEnd w:id="192"/>
      <w:bookmarkEnd w:id="193"/>
    </w:p>
    <w:p w:rsidRPr="00192433" w:rsidR="007C2163" w:rsidP="007C2163" w:rsidRDefault="007C2163" w14:paraId="3E12F0EC" w14:textId="30527415">
      <w:pPr>
        <w:pStyle w:val="zGNormal"/>
        <w:rPr>
          <w:b/>
          <w:bCs/>
          <w:u w:val="single"/>
        </w:rPr>
      </w:pPr>
      <w:r>
        <w:t xml:space="preserve"> </w:t>
      </w:r>
      <w:r>
        <w:rPr>
          <w:b/>
          <w:bCs/>
          <w:u w:val="single"/>
        </w:rPr>
        <w:t>To the fullest extent allowed by applicable law, Seller must indemnify, release, hold harmless, and, at GPC’s request, defend GPC and any GPC-Related Party from or against a Claim caused by, arising out of, or related to an act or omission associated with the Facility or this PPA by a</w:t>
      </w:r>
      <w:r w:rsidR="00446B4E">
        <w:rPr>
          <w:b/>
          <w:bCs/>
          <w:u w:val="single"/>
        </w:rPr>
        <w:t>ny</w:t>
      </w:r>
      <w:r>
        <w:rPr>
          <w:b/>
          <w:bCs/>
          <w:u w:val="single"/>
        </w:rPr>
        <w:t xml:space="preserve"> Seller Entity, including, for the avoidance of doubt, any Cyber Security Incident. If the Claim ar</w:t>
      </w:r>
      <w:r w:rsidR="00C22E48">
        <w:rPr>
          <w:b/>
          <w:bCs/>
          <w:u w:val="single"/>
        </w:rPr>
        <w:t>ises</w:t>
      </w:r>
      <w:r>
        <w:rPr>
          <w:b/>
          <w:bCs/>
          <w:u w:val="single"/>
        </w:rPr>
        <w:t xml:space="preserve"> out of the joint, concurrent, or contributory acts of both Parties, Seller’s liability under this Section 14.3 (</w:t>
      </w:r>
      <w:r>
        <w:rPr>
          <w:b/>
          <w:bCs/>
          <w:i/>
          <w:iCs/>
          <w:u w:val="single"/>
        </w:rPr>
        <w:t>Scope of Indemnity</w:t>
      </w:r>
      <w:r>
        <w:rPr>
          <w:b/>
          <w:bCs/>
          <w:u w:val="single"/>
        </w:rPr>
        <w:t xml:space="preserve">) is proportional to the extent the Claim </w:t>
      </w:r>
      <w:r w:rsidR="00B131C8">
        <w:rPr>
          <w:b/>
          <w:bCs/>
          <w:u w:val="single"/>
        </w:rPr>
        <w:t xml:space="preserve">is </w:t>
      </w:r>
      <w:r>
        <w:rPr>
          <w:b/>
          <w:bCs/>
          <w:u w:val="single"/>
        </w:rPr>
        <w:t>attributable to a Seller Entity</w:t>
      </w:r>
      <w:r w:rsidR="00B131C8">
        <w:rPr>
          <w:b/>
          <w:bCs/>
          <w:u w:val="single"/>
        </w:rPr>
        <w:t>; provided however, if</w:t>
      </w:r>
      <w:r>
        <w:rPr>
          <w:b/>
          <w:bCs/>
          <w:u w:val="single"/>
        </w:rPr>
        <w:t xml:space="preserve"> the Claim is for personal or bodily injury (including death) to Seller Entity personnel or for damage to Seller Entity or Facility property, Seller is fully responsible to GPC-Related Parties under this Section 14.3. If the Claim resulted from the sole negligence of a GPC-Related Party, Seller will not be liable under this Section 14.3</w:t>
      </w:r>
      <w:r w:rsidR="00F909FA">
        <w:rPr>
          <w:b/>
          <w:bCs/>
          <w:u w:val="single"/>
        </w:rPr>
        <w:t>, unless such Claim arose out of the gross negligence or intentional misconduct of a GPC-Related Party, in which case Seller’s liability is limited to its proportionate share as described above</w:t>
      </w:r>
      <w:r>
        <w:rPr>
          <w:b/>
          <w:bCs/>
          <w:u w:val="single"/>
        </w:rPr>
        <w:t>. Seller’s indemnity obligations are independent of its insurance obligations. The indemnity obligation expressly includes any Claim from any GPC customer or any third party arising from Seller’s operation of the Facility.</w:t>
      </w:r>
    </w:p>
    <w:p w:rsidRPr="00192433" w:rsidR="006322EC" w:rsidP="006322EC" w:rsidRDefault="006322EC" w14:paraId="14518625" w14:textId="77777777">
      <w:pPr>
        <w:pStyle w:val="zGTC02"/>
        <w:rPr>
          <w:rFonts w:ascii="Arial" w:hAnsi="Arial" w:eastAsia="PMingLiU" w:cs="Arial"/>
          <w:vanish/>
          <w:szCs w:val="20"/>
          <w:specVanish/>
        </w:rPr>
      </w:pPr>
      <w:bookmarkStart w:name="_Toc212473027" w:id="194"/>
      <w:bookmarkStart w:name="_Toc227840715" w:id="195"/>
      <w:r>
        <w:rPr>
          <w:b w:val="0"/>
          <w:bCs/>
        </w:rPr>
        <w:t>Survival.</w:t>
      </w:r>
      <w:bookmarkEnd w:id="194"/>
      <w:bookmarkEnd w:id="195"/>
    </w:p>
    <w:p w:rsidRPr="00192433" w:rsidR="006322EC" w:rsidP="007C2163" w:rsidRDefault="00C57E00" w14:paraId="70391DA6" w14:textId="663C05A5">
      <w:pPr>
        <w:pStyle w:val="zGNormal"/>
      </w:pPr>
      <w:r>
        <w:t xml:space="preserve"> Despite the expiration or termination of this PPA, Seller’s indemnification obligations under this Part 14 (</w:t>
      </w:r>
      <w:r>
        <w:rPr>
          <w:i/>
          <w:iCs/>
        </w:rPr>
        <w:t>Risk and Claims</w:t>
      </w:r>
      <w:r>
        <w:t xml:space="preserve">) will survive and continue in full force and effect after such expiration or termination, by default or otherwise, regardless of whether such obligations accrue prior to or after </w:t>
      </w:r>
      <w:r w:rsidR="00AF4716">
        <w:t xml:space="preserve">PPA </w:t>
      </w:r>
      <w:r>
        <w:t>expiration or termination.</w:t>
      </w:r>
    </w:p>
    <w:p w:rsidRPr="00192433" w:rsidR="007C2163" w:rsidP="007C2163" w:rsidRDefault="002B7E3A" w14:paraId="09341E32" w14:textId="0AE07C6D">
      <w:pPr>
        <w:pStyle w:val="zGTC01"/>
        <w:rPr>
          <w:rFonts w:ascii="Arial" w:hAnsi="Arial"/>
          <w:szCs w:val="20"/>
        </w:rPr>
      </w:pPr>
      <w:bookmarkStart w:name="_Toc212473028" w:id="196"/>
      <w:bookmarkStart w:name="_Toc227840716" w:id="197"/>
      <w:r>
        <w:rPr>
          <w:rFonts w:ascii="Arial" w:hAnsi="Arial"/>
          <w:szCs w:val="20"/>
        </w:rPr>
        <w:t>Force Majeure</w:t>
      </w:r>
      <w:bookmarkEnd w:id="196"/>
      <w:bookmarkEnd w:id="197"/>
    </w:p>
    <w:p w:rsidRPr="00192433" w:rsidR="00755076" w:rsidP="00755076" w:rsidRDefault="007C2163" w14:paraId="1DC0E89E" w14:textId="77777777">
      <w:pPr>
        <w:pStyle w:val="zGTC02"/>
        <w:rPr>
          <w:rFonts w:ascii="Arial" w:hAnsi="Arial" w:eastAsia="PMingLiU" w:cs="Arial"/>
          <w:vanish/>
          <w:szCs w:val="20"/>
          <w:specVanish/>
        </w:rPr>
      </w:pPr>
      <w:bookmarkStart w:name="_Toc212473029" w:id="198"/>
      <w:bookmarkStart w:name="_Toc227840717" w:id="199"/>
      <w:r>
        <w:rPr>
          <w:rFonts w:ascii="Arial" w:hAnsi="Arial" w:cs="Arial"/>
          <w:szCs w:val="20"/>
        </w:rPr>
        <w:t>Definition of Force Majeure Event.</w:t>
      </w:r>
      <w:bookmarkEnd w:id="198"/>
      <w:bookmarkEnd w:id="199"/>
    </w:p>
    <w:p w:rsidRPr="00192433" w:rsidR="00F81E61" w:rsidP="00AA6D95" w:rsidRDefault="00C71262" w14:paraId="02F4FC33" w14:textId="25D4AA4F">
      <w:pPr>
        <w:pStyle w:val="zGNormal"/>
        <w:rPr>
          <w:rStyle w:val="zGNormalChar"/>
        </w:rPr>
      </w:pPr>
      <w:r>
        <w:rPr>
          <w:rStyle w:val="zGNormalChar"/>
        </w:rPr>
        <w:t xml:space="preserve"> For purposes of this PPA, a “</w:t>
      </w:r>
      <w:r>
        <w:rPr>
          <w:rStyle w:val="zGNormalChar"/>
          <w:b/>
          <w:bCs/>
        </w:rPr>
        <w:t>Force Majeure Event (FME)</w:t>
      </w:r>
      <w:r>
        <w:rPr>
          <w:rStyle w:val="zGNormalChar"/>
        </w:rPr>
        <w:t>” is an occurrence, nonoccurrence, or set of circumstances that: (i) first occurs after the Effective Date; (ii) prevents a Party, in whole or in part, from performing any PPA obligation or satisfying any PPA condition; (iii) is beyond the reasonable control of the Party claiming FME; (iv) is not reasonably foreseeable (or, if foreseeable, cannot reasonably be avoided); and (v) is not caused by the Party’s negligence, inaction, lack of due diligence, PPA breach, or failure to follow Prudent Industry Practices.</w:t>
      </w:r>
    </w:p>
    <w:p w:rsidRPr="00192433" w:rsidR="00F81E61" w:rsidP="000653BA" w:rsidRDefault="00F81E61" w14:paraId="1E6B1C1A" w14:textId="02F61704">
      <w:pPr>
        <w:pStyle w:val="zGTC02"/>
        <w:rPr>
          <w:rFonts w:eastAsia="PMingLiU"/>
          <w:vanish/>
          <w:szCs w:val="20"/>
          <w:specVanish/>
        </w:rPr>
      </w:pPr>
      <w:bookmarkStart w:name="_Toc212473030" w:id="200"/>
      <w:bookmarkStart w:name="_Toc227840718" w:id="201"/>
      <w:r>
        <w:rPr>
          <w:rStyle w:val="zGNormalChar"/>
          <w:rFonts w:ascii="Arial" w:hAnsi="Arial"/>
        </w:rPr>
        <w:t>Force Majeure Exclusions.</w:t>
      </w:r>
      <w:bookmarkEnd w:id="200"/>
      <w:bookmarkEnd w:id="201"/>
    </w:p>
    <w:p w:rsidRPr="000565E2" w:rsidR="000653BA" w:rsidDel="00331EAD" w:rsidP="000653BA" w:rsidRDefault="00F0238D" w14:paraId="64FCB26C" w14:textId="214D3914">
      <w:pPr>
        <w:pStyle w:val="zGNormal"/>
      </w:pPr>
      <w:r>
        <w:rPr>
          <w:rStyle w:val="zGNormalChar"/>
          <w:b/>
        </w:rPr>
        <w:t xml:space="preserve"> </w:t>
      </w:r>
      <w:r>
        <w:rPr>
          <w:rStyle w:val="zGNormalChar"/>
        </w:rPr>
        <w:t xml:space="preserve">FME excludes: (i) the inability to </w:t>
      </w:r>
      <w:r w:rsidR="00060BFF">
        <w:rPr>
          <w:rStyle w:val="zGNormalChar"/>
        </w:rPr>
        <w:t>comply with</w:t>
      </w:r>
      <w:r>
        <w:rPr>
          <w:rStyle w:val="zGNormalChar"/>
        </w:rPr>
        <w:t xml:space="preserve"> an applicable law </w:t>
      </w:r>
      <w:r w:rsidR="000D3C5D">
        <w:rPr>
          <w:rStyle w:val="zGNormalChar"/>
        </w:rPr>
        <w:t xml:space="preserve">for any reason other than the inability to comply with a change in an applicable law for non-economic reasons; </w:t>
      </w:r>
      <w:r w:rsidR="00C022AB">
        <w:rPr>
          <w:rStyle w:val="zGNormalChar"/>
        </w:rPr>
        <w:t xml:space="preserve">(ii) the inability to comply with a change in an applicable law for purely economic reasons; </w:t>
      </w:r>
      <w:r>
        <w:rPr>
          <w:rStyle w:val="zGNormalChar"/>
        </w:rPr>
        <w:t>(ii</w:t>
      </w:r>
      <w:r w:rsidR="00C022AB">
        <w:rPr>
          <w:rStyle w:val="zGNormalChar"/>
        </w:rPr>
        <w:t>i</w:t>
      </w:r>
      <w:r>
        <w:rPr>
          <w:rStyle w:val="zGNormalChar"/>
        </w:rPr>
        <w:t>) a Site-specific strike, walkout, lockout, or other labor dispute at the Facility; (iv) ambient temperature or humidity at the Site; (v) failure or inability to obtain or retain sufficient funds for any reason, including funds from a Governmental Authority, or Seller’s loss of or inability to obtain or retain any tax credit or other incentive regarding any portion of the Facility; (vi) any event, including a change in any applicable law or accounting standard, that requires GPC to consolidate Seller or any Seller Affiliate or permitted assign as a VIE in GPC’s financial statements</w:t>
      </w:r>
      <w:bookmarkStart w:name="_Toc149177645" w:id="202"/>
      <w:bookmarkEnd w:id="202"/>
      <w:r>
        <w:rPr>
          <w:rStyle w:val="zGNormalChar"/>
        </w:rPr>
        <w:t>;</w:t>
      </w:r>
      <w:r>
        <w:rPr>
          <w:bCs/>
        </w:rPr>
        <w:t xml:space="preserve"> (vii) </w:t>
      </w:r>
      <w:r>
        <w:rPr>
          <w:rStyle w:val="zGNormalChar"/>
        </w:rPr>
        <w:t>any inability to obtain or maintain, or delay in obtaining, any required permit, approval, or other Consent from a Governmental Authority;</w:t>
      </w:r>
      <w:r>
        <w:rPr>
          <w:bCs/>
        </w:rPr>
        <w:t xml:space="preserve"> (</w:t>
      </w:r>
      <w:r w:rsidR="00B11267">
        <w:rPr>
          <w:bCs/>
        </w:rPr>
        <w:t>viii</w:t>
      </w:r>
      <w:r>
        <w:rPr>
          <w:bCs/>
        </w:rPr>
        <w:t>) equipment failure or damage; (</w:t>
      </w:r>
      <w:r w:rsidR="00B11267">
        <w:rPr>
          <w:bCs/>
        </w:rPr>
        <w:t>i</w:t>
      </w:r>
      <w:r>
        <w:rPr>
          <w:bCs/>
        </w:rPr>
        <w:t>x) a change in any market condition that affects the cost or availability of equipment, materials, supplies, or services, including the cost of power from resources other than the Facility; (x) any act or inaction of a Party’s contractor, supplier, or vendor; (xi) Seller’s inability to arrange or maintain interconnection service for deliveries to the POD; (xii) the interruption, curtailment, or unavailability of service for the transmission of energy from the Facility for any reason; (xi</w:t>
      </w:r>
      <w:r w:rsidR="00BF597A">
        <w:rPr>
          <w:bCs/>
        </w:rPr>
        <w:t>ii</w:t>
      </w:r>
      <w:r>
        <w:rPr>
          <w:bCs/>
        </w:rPr>
        <w:t xml:space="preserve">) any directive from the Interconnection Provider or Transmission Service Provider to curtail deliveries of energy or disconnect the Facility from the Electric System; </w:t>
      </w:r>
      <w:r>
        <w:rPr>
          <w:bCs/>
        </w:rPr>
        <w:lastRenderedPageBreak/>
        <w:t xml:space="preserve">or </w:t>
      </w:r>
      <w:r>
        <w:rPr>
          <w:rStyle w:val="zGNormalChar"/>
        </w:rPr>
        <w:t>(x</w:t>
      </w:r>
      <w:r w:rsidR="007F6B01">
        <w:rPr>
          <w:rStyle w:val="zGNormalChar"/>
        </w:rPr>
        <w:t>i</w:t>
      </w:r>
      <w:r>
        <w:rPr>
          <w:rStyle w:val="zGNormalChar"/>
        </w:rPr>
        <w:t>v) any: (a) inability by GPC to obtain Natural Gas supply; (b) failure by a Natural Gas transporter to deliver sufficient quantities of Natural Gas for GPC to perform its obligations under this PPA; or (c) inability by GPC to receive energy at the POD, so long as the inability is not caused by Seller’s action or inaction</w:t>
      </w:r>
      <w:r>
        <w:rPr>
          <w:bCs/>
        </w:rPr>
        <w:t xml:space="preserve">. Despite the preceding </w:t>
      </w:r>
      <w:r w:rsidR="006718F7">
        <w:rPr>
          <w:bCs/>
        </w:rPr>
        <w:t>sentence</w:t>
      </w:r>
      <w:r>
        <w:rPr>
          <w:bCs/>
        </w:rPr>
        <w:t>, a Party claiming FME may be excused from PPA performance if: (a) a separate event that otherwise constitutes an FME directly and independently causes a circumstance described in subparts (viii) through (x</w:t>
      </w:r>
      <w:r w:rsidR="00307831">
        <w:rPr>
          <w:bCs/>
        </w:rPr>
        <w:t>i</w:t>
      </w:r>
      <w:r>
        <w:rPr>
          <w:bCs/>
        </w:rPr>
        <w:t xml:space="preserve">v); and (b) the Party satisfies all other </w:t>
      </w:r>
      <w:r w:rsidR="00BA1B38">
        <w:rPr>
          <w:bCs/>
        </w:rPr>
        <w:t xml:space="preserve">requirements </w:t>
      </w:r>
      <w:r>
        <w:rPr>
          <w:bCs/>
        </w:rPr>
        <w:t>of this Part 15 (</w:t>
      </w:r>
      <w:r>
        <w:rPr>
          <w:bCs/>
          <w:i/>
        </w:rPr>
        <w:t>Force Majeure</w:t>
      </w:r>
      <w:r>
        <w:rPr>
          <w:bCs/>
        </w:rPr>
        <w:t>). For avoidance of doubt, a Change of Law may constitute an FME to the extent it meets the requirements of Section 15.1 (</w:t>
      </w:r>
      <w:r>
        <w:rPr>
          <w:bCs/>
          <w:i/>
          <w:iCs/>
        </w:rPr>
        <w:t>Definition of Force Majeure Event</w:t>
      </w:r>
      <w:r>
        <w:rPr>
          <w:bCs/>
        </w:rPr>
        <w:t>) and this Section 15.2 (</w:t>
      </w:r>
      <w:r>
        <w:rPr>
          <w:bCs/>
          <w:i/>
          <w:iCs/>
        </w:rPr>
        <w:t>Force Majeure Exclusions</w:t>
      </w:r>
      <w:r>
        <w:rPr>
          <w:bCs/>
        </w:rPr>
        <w:t>).</w:t>
      </w:r>
    </w:p>
    <w:p w:rsidRPr="00192433" w:rsidR="007C2163" w:rsidP="000653BA" w:rsidRDefault="007C2163" w14:paraId="34DF3B20" w14:textId="77777777">
      <w:pPr>
        <w:pStyle w:val="zGTC02"/>
        <w:rPr>
          <w:rFonts w:ascii="Arial" w:hAnsi="Arial" w:eastAsia="PMingLiU" w:cs="Arial"/>
          <w:vanish/>
          <w:szCs w:val="20"/>
          <w:specVanish/>
        </w:rPr>
      </w:pPr>
      <w:bookmarkStart w:name="_Toc212473031" w:id="203"/>
      <w:bookmarkStart w:name="_Toc227840719" w:id="204"/>
      <w:r>
        <w:rPr>
          <w:rFonts w:ascii="Arial" w:hAnsi="Arial" w:cs="Arial"/>
          <w:szCs w:val="20"/>
        </w:rPr>
        <w:t>No Breach or Liability.</w:t>
      </w:r>
      <w:bookmarkEnd w:id="203"/>
      <w:bookmarkEnd w:id="204"/>
    </w:p>
    <w:p w:rsidRPr="00192433" w:rsidR="007C2163" w:rsidP="007C2163" w:rsidRDefault="007C2163" w14:paraId="72EBF97D" w14:textId="2DB83559">
      <w:pPr>
        <w:pStyle w:val="zGNormal"/>
      </w:pPr>
      <w:r>
        <w:t xml:space="preserve"> If an FME occurs, subject to compliance with all provisions of this Part 15 (</w:t>
      </w:r>
      <w:r>
        <w:rPr>
          <w:i/>
        </w:rPr>
        <w:t>Force Majeure</w:t>
      </w:r>
      <w:r>
        <w:t>), the affected Party will be excused from performance of its obligations impacted by the FME, other than payment obligations that accrued before the declaration of the FME, and will not be construed to be in default regarding the obligations to the extent that, and only for so long as, the failure to perform is due to an FME. However, the suspension of performance due to an FME will be of no greater scope and of no longer duration than is required by the FME. Despite any other provision in this PPA, no FME will extend this PPA beyond the Term.</w:t>
      </w:r>
    </w:p>
    <w:p w:rsidRPr="005F32FE" w:rsidR="00A66675" w:rsidP="007C2163" w:rsidRDefault="00A66675" w14:paraId="3825BE32" w14:textId="78901348">
      <w:pPr>
        <w:pStyle w:val="zGTC03"/>
      </w:pPr>
      <w:r>
        <w:rPr>
          <w:b/>
          <w:bCs/>
        </w:rPr>
        <w:t xml:space="preserve">Burden of Proof and Supporting Documentation. </w:t>
      </w:r>
      <w:r>
        <w:t>The burden of proof as to whether an FME has occurred and as to the impact of an FME will be upon the affected Party. If the affected Party requests that its performance be excused because of an FME, then the affected Party must support its request with documentation demonstrating: (i) the existence of the FME; (ii) efforts by the affected Party to overcome or mitigate the effect of the FME; and (iii) following the conclusion of the FME, an analysis of the number of Days the FME delayed or otherwise prevented the performance of the affected Party’s obligations or satisfaction of any condition of this PPA and, if the FME occurred after the COD, information reasonably required to determine the amount of Undelivered Force Majeure Energy. The affected Party must provide the required documentation by no later than 10 Business Days after the date the FME concludes.</w:t>
      </w:r>
    </w:p>
    <w:p w:rsidRPr="005F32FE" w:rsidR="007C2163" w:rsidP="007C2163" w:rsidRDefault="00BB142D" w14:paraId="61CF1975" w14:textId="3DEACE22">
      <w:pPr>
        <w:pStyle w:val="zGTC03"/>
      </w:pPr>
      <w:r>
        <w:rPr>
          <w:b/>
        </w:rPr>
        <w:t xml:space="preserve">Extension of RCOD. </w:t>
      </w:r>
      <w:r>
        <w:t>If an FME directly and substantially impacts a critical path item on the Milestone Schedule and, as a result, prevents Seller from achieving Commercial Operation by the RCOD, then the RCOD will be extended by the number of Days of the delay caused by the impact to the critical path item on the Milestone Schedule, so long as, as a condition to any such extension of the RCOD, Seller must comply with the requirements of this Part 15 (</w:t>
      </w:r>
      <w:r>
        <w:rPr>
          <w:i/>
        </w:rPr>
        <w:t>Force Majeure</w:t>
      </w:r>
      <w:r>
        <w:t>), including Seller undertaking all commercially reasonable efforts to avoid, overcome, or otherwise mitigate the delay by revising, rearranging, expediting, or accelerating the Milestone Schedule.</w:t>
      </w:r>
    </w:p>
    <w:p w:rsidRPr="005F32FE" w:rsidR="007C2163" w:rsidP="007C2163" w:rsidRDefault="007C2163" w14:paraId="611090D1" w14:textId="77777777">
      <w:pPr>
        <w:pStyle w:val="zGTC02"/>
        <w:rPr>
          <w:rFonts w:ascii="Arial" w:hAnsi="Arial" w:eastAsia="PMingLiU" w:cs="Arial"/>
          <w:vanish/>
          <w:szCs w:val="20"/>
          <w:specVanish/>
        </w:rPr>
      </w:pPr>
      <w:bookmarkStart w:name="_Toc212473032" w:id="205"/>
      <w:bookmarkStart w:name="_Toc227840720" w:id="206"/>
      <w:r>
        <w:rPr>
          <w:rFonts w:ascii="Arial" w:hAnsi="Arial" w:cs="Arial"/>
          <w:szCs w:val="20"/>
        </w:rPr>
        <w:t>Monthly Capacity Payments.</w:t>
      </w:r>
      <w:bookmarkEnd w:id="205"/>
      <w:bookmarkEnd w:id="206"/>
    </w:p>
    <w:p w:rsidRPr="005F32FE" w:rsidR="007C2163" w:rsidP="007C2163" w:rsidRDefault="007C2163" w14:paraId="539090AB" w14:textId="29A2D2EC">
      <w:pPr>
        <w:pStyle w:val="zGNormal"/>
      </w:pPr>
      <w:r>
        <w:t xml:space="preserve"> In the case of an Unavailability Event caused by an FME declared by Seller </w:t>
      </w:r>
      <w:r>
        <w:rPr>
          <w:rFonts w:eastAsia="Times New Roman"/>
        </w:rPr>
        <w:t>in accordance with this</w:t>
      </w:r>
      <w:r>
        <w:t xml:space="preserve"> Part 15 (</w:t>
      </w:r>
      <w:r>
        <w:rPr>
          <w:i/>
          <w:iCs/>
        </w:rPr>
        <w:t>Force Majeure</w:t>
      </w:r>
      <w:r>
        <w:t>), GPC’s obligation to make a Monthly Capacity Payment for any Month will be excused pro rata, based on the number of the Days in the Month and the extent to which Seller is prevented on those Days from satisfying Scheduling Instructions from GPC because of the FME.</w:t>
      </w:r>
    </w:p>
    <w:p w:rsidRPr="005F32FE" w:rsidR="007C2163" w:rsidP="007C2163" w:rsidRDefault="007C2163" w14:paraId="6C0ADBCA" w14:textId="5FD5B50D">
      <w:pPr>
        <w:pStyle w:val="zGTC02"/>
        <w:rPr>
          <w:rFonts w:ascii="Arial" w:hAnsi="Arial" w:eastAsia="PMingLiU" w:cs="Arial"/>
          <w:vanish/>
          <w:szCs w:val="20"/>
          <w:specVanish/>
        </w:rPr>
      </w:pPr>
      <w:bookmarkStart w:name="_Toc212473033" w:id="207"/>
      <w:bookmarkStart w:name="_Toc227840721" w:id="208"/>
      <w:r>
        <w:rPr>
          <w:rFonts w:ascii="Arial" w:hAnsi="Arial" w:cs="Arial"/>
          <w:szCs w:val="20"/>
        </w:rPr>
        <w:t>Notice of FME; Updates.</w:t>
      </w:r>
      <w:bookmarkEnd w:id="207"/>
      <w:bookmarkEnd w:id="208"/>
    </w:p>
    <w:p w:rsidRPr="00192433" w:rsidR="007C2163" w:rsidP="00881DF0" w:rsidRDefault="007C2163" w14:paraId="779ED542" w14:textId="6D14FF83">
      <w:pPr>
        <w:pStyle w:val="zGNormal"/>
        <w:spacing w:before="120"/>
      </w:pPr>
      <w:r>
        <w:t xml:space="preserve"> Following the occurrence of an FME, and as a condition to relief under Section</w:t>
      </w:r>
      <w:r w:rsidR="00BF08F5">
        <w:t>15.6 (</w:t>
      </w:r>
      <w:r w:rsidRPr="00BF08F5" w:rsidR="00BF08F5">
        <w:rPr>
          <w:i/>
          <w:iCs/>
        </w:rPr>
        <w:t>Requirements for Relief</w:t>
      </w:r>
      <w:r w:rsidR="00BF08F5">
        <w:t>)</w:t>
      </w:r>
      <w:r>
        <w:t>, the affected Party will give the other Party notice of the FME as promptly as possible after the affected Party becomes aware of the FME, but in no event later than 10 Business Days after the affected Party knew or should have known of the occurrence of the FME. The notice must describe the particulars of the FME, including an estimate of the anticipated duration and effect of the FME (if reasonably estimable) upon the performance of the Party’s obligations or satisfaction of any conditions under this PPA (including, if Seller is the affected Party, Seller must provide GPC with information reasonably required to determine the reduction of the Facility’s generating capability), and discussing any actions being taken to avoid or minimize the effect of the FME. The affected Party will have a continuing obligation to deliver to the other Party regular updated reports and any additional documentation and analysis supporting its claim regarding an FME. Despite the preceding sentences, if the affected Party fails to provide initial notice within the 10 Business Day period or, following the affected Party’s initial notice, the affected Party fails to provide reasonable reports and substantiation of the claimed FME as required by this Part 15 (</w:t>
      </w:r>
      <w:r>
        <w:rPr>
          <w:i/>
          <w:iCs/>
        </w:rPr>
        <w:t>Force Majeure</w:t>
      </w:r>
      <w:r>
        <w:t>), the event or condition will be deemed not to be an FME and the affected Party’s performance will not be excused as a result of the FME.</w:t>
      </w:r>
    </w:p>
    <w:p w:rsidRPr="00192433" w:rsidR="007C2163" w:rsidP="007C2163" w:rsidRDefault="000B0A1D" w14:paraId="23682F01" w14:textId="56E526D0">
      <w:pPr>
        <w:pStyle w:val="zGTC02"/>
        <w:rPr>
          <w:rFonts w:ascii="Arial" w:hAnsi="Arial" w:eastAsia="PMingLiU" w:cs="Arial"/>
          <w:vanish/>
          <w:szCs w:val="20"/>
          <w:specVanish/>
        </w:rPr>
      </w:pPr>
      <w:bookmarkStart w:name="_Toc212473034" w:id="209"/>
      <w:bookmarkStart w:name="_Toc227840722" w:id="210"/>
      <w:r>
        <w:rPr>
          <w:rFonts w:ascii="Arial" w:hAnsi="Arial" w:cs="Arial"/>
          <w:szCs w:val="20"/>
        </w:rPr>
        <w:t>Requirements for Relief.</w:t>
      </w:r>
      <w:bookmarkEnd w:id="209"/>
      <w:bookmarkEnd w:id="210"/>
    </w:p>
    <w:p w:rsidRPr="00192433" w:rsidR="008D56DC" w:rsidP="007C2163" w:rsidRDefault="007C2163" w14:paraId="171ED4E3" w14:textId="5414780D">
      <w:pPr>
        <w:pStyle w:val="zGNormal"/>
      </w:pPr>
      <w:r>
        <w:t xml:space="preserve"> Following the occurrence of an FME, as a condition to relief under Section 15.3 (</w:t>
      </w:r>
      <w:r>
        <w:rPr>
          <w:i/>
          <w:iCs/>
        </w:rPr>
        <w:t>No Breach or Liability</w:t>
      </w:r>
      <w:r>
        <w:t xml:space="preserve">): </w:t>
      </w:r>
    </w:p>
    <w:p w:rsidRPr="00192433" w:rsidR="009C510E" w:rsidP="00AD5128" w:rsidRDefault="009C510E" w14:paraId="4DE457FD" w14:textId="14769B98">
      <w:pPr>
        <w:pStyle w:val="zGTC03"/>
      </w:pPr>
      <w:r>
        <w:rPr>
          <w:b/>
          <w:bCs/>
        </w:rPr>
        <w:t>Timely Notice.</w:t>
      </w:r>
      <w:r>
        <w:t xml:space="preserve"> The affected Party must comply with the notice requirements of Section 15.5 (</w:t>
      </w:r>
      <w:r>
        <w:rPr>
          <w:i/>
          <w:iCs/>
        </w:rPr>
        <w:t>Notice of FME; Updates</w:t>
      </w:r>
      <w:r>
        <w:t>);</w:t>
      </w:r>
    </w:p>
    <w:p w:rsidRPr="00192433" w:rsidR="0022134E" w:rsidP="00AD5128" w:rsidRDefault="009C510E" w14:paraId="2A1040B6" w14:textId="6863C352">
      <w:pPr>
        <w:pStyle w:val="zGTC03"/>
      </w:pPr>
      <w:r>
        <w:rPr>
          <w:b/>
          <w:bCs/>
        </w:rPr>
        <w:t xml:space="preserve">Continued Performance of Obligations. </w:t>
      </w:r>
      <w:r>
        <w:t xml:space="preserve">The affected Party will continue to perform its obligations under this PPA to the extent not affected by the FME; </w:t>
      </w:r>
    </w:p>
    <w:p w:rsidRPr="00192433" w:rsidR="00426A75" w:rsidP="00AD5128" w:rsidRDefault="0022134E" w14:paraId="69E970FC" w14:textId="6CE38422">
      <w:pPr>
        <w:pStyle w:val="zGTC03"/>
      </w:pPr>
      <w:r>
        <w:rPr>
          <w:b/>
          <w:bCs/>
        </w:rPr>
        <w:lastRenderedPageBreak/>
        <w:t>Reasonable Efforts to Mitigate.</w:t>
      </w:r>
      <w:r>
        <w:t xml:space="preserve"> The affected Party will remedy its inability to perform as soon as reasonably practicable, but this Section 15.6.3 (</w:t>
      </w:r>
      <w:r>
        <w:rPr>
          <w:i/>
          <w:iCs/>
        </w:rPr>
        <w:t>Reasonable Efforts to Mitigate</w:t>
      </w:r>
      <w:r>
        <w:t>) will not require the settlement of any non-site specific strike, walkout, lockout, or other general labor dispute on terms which, in the sole judgment of the affected Party, are contrary to its interest; and</w:t>
      </w:r>
    </w:p>
    <w:p w:rsidRPr="00192433" w:rsidR="007C2163" w:rsidP="00AD5128" w:rsidRDefault="000713F6" w14:paraId="6EDFEDBC" w14:textId="599B35E1">
      <w:pPr>
        <w:pStyle w:val="zGTC03"/>
      </w:pPr>
      <w:r>
        <w:rPr>
          <w:b/>
          <w:bCs/>
        </w:rPr>
        <w:t>Resume Performance.</w:t>
      </w:r>
      <w:r>
        <w:t xml:space="preserve"> When the affected Party can resume performance of its obligations under this PPA, the affected Party will promptly provide notice to the other Party, promptly resume such performance, and provide the other Party with a written certification from an independent, registered engineer that the FME has been cured.</w:t>
      </w:r>
    </w:p>
    <w:p w:rsidRPr="00192433" w:rsidR="007C2163" w:rsidP="007C2163" w:rsidRDefault="007C2163" w14:paraId="1FB0443A" w14:textId="5C701141">
      <w:pPr>
        <w:pStyle w:val="zGTC02"/>
        <w:rPr>
          <w:rFonts w:ascii="Arial" w:hAnsi="Arial" w:eastAsia="PMingLiU" w:cs="Arial"/>
          <w:vanish/>
          <w:szCs w:val="20"/>
          <w:specVanish/>
        </w:rPr>
      </w:pPr>
      <w:bookmarkStart w:name="_Toc212473035" w:id="211"/>
      <w:bookmarkStart w:name="_Toc227840723" w:id="212"/>
      <w:r>
        <w:rPr>
          <w:rFonts w:ascii="Arial" w:hAnsi="Arial" w:cs="Arial"/>
          <w:szCs w:val="20"/>
        </w:rPr>
        <w:t>Extended FME.</w:t>
      </w:r>
      <w:bookmarkEnd w:id="211"/>
      <w:bookmarkEnd w:id="212"/>
    </w:p>
    <w:p w:rsidRPr="00192433" w:rsidR="007C2163" w:rsidP="007C2163" w:rsidRDefault="007C2163" w14:paraId="48363385" w14:textId="77777777">
      <w:pPr>
        <w:pStyle w:val="zGTC02"/>
        <w:numPr>
          <w:ilvl w:val="0"/>
          <w:numId w:val="0"/>
        </w:numPr>
        <w:rPr>
          <w:rFonts w:ascii="Arial" w:hAnsi="Arial" w:cs="Arial"/>
          <w:szCs w:val="20"/>
        </w:rPr>
      </w:pPr>
    </w:p>
    <w:p w:rsidRPr="00192433" w:rsidR="007C2163" w:rsidP="007C2163" w:rsidRDefault="00B56317" w14:paraId="626355F9" w14:textId="64401F04">
      <w:pPr>
        <w:pStyle w:val="zGTC03"/>
      </w:pPr>
      <w:r>
        <w:rPr>
          <w:b/>
        </w:rPr>
        <w:t xml:space="preserve">Notice and Remedy Plan for Extended FME. </w:t>
      </w:r>
      <w:r>
        <w:t>If the affected Party has reason to believe that a suspension of performance due to a</w:t>
      </w:r>
      <w:r w:rsidR="00AB27BC">
        <w:t>n FME</w:t>
      </w:r>
      <w:r>
        <w:t xml:space="preserve"> will continue for a period of six Months or longer </w:t>
      </w:r>
      <w:r w:rsidR="00AB27BC">
        <w:t xml:space="preserve">following </w:t>
      </w:r>
      <w:r>
        <w:t>the initial suspension of performance resulting from the Force Majeure Event (“</w:t>
      </w:r>
      <w:r>
        <w:rPr>
          <w:b/>
        </w:rPr>
        <w:t>Extended FME</w:t>
      </w:r>
      <w:r>
        <w:t>”), the affected Party must notify the other Party promptly and will submit an “</w:t>
      </w:r>
      <w:r>
        <w:rPr>
          <w:b/>
        </w:rPr>
        <w:t>FME Remedy Plan</w:t>
      </w:r>
      <w:r>
        <w:t xml:space="preserve">” to the other Party no later than 30 Days after the affected Party’s initial notice to the other Party. In addition, if the other Party has reason to believe that </w:t>
      </w:r>
      <w:bookmarkStart w:name="_Hlk23238942" w:id="213"/>
      <w:r>
        <w:t xml:space="preserve">an FME will be an Extended </w:t>
      </w:r>
      <w:bookmarkEnd w:id="213"/>
      <w:r>
        <w:t xml:space="preserve">FME, the other Party may request that the affected Party submit an FME Remedy Plan to the other Party, which the affected Party will submit to the requesting Party no later than 30 Days after the other Party’s request. The FME Remedy Plan must set forth a plan and schedule for remedial measures (including a description of necessary repairs, improvements, changes to operations, or other actions) to cure the effects of the FME and to enable the affected Party to </w:t>
      </w:r>
      <w:bookmarkStart w:name="_Hlk23240186" w:id="214"/>
      <w:r>
        <w:t>perform its obligations and resume full performance of the suspended obligations under this PPA as soon as reasonably practicable</w:t>
      </w:r>
      <w:bookmarkEnd w:id="214"/>
      <w:r>
        <w:t xml:space="preserve">. The affected Party must diligently pursue the performance of the FME Remedy Plan to completion. </w:t>
      </w:r>
    </w:p>
    <w:p w:rsidRPr="00192433" w:rsidR="007C2163" w:rsidP="007C2163" w:rsidRDefault="00B56317" w14:paraId="17E61770" w14:textId="4890F504">
      <w:pPr>
        <w:pStyle w:val="zGTC03"/>
      </w:pPr>
      <w:r>
        <w:rPr>
          <w:b/>
        </w:rPr>
        <w:t>Monthly Status Reports and Updates to FME Remedy Plan.</w:t>
      </w:r>
      <w:r>
        <w:t xml:space="preserve"> While an FME Remedy Plan is in effect, the affected Party must provide the other Party with Monthly status reports regarding the implementation of the FME Remedy Plan, any other measure</w:t>
      </w:r>
      <w:r w:rsidR="006E4726">
        <w:t>s</w:t>
      </w:r>
      <w:r>
        <w:t xml:space="preserve"> to remedy the FME, any changes to the FME Remedy Plan, and the expected remaining duration of the Party’s inability to perform its obligations, and any additional relevant information as may be reasonably requested by the other Party. The affected Party must modify the FME Remedy Plan if and as needed to achieve the objective of resuming full performance of the suspended obligations under this PPA as soon as reasonably practicable.</w:t>
      </w:r>
    </w:p>
    <w:p w:rsidRPr="00192433" w:rsidR="007C2163" w:rsidP="007C2163" w:rsidRDefault="00B56317" w14:paraId="711DDF54" w14:textId="0AF2D338">
      <w:pPr>
        <w:pStyle w:val="zGTC03"/>
      </w:pPr>
      <w:r>
        <w:rPr>
          <w:b/>
        </w:rPr>
        <w:t>Early Termination Resulting from an Extended FME.</w:t>
      </w:r>
      <w:r>
        <w:t xml:space="preserve"> The Party not prevented from performing its obligations due to the FME may at any time terminate this PPA effective upon 10 Days prior notice to the affected Party if: (i) the affected Party does not or cannot provide an FME Remedy Plan as required by this Section 15.7 (</w:t>
      </w:r>
      <w:r>
        <w:rPr>
          <w:i/>
          <w:iCs/>
        </w:rPr>
        <w:t>Extended FME</w:t>
      </w:r>
      <w:r>
        <w:t xml:space="preserve">); (ii) the affected Party does not or cannot carry out the FME Remedy Plan in a method reasonably designed to achieve the objective of resuming full performance of the suspended obligations under this PPA as soon as reasonably practicable; or (iii) the affected Party remains unable to perform the suspended PPA obligations for 12 Months </w:t>
      </w:r>
      <w:bookmarkStart w:name="_Hlk23239141" w:id="215"/>
      <w:r>
        <w:t xml:space="preserve">following the date of initial suspension of performance resulting from the </w:t>
      </w:r>
      <w:bookmarkEnd w:id="215"/>
      <w:r>
        <w:t>FME. For purposes of subsection (iii) of this Section 15.7.3, (</w:t>
      </w:r>
      <w:r>
        <w:rPr>
          <w:i/>
          <w:iCs/>
        </w:rPr>
        <w:t>Early Termination Resulting from an Extended FME</w:t>
      </w:r>
      <w:r>
        <w:t>) the 12-Month period need not be continuous only if each period of suspension of performance comprising the 12-Month period is the result of a common cause such that, if the cause had been cured following the first suspension of performance, the additional suspensions of performance would not have occurred.</w:t>
      </w:r>
    </w:p>
    <w:p w:rsidRPr="00192433" w:rsidR="007C2163" w:rsidP="007C2163" w:rsidRDefault="00B56317" w14:paraId="220D89D6" w14:textId="5BDEF600">
      <w:pPr>
        <w:pStyle w:val="zGTC03"/>
      </w:pPr>
      <w:r>
        <w:rPr>
          <w:b/>
        </w:rPr>
        <w:t>Liability following Termination.</w:t>
      </w:r>
      <w:r>
        <w:t xml:space="preserve"> Upon any termination of this PPA as provided in Section 15.7.3 (</w:t>
      </w:r>
      <w:r>
        <w:rPr>
          <w:i/>
        </w:rPr>
        <w:t>Early Termination Resulting from an Extended FME</w:t>
      </w:r>
      <w:r>
        <w:t>), the Parties will have no further liability or obligation to each other except for any obligation arising prior to the date of the termination or as provided in Section 1.2 (</w:t>
      </w:r>
      <w:r>
        <w:rPr>
          <w:i/>
        </w:rPr>
        <w:t>Survival</w:t>
      </w:r>
      <w:r>
        <w:t>).</w:t>
      </w:r>
    </w:p>
    <w:p w:rsidRPr="00192433" w:rsidR="007C2163" w:rsidP="007C2163" w:rsidRDefault="002B7E3A" w14:paraId="7C6D9501" w14:textId="38E64491">
      <w:pPr>
        <w:pStyle w:val="zGTC01"/>
        <w:rPr>
          <w:rFonts w:ascii="Arial" w:hAnsi="Arial"/>
          <w:szCs w:val="20"/>
        </w:rPr>
      </w:pPr>
      <w:bookmarkStart w:name="_Toc212473036" w:id="216"/>
      <w:bookmarkStart w:name="_Toc227840724" w:id="217"/>
      <w:r>
        <w:rPr>
          <w:rFonts w:ascii="Arial" w:hAnsi="Arial"/>
          <w:szCs w:val="20"/>
        </w:rPr>
        <w:t>Default and Remedies</w:t>
      </w:r>
      <w:bookmarkEnd w:id="216"/>
      <w:bookmarkEnd w:id="217"/>
    </w:p>
    <w:p w:rsidRPr="00192433" w:rsidR="007C2163" w:rsidP="007C2163" w:rsidRDefault="007C2163" w14:paraId="12FA4565" w14:textId="77777777">
      <w:pPr>
        <w:pStyle w:val="zGTC02"/>
        <w:rPr>
          <w:rFonts w:ascii="Arial" w:hAnsi="Arial" w:eastAsia="PMingLiU" w:cs="Arial"/>
          <w:vanish/>
          <w:szCs w:val="20"/>
          <w:specVanish/>
        </w:rPr>
      </w:pPr>
      <w:bookmarkStart w:name="_Toc212473037" w:id="218"/>
      <w:bookmarkStart w:name="_Toc227840725" w:id="219"/>
      <w:r>
        <w:rPr>
          <w:rFonts w:ascii="Arial" w:hAnsi="Arial" w:cs="Arial"/>
          <w:szCs w:val="20"/>
        </w:rPr>
        <w:t>Default by Seller.</w:t>
      </w:r>
      <w:bookmarkEnd w:id="218"/>
      <w:bookmarkEnd w:id="219"/>
    </w:p>
    <w:p w:rsidRPr="00192433" w:rsidR="007C2163" w:rsidP="007C2163" w:rsidRDefault="007C2163" w14:paraId="2644FB40" w14:textId="0A69CB96">
      <w:pPr>
        <w:pStyle w:val="zGNormal"/>
      </w:pPr>
      <w:r>
        <w:t xml:space="preserve"> The occurrence of any of the following events will constitute a Seller Event of Default:</w:t>
      </w:r>
    </w:p>
    <w:p w:rsidRPr="00192433" w:rsidR="007C2163" w:rsidP="000738D7" w:rsidRDefault="007255B1" w14:paraId="3F678BA2" w14:textId="2D380B5D">
      <w:pPr>
        <w:pStyle w:val="zGTC03"/>
      </w:pPr>
      <w:r>
        <w:rPr>
          <w:b/>
        </w:rPr>
        <w:t xml:space="preserve">Incorrect Representation or Warranty. </w:t>
      </w:r>
      <w:r>
        <w:t xml:space="preserve">Any Seller representation or warranty in this PPA or in any certificate or other document delivered to GPC in accordance with this PPA proves to be incorrect in any material respect when made, unless Seller promptly commences and diligently pursues action to cause the representation or warranty to become true in all material respects and does so within 30 Days after GPC provides Seller notice of the incorrect representation or warranty (unless the cure is not capable of being accomplished within the 30 Days, in which case Seller will have an additional 30 Days to perform the cure) and the cure removes any material adverse effect on GPC of the incorrect representation or </w:t>
      </w:r>
      <w:r>
        <w:lastRenderedPageBreak/>
        <w:t>warranty. However, no Event of Default by Seller will occur under this Section 16.1.1 (</w:t>
      </w:r>
      <w:r>
        <w:rPr>
          <w:i/>
          <w:iCs/>
        </w:rPr>
        <w:t>Incorrect Representation or Warranty</w:t>
      </w:r>
      <w:r>
        <w:t xml:space="preserve">) regarding: (i) </w:t>
      </w:r>
      <w:r w:rsidR="00BB2567">
        <w:t xml:space="preserve">any certificate provided under </w:t>
      </w:r>
      <w:r>
        <w:t>Section 2.1.8 (</w:t>
      </w:r>
      <w:r>
        <w:rPr>
          <w:i/>
          <w:iCs/>
        </w:rPr>
        <w:t>VIE Certification</w:t>
      </w:r>
      <w:r>
        <w:t xml:space="preserve">) if Seller cooperates with GPC during the cure period and Seller takes commercially reasonable actions (without causing a material adverse effect on GPC) necessary to bring about a determination by GPC and its independent auditor that Seller does not constitute a VIE for which GPC is the Primary Beneficiary </w:t>
      </w:r>
      <w:r w:rsidR="00163F99">
        <w:t xml:space="preserve">as a result of </w:t>
      </w:r>
      <w:r>
        <w:t>this PPA; or (ii) Section 2.1.14 (</w:t>
      </w:r>
      <w:r>
        <w:rPr>
          <w:i/>
          <w:iCs/>
        </w:rPr>
        <w:t>Environmental Compliance Certification</w:t>
      </w:r>
      <w:r>
        <w:t xml:space="preserve">) if GPC determines in its sole discretion, that the incorrect representation, warranty, or covenant is not material, Seller cooperates with GPC during the cure period, and Seller takes commercially reasonable actions (without causing a material adverse effect on GPC) necessary to correct the immaterial representation, warranty, or covenant to GPC’s satisfaction. </w:t>
      </w:r>
    </w:p>
    <w:p w:rsidRPr="00192433" w:rsidR="007C2163" w:rsidP="007C2163" w:rsidRDefault="007255B1" w14:paraId="0264A756" w14:textId="345338A0">
      <w:pPr>
        <w:pStyle w:val="zGTC03"/>
      </w:pPr>
      <w:r>
        <w:rPr>
          <w:b/>
        </w:rPr>
        <w:t xml:space="preserve">Involuntary Bankruptcy, Insolvency, or Reorganization. </w:t>
      </w:r>
      <w:r>
        <w:t>A court having jurisdiction enters: (i) a decree or order for relief in respect of Seller in an involuntary case or proceeding under any applicable Federal or state bankruptcy, insolvency, reorganization, or other similar law; or (ii) a decree or order, the entry of which was sought by an entity other than Seller, adjudicating Seller bankrupt or insolvent, or approving as properly filed a petition seeking reorganization, arrangement, adjustment, or composition of or in respect of Seller under any applicable Federal or state law, or appointing a custodian, receiver, liquidator, assignee, trustee, sequestrator, or other similar official of Seller or of any substantial part of its affairs and the proceeding is not stayed or dismissed within 60 Days.</w:t>
      </w:r>
    </w:p>
    <w:p w:rsidRPr="00192433" w:rsidR="007C2163" w:rsidP="007C2163" w:rsidRDefault="007255B1" w14:paraId="6A744DC7" w14:textId="646F1EE9">
      <w:pPr>
        <w:pStyle w:val="zGTC03"/>
      </w:pPr>
      <w:r>
        <w:rPr>
          <w:b/>
        </w:rPr>
        <w:t xml:space="preserve">Voluntary Bankruptcy, Insolvency or Reorganization. </w:t>
      </w:r>
      <w:r>
        <w:t>Seller: (i) commences a voluntary case or proceeding under any applicable federal or state bankruptcy, insolvency, reorganization, or other similar law or any other case or proceeding to be adjudicated bankrupt or insolvent; (ii) consents to the entry of a decree or order for relief in respect of Seller in any involuntary case or proceeding under any applicable federal or state bankruptcy, insolvency, reorganization, or other similar law or to the commencement of any bankruptcy or insolvency case or proceeding against Seller; (iii) files any petition, answer, or consent seeking reorganization or similar relief under any applicable federal or state law, which, if granted would have the effect of relieving Seller of any of its obligations; (iv) consents to the filing of any petition or to the appointment of or taking possession by a custodian, receiver, liquidator, assignee, trustee, sequestrator, or similar official of Seller or of any substantial part of its property; (v) makes an assignment for the benefit of creditors; (vi) admits in writing its inability to generally pay its debts as they become due; or (vii) takes any action in furtherance of any of the preceding.</w:t>
      </w:r>
    </w:p>
    <w:p w:rsidRPr="00192433" w:rsidR="007C2163" w:rsidP="007C2163" w:rsidRDefault="00400055" w14:paraId="0AD8CCB3" w14:textId="7FE48130">
      <w:pPr>
        <w:pStyle w:val="zGTC03"/>
      </w:pPr>
      <w:r>
        <w:rPr>
          <w:b/>
        </w:rPr>
        <w:t>Failure to Comply with Performance Security Requirements.</w:t>
      </w:r>
      <w:r>
        <w:t xml:space="preserve"> (i) Seller fails to comply or cause compliance with Performance Security requirements of Section 6.1 (</w:t>
      </w:r>
      <w:r>
        <w:rPr>
          <w:i/>
        </w:rPr>
        <w:t>Performance Security</w:t>
      </w:r>
      <w:r>
        <w:t>); or (ii) Seller Guarantor breaches any of its obligations under the Seller Guaranty or if any representation or warranty Seller Guarantor made in the Seller Guaranty is incorrect in any material respect when made, unless Seller cures any of the preceding by the end of the fifth Business Day following Seller’s receipt of GPC’s notice of a failure under this Section 16.1.4 (</w:t>
      </w:r>
      <w:r>
        <w:rPr>
          <w:i/>
          <w:iCs/>
        </w:rPr>
        <w:t>Failure to Comply with Performance Security Requirements</w:t>
      </w:r>
      <w:r>
        <w:t>).</w:t>
      </w:r>
    </w:p>
    <w:p w:rsidRPr="00192433" w:rsidR="007C2163" w:rsidP="007C2163" w:rsidRDefault="00400055" w14:paraId="3A31ADBE" w14:textId="74C6EE9E">
      <w:pPr>
        <w:pStyle w:val="zGTC03"/>
      </w:pPr>
      <w:r>
        <w:rPr>
          <w:b/>
        </w:rPr>
        <w:t>Failure to Comply with Other Material PPA Terms.</w:t>
      </w:r>
      <w:r>
        <w:t xml:space="preserve"> Seller fails to perform or observe any material </w:t>
      </w:r>
      <w:r w:rsidR="003D05D5">
        <w:t xml:space="preserve">PPA </w:t>
      </w:r>
      <w:r>
        <w:t>obligation of Seller, other than those obligations specifically addressed in this Section 16.1 (</w:t>
      </w:r>
      <w:r>
        <w:rPr>
          <w:i/>
        </w:rPr>
        <w:t>Default By Seller</w:t>
      </w:r>
      <w:r>
        <w:t xml:space="preserve">), which failure continues for a period of 30 Days after notice </w:t>
      </w:r>
      <w:r w:rsidR="00CA1404">
        <w:t xml:space="preserve">of the failure </w:t>
      </w:r>
      <w:r>
        <w:t>from GPC, unless the cure is not capable of being effected within a 30-Day period, in which case Seller will have an additional 60-Day period in which to perform the cure, so long as the cure is diligently pursued.</w:t>
      </w:r>
    </w:p>
    <w:p w:rsidRPr="00192433" w:rsidR="007C2163" w:rsidP="007C2163" w:rsidRDefault="001244F8" w14:paraId="1EE32D23" w14:textId="77943DC8">
      <w:pPr>
        <w:pStyle w:val="zGTC03"/>
      </w:pPr>
      <w:r>
        <w:rPr>
          <w:b/>
        </w:rPr>
        <w:t xml:space="preserve">Failure To Comply with PPA Assignment Requirements. </w:t>
      </w:r>
      <w:r>
        <w:t>Seller violates the requirements of Part 18 (</w:t>
      </w:r>
      <w:r>
        <w:rPr>
          <w:i/>
        </w:rPr>
        <w:t>Assignment, Transfers, and Changes of Control</w:t>
      </w:r>
      <w:r>
        <w:t>) through an unpermitted assignment or transfer of this PPA or an ownership interest in the Facility or through a Change of Control Transaction.</w:t>
      </w:r>
    </w:p>
    <w:p w:rsidRPr="00192433" w:rsidR="007C2163" w:rsidP="007C2163" w:rsidRDefault="00A87978" w14:paraId="0C476CC3" w14:textId="0EBD28A0">
      <w:pPr>
        <w:pStyle w:val="zGTC03"/>
      </w:pPr>
      <w:r>
        <w:rPr>
          <w:b/>
        </w:rPr>
        <w:t>Failure to Pay Amounts Due to GPC.</w:t>
      </w:r>
      <w:r>
        <w:t xml:space="preserve"> Seller fails, by the due date, to pay GPC any undisputed amount payable by Seller to GPC </w:t>
      </w:r>
      <w:r w:rsidR="00BC0231">
        <w:t xml:space="preserve">in accordance with </w:t>
      </w:r>
      <w:r>
        <w:t xml:space="preserve">this PPA </w:t>
      </w:r>
      <w:r w:rsidR="00B50E95">
        <w:t xml:space="preserve">and </w:t>
      </w:r>
      <w:r>
        <w:t>fails to cure the failure to pay within 15 Days after receipt of written demand from GPC.</w:t>
      </w:r>
    </w:p>
    <w:p w:rsidRPr="00192433" w:rsidR="007C2163" w:rsidP="007C2163" w:rsidRDefault="00830CFB" w14:paraId="2B242E89" w14:textId="35E67536">
      <w:pPr>
        <w:pStyle w:val="zGTC03"/>
      </w:pPr>
      <w:r>
        <w:rPr>
          <w:b/>
        </w:rPr>
        <w:t xml:space="preserve">Failure to Maintain Availability Percentage. </w:t>
      </w:r>
      <w:r>
        <w:t>The Availability Percentage is below 60% for any six consecutive Months</w:t>
      </w:r>
      <w:r>
        <w:rPr>
          <w:b/>
          <w:i/>
        </w:rPr>
        <w:t xml:space="preserve"> </w:t>
      </w:r>
      <w:r>
        <w:t xml:space="preserve">during which 200 or more Hours are Scheduled for each Month. However, Seller may, within 15 Days after the end of the six-Month period, submit a cure plan that is reasonably acceptable to GPC and expected to resolve the cause of the unsatisfactory Availability Percentage as soon as practicable, but in no event later than 180 Days from the end of the six-Month period. If Seller fails to submit a cure plan in a timely manner or fails to diligently pursue implementation of the cure plan, or if the unsatisfactory Availability Percentage is not, in fact, cured by the end of the 180-Day period, then GPC will have the right to declare an Event of Default. The cause of the unsatisfactory Availability Percentage will be cured only if: (a) Seller can resume performance of its obligations under this PPA and provides </w:t>
      </w:r>
      <w:r>
        <w:lastRenderedPageBreak/>
        <w:t>GPC with a written certification reasonably acceptable to GPC that the cause of the unsatisfactory Availability Percentage has been cured; and (b) the MAP determined for the first full Month following GPC’s receipt of such certification of successful completion of the cure plan is at least 60%. For the purposes of this Section 16.1.8 (</w:t>
      </w:r>
      <w:r>
        <w:rPr>
          <w:i/>
          <w:iCs/>
        </w:rPr>
        <w:t>Failure to Maintain Availability Percentage</w:t>
      </w:r>
      <w:r>
        <w:t>), the “</w:t>
      </w:r>
      <w:r>
        <w:rPr>
          <w:b/>
        </w:rPr>
        <w:t>Availability Percentage</w:t>
      </w:r>
      <w:r>
        <w:t>” will mean the percentage calculated for the relevant period using the MAP formulas shown in Section 3.2 (</w:t>
      </w:r>
      <w:r>
        <w:rPr>
          <w:i/>
        </w:rPr>
        <w:t>Calculation of Monthly Availability Percentage</w:t>
      </w:r>
      <w:r>
        <w:t>) of Exhibit B (</w:t>
      </w:r>
      <w:r>
        <w:rPr>
          <w:i/>
        </w:rPr>
        <w:t>Capacity; Capacity Payments and Payment Reductions; Buydown</w:t>
      </w:r>
      <w:r>
        <w:t>), with the calculation applied to the total relevant period and with ARDH equal to zero.</w:t>
      </w:r>
    </w:p>
    <w:p w:rsidRPr="00192433" w:rsidR="007C2163" w:rsidP="007C2163" w:rsidRDefault="003F515D" w14:paraId="261A125E" w14:textId="331D20CD">
      <w:pPr>
        <w:pStyle w:val="zGTC03"/>
      </w:pPr>
      <w:r>
        <w:rPr>
          <w:b/>
        </w:rPr>
        <w:t xml:space="preserve">Inadequate Tested Reliable Capacity; Curing. </w:t>
      </w:r>
      <w:r>
        <w:t xml:space="preserve">Despite any other PPA provision, if at any time after the Delivery Commencement Date the Tested Standard Reliable Capacity is below 70% of the Nominal Standard Capability or the Tested Winter Reliable Capacity is below 70% of the Nominal Winter Capability, and Seller fails to: (I) submit to GPC, within 10 Days after determination by the Performance Test of the inadequate Tested Reliable Capacity, a cure plan reasonably acceptable to GPC for the inadequate Tested Reliable Capacity; and (II) cure the inadequate Tested Reliable Capacity within a reasonable period of time, not to exceed one </w:t>
      </w:r>
      <w:r w:rsidR="00193E43">
        <w:t>120</w:t>
      </w:r>
      <w:r>
        <w:t xml:space="preserve"> Days from the completion of the Performance Test (“</w:t>
      </w:r>
      <w:r>
        <w:rPr>
          <w:b/>
        </w:rPr>
        <w:t>Cure Period</w:t>
      </w:r>
      <w:r>
        <w:t>”), except that the Cure Period may be extended in accordance with Section 16.1.9(i) (</w:t>
      </w:r>
      <w:r>
        <w:rPr>
          <w:i/>
        </w:rPr>
        <w:t>Cure Period Extension</w:t>
      </w:r>
      <w:r>
        <w:t>) if Seller elects to extend the Cure Period to cover (to the extent of the degraded capacity) GPC’s Schedules through an Alternate Resource in accordance with Section 4.1.4(iii) (</w:t>
      </w:r>
      <w:r>
        <w:rPr>
          <w:i/>
        </w:rPr>
        <w:t xml:space="preserve">Requirements for Exercising Delivery Right from an </w:t>
      </w:r>
      <w:r>
        <w:rPr>
          <w:i/>
          <w:iCs/>
        </w:rPr>
        <w:t>Alternate</w:t>
      </w:r>
      <w:r>
        <w:rPr>
          <w:i/>
        </w:rPr>
        <w:t xml:space="preserve"> Resource</w:t>
      </w:r>
      <w:r>
        <w:t>). GPC will have the right to declare an Event of Default if Seller fails to: (a) establish the cure plan within the required 10-Day period or, if applicable, establish the revised cure plan within the required 15-Day period under Section 16.1.9(i), or (b) diligently implement the cure plan (including implementation of such actions as GPC may reasonably request), or (c) cure the inadequate Tested Reliable Capacity within the Cure Period (as the Cure Period may be extended under Section 16.1.9(i)) as set forth in Section 16.1.9(ii) (</w:t>
      </w:r>
      <w:r>
        <w:rPr>
          <w:i/>
        </w:rPr>
        <w:t>Requirements to Cure Inadequate Tested Reliable Capacity</w:t>
      </w:r>
      <w:r>
        <w:t xml:space="preserve">). </w:t>
      </w:r>
    </w:p>
    <w:p w:rsidRPr="00192433" w:rsidR="007C2163" w:rsidP="002734EC" w:rsidRDefault="00137AD8" w14:paraId="513F5665" w14:textId="37D7CDA6">
      <w:pPr>
        <w:pStyle w:val="zGTC04"/>
        <w:spacing w:line="259" w:lineRule="auto"/>
      </w:pPr>
      <w:bookmarkStart w:name="_Hlk24123717" w:id="220"/>
      <w:r>
        <w:rPr>
          <w:b/>
        </w:rPr>
        <w:t xml:space="preserve">Cure Period Extension. </w:t>
      </w:r>
      <w:r>
        <w:t xml:space="preserve">If Seller establishes a cure plan in accordance with </w:t>
      </w:r>
      <w:r w:rsidR="000E67A2">
        <w:t xml:space="preserve">this </w:t>
      </w:r>
      <w:r>
        <w:t>Section 16.1.9 (</w:t>
      </w:r>
      <w:r>
        <w:rPr>
          <w:i/>
        </w:rPr>
        <w:t>Inadequate Tested Reliable Capacity; Curing</w:t>
      </w:r>
      <w:r>
        <w:t xml:space="preserve">) but requires a Cure Period of more than </w:t>
      </w:r>
      <w:r w:rsidR="00E27212">
        <w:t>120</w:t>
      </w:r>
      <w:r>
        <w:t xml:space="preserve"> Days to cure the inadequate Tested Reliable Capacity, then the Cure Period will be extended for a reasonable additional period of time, which extension will not in any case exceed 420 Days, so long as, by no later than 15 Days before the expiration of the </w:t>
      </w:r>
      <w:r w:rsidR="00E27212">
        <w:t>120</w:t>
      </w:r>
      <w:r>
        <w:t>-Day Cure Period, Seller provides to GPC: (a) a revised cure plan setting forth a reasonable extension of the Cure Period, such extension</w:t>
      </w:r>
      <w:r>
        <w:rPr>
          <w:b/>
        </w:rPr>
        <w:t xml:space="preserve"> </w:t>
      </w:r>
      <w:r>
        <w:t xml:space="preserve">not to exceed </w:t>
      </w:r>
      <w:r w:rsidR="00E27212">
        <w:t>420</w:t>
      </w:r>
      <w:r w:rsidR="002D34BB">
        <w:t xml:space="preserve"> </w:t>
      </w:r>
      <w:r>
        <w:t>Days, which revised cure plan and extension will be reasonably acceptable to GPC, and (b) a written certification reasonably acceptable to GPC confirming that in order for Seller to cure the inadequate Tested Reliable Capacity Seller must be afforded such reasonable additional period of time; and (c) Seller’s election for such extended Cure Period to cover (to the extent of the degraded capacity) GPC’s Schedules through an Alternate Resource in accordance with Section 4.1.4(iii) (</w:t>
      </w:r>
      <w:r>
        <w:rPr>
          <w:i/>
        </w:rPr>
        <w:t>Requirements for Exercising Delivery Right from an Alternate Resource</w:t>
      </w:r>
      <w:r>
        <w:t xml:space="preserve">). The total duration of the Cure Period, as extended, must not exceed </w:t>
      </w:r>
      <w:r w:rsidR="00662768">
        <w:t>540</w:t>
      </w:r>
      <w:r w:rsidR="00512940">
        <w:t xml:space="preserve"> </w:t>
      </w:r>
      <w:r>
        <w:t>Days</w:t>
      </w:r>
      <w:bookmarkEnd w:id="220"/>
      <w:r>
        <w:t>. Seller must satisfy all the preceding conditions for GPC to grant the extension.</w:t>
      </w:r>
    </w:p>
    <w:p w:rsidRPr="00192433" w:rsidR="007C2163" w:rsidP="007C2163" w:rsidRDefault="003F515D" w14:paraId="05E24E04" w14:textId="308FC70A">
      <w:pPr>
        <w:pStyle w:val="zGTC04"/>
        <w:rPr>
          <w:szCs w:val="20"/>
        </w:rPr>
      </w:pPr>
      <w:r>
        <w:rPr>
          <w:b/>
        </w:rPr>
        <w:t xml:space="preserve">Requirements to Cure Inadequate Tested Reliable Capacity. </w:t>
      </w:r>
      <w:r>
        <w:t>The cause of the inadequate Tested Reliable Capacity will be cured under this Section 16.1.9 (</w:t>
      </w:r>
      <w:r>
        <w:rPr>
          <w:i/>
        </w:rPr>
        <w:t>Inadequate Tested Reliable Capacity; Curing</w:t>
      </w:r>
      <w:r>
        <w:t xml:space="preserve">) only if: (i) Seller provides GPC with a written certification reasonably acceptable to GPC confirming that the inadequate Tested Reliable Capacity has been cured; and (ii) the inadequate Tested Reliable Capacity is increased to a value equal to or greater than 70% of the Nominal Standard Capability or the Nominal Winter Capability, as applicable, as demonstrated by the most recent Performance Test (for the avoidance of doubt, if the inadequate Tested Reliable Capacity is the Tested Standard Reliable Capacity, it must be increased to a value equal to or greater than 70% of the Nominal Standard Capability, and if the inadequate Tested Reliable Capacity is the Tested Winter Reliable Capacity, it must be increased to a value equal to or greater than 70% of the Nominal Winter Capability). Throughout the duration of any Cure Period, the applicable Declared Capacity will be deemed to be the applicable Tested Reliable Capacity determined by the most recent Performance Test (for </w:t>
      </w:r>
      <w:r>
        <w:rPr>
          <w:snapToGrid w:val="0"/>
        </w:rPr>
        <w:t xml:space="preserve">the avoidance of doubt, if the inadequate Tested Reliable Capacity is the Tested Standard Reliable Capacity, the Declared Standard Capacity will be deemed to be the Tested Standard Reliable Capacity determined in accordance with the most recent Performance Test, and if the inadequate Tested Reliable Capacity is the Tested Winter Reliable Capacity, the Declared Winter Capacity will be deemed to </w:t>
      </w:r>
      <w:r>
        <w:rPr>
          <w:snapToGrid w:val="0"/>
        </w:rPr>
        <w:lastRenderedPageBreak/>
        <w:t>be the Tested Winter Reliable Capacity determined in accordance with the most recent Performance Test).</w:t>
      </w:r>
    </w:p>
    <w:p w:rsidRPr="00192433" w:rsidR="007C2163" w:rsidP="007C2163" w:rsidRDefault="00F71BB3" w14:paraId="55D7A374" w14:textId="27C4D889">
      <w:pPr>
        <w:pStyle w:val="zGTC04"/>
      </w:pPr>
      <w:r>
        <w:rPr>
          <w:b/>
        </w:rPr>
        <w:t xml:space="preserve">GPC’s Right to Select a Remedy. </w:t>
      </w:r>
      <w:r>
        <w:t>Despite the previous provisions of this Section 16.1.9 (</w:t>
      </w:r>
      <w:r>
        <w:rPr>
          <w:i/>
        </w:rPr>
        <w:t>Inadequate Tested Reliable Capacity; Curing</w:t>
      </w:r>
      <w:r>
        <w:t>), at any time after the Delivery Commencement Date, whenever the Tested Standard Reliable Capacity is below 70% of the Nominal Standard Capability, or the Tested Winter Reliable Capacity is below 70% of the Nominal Winter Capability, GPC will have the unilateral right to elect the remedy specified in Exhibit B (</w:t>
      </w:r>
      <w:r>
        <w:rPr>
          <w:i/>
        </w:rPr>
        <w:t>Capacity; Capacity Payments and Payment Reductions; Buydown</w:t>
      </w:r>
      <w:r>
        <w:t>), Section 1.4 (</w:t>
      </w:r>
      <w:r>
        <w:rPr>
          <w:i/>
        </w:rPr>
        <w:t>Tested Reliable Capacity Below Contracted Capacity Range; Capacity Buydown</w:t>
      </w:r>
      <w:r>
        <w:t>), in which case, the remedy will be available for the inadequate Tested Reliable Capacity at and below 70% of the Nominal Standard Capability or the Nominal Winter Capability, as applicable. To elect such remedy GPC must notify Seller in writing of this election and must waive its right in the notice to declare a Seller Event of Default under this Section 16.1.9 with respect to the specific event (but not any other additional events) of inadequate Tested Reliable Capacity</w:t>
      </w:r>
      <w:r>
        <w:rPr>
          <w:i/>
        </w:rPr>
        <w:t>.</w:t>
      </w:r>
    </w:p>
    <w:p w:rsidRPr="00192433" w:rsidR="007C2163" w:rsidP="007C2163" w:rsidRDefault="00F01A42" w14:paraId="4CA6753A" w14:textId="78274C3D">
      <w:pPr>
        <w:pStyle w:val="zGTC03"/>
      </w:pPr>
      <w:r>
        <w:rPr>
          <w:b/>
        </w:rPr>
        <w:t xml:space="preserve">Breach of Energy Delivery Obligation. </w:t>
      </w:r>
      <w:r>
        <w:t xml:space="preserve">Seller breaches its obligation to deliver energy in accordance with GPC’s Schedule(s) to the extent </w:t>
      </w:r>
      <w:r w:rsidR="00AC172C">
        <w:t xml:space="preserve">that </w:t>
      </w:r>
      <w:r>
        <w:t>the Facility or a designated Alternate Resource, if applicable, is Available, and the breach continues for more than two Hours after GPC provides written (by email) and verbal (by telephone call) notice of the breach to the Seller Representative designated in the Operating Procedures as the Person to whom GPC will provide notice of operational issues.</w:t>
      </w:r>
    </w:p>
    <w:p w:rsidRPr="00192433" w:rsidR="007C2163" w:rsidP="007C2163" w:rsidRDefault="00995EA7" w14:paraId="28EC14FA" w14:textId="2D230EFA">
      <w:pPr>
        <w:pStyle w:val="zGTC03"/>
      </w:pPr>
      <w:r>
        <w:rPr>
          <w:b/>
          <w:bCs/>
        </w:rPr>
        <w:t>Abandonment or Failure to Achieve RCOD</w:t>
      </w:r>
      <w:r>
        <w:rPr>
          <w:b/>
        </w:rPr>
        <w:t>.</w:t>
      </w:r>
      <w:r>
        <w:t xml:space="preserve"> </w:t>
      </w:r>
      <w:r w:rsidR="00B50E95">
        <w:t xml:space="preserve">(i) </w:t>
      </w:r>
      <w:r>
        <w:t>Abandonment</w:t>
      </w:r>
      <w:r w:rsidR="00B50E95">
        <w:t>; or (ii)</w:t>
      </w:r>
      <w:r>
        <w:t xml:space="preserve"> Seller </w:t>
      </w:r>
      <w:r w:rsidR="002378AF">
        <w:t xml:space="preserve">(a) </w:t>
      </w:r>
      <w:r>
        <w:t>fails to achieve Commercial Operation by no later than nine Months after the RCOD</w:t>
      </w:r>
      <w:r w:rsidR="002378AF">
        <w:t>; (b)</w:t>
      </w:r>
      <w:r>
        <w:t xml:space="preserve"> notifies GPC that Seller has reasonably determined that Seller will not achieve Commercial Operation or that Commercial Operation will not be achieved by no later than nine Months after the RCOD</w:t>
      </w:r>
      <w:r w:rsidR="00EB421A">
        <w:t>; or (c) terminates this PPA in accordance with Section 7.4.3 (</w:t>
      </w:r>
      <w:r w:rsidRPr="00EB421A" w:rsidR="00EB421A">
        <w:rPr>
          <w:i/>
          <w:iCs/>
        </w:rPr>
        <w:t>Seller Payment of Delay Liquidated Damages; Pre-COD Termination Damages</w:t>
      </w:r>
      <w:r w:rsidR="00EB421A">
        <w:t>)</w:t>
      </w:r>
      <w:r>
        <w:t>.</w:t>
      </w:r>
    </w:p>
    <w:p w:rsidRPr="00192433" w:rsidR="007C2163" w:rsidP="007C2163" w:rsidRDefault="00F01A42" w14:paraId="03ED8BAC" w14:textId="35BBDC56">
      <w:pPr>
        <w:pStyle w:val="zGTC03"/>
      </w:pPr>
      <w:r>
        <w:rPr>
          <w:b/>
        </w:rPr>
        <w:t xml:space="preserve">Failure to Obtain Air Permit by Air Permit </w:t>
      </w:r>
      <w:r w:rsidR="0061375B">
        <w:rPr>
          <w:b/>
        </w:rPr>
        <w:t xml:space="preserve">Milestone </w:t>
      </w:r>
      <w:r>
        <w:rPr>
          <w:b/>
        </w:rPr>
        <w:t xml:space="preserve">Date. </w:t>
      </w:r>
      <w:r>
        <w:t xml:space="preserve">Seller fails to obtain the Air Permit by the Air Permit </w:t>
      </w:r>
      <w:r w:rsidR="0061375B">
        <w:t xml:space="preserve">Milestone </w:t>
      </w:r>
      <w:r>
        <w:t xml:space="preserve">Date, or Seller notifies GPC that Seller has reasonably determined that Seller will not obtain the Air Permit by the Air Permit </w:t>
      </w:r>
      <w:r w:rsidR="0061375B">
        <w:t xml:space="preserve">Milestone </w:t>
      </w:r>
      <w:r>
        <w:t>Date.</w:t>
      </w:r>
    </w:p>
    <w:p w:rsidRPr="00192433" w:rsidR="007C2163" w:rsidP="007C2163" w:rsidRDefault="00D12E47" w14:paraId="4B13F896" w14:textId="4CA26DF2">
      <w:pPr>
        <w:pStyle w:val="zGTC03"/>
      </w:pPr>
      <w:r>
        <w:rPr>
          <w:b/>
          <w:bCs/>
        </w:rPr>
        <w:t>Adjusting Meter or Interconnection Facilities without GPC’s Consent</w:t>
      </w:r>
      <w:r>
        <w:t xml:space="preserve">. Seller or any Seller Representative willfully adjusts the Metering System or the Interconnection Facilities without GPC’s written consent and which adjustment has the effect of falsely increasing </w:t>
      </w:r>
      <w:r w:rsidR="00447A1E">
        <w:t xml:space="preserve">any </w:t>
      </w:r>
      <w:r>
        <w:t>amount owed by GPC under this PPA.</w:t>
      </w:r>
    </w:p>
    <w:p w:rsidR="007C2163" w:rsidP="007C2163" w:rsidRDefault="007F684F" w14:paraId="583467AF" w14:textId="42117A7D">
      <w:pPr>
        <w:pStyle w:val="zGTC03"/>
      </w:pPr>
      <w:r>
        <w:rPr>
          <w:b/>
        </w:rPr>
        <w:t xml:space="preserve">Breach of Covenant. </w:t>
      </w:r>
      <w:r>
        <w:t>Any failure of any covenant made by Seller in Section 2.1 (</w:t>
      </w:r>
      <w:r>
        <w:rPr>
          <w:i/>
        </w:rPr>
        <w:t>Seller Representations, Warranties, and Covenants</w:t>
      </w:r>
      <w:r>
        <w:t>), unless Seller promptly commences and diligently pursues action and cures the failure by no later than 30 Days after notice of the failure has been given to Seller by GPC, (unless the cure is not capable of being effected within the 30-Day period in which case Seller must submit a cure plan before the end of the 30-Day period outlining steps to assure GPC that the failure will be cured, which cure plan will be subject to GPC’s approval, the approval not to be unreasonably withheld by GPC, but in no event will the total cure period exceed 180 Days) and the cure removes any adverse effect on GPC of the failure of such covenant</w:t>
      </w:r>
      <w:r>
        <w:rPr>
          <w:rStyle w:val="DeltaViewInsertion"/>
          <w:color w:val="auto"/>
          <w:w w:val="0"/>
          <w:u w:val="none"/>
        </w:rPr>
        <w:t xml:space="preserve">. However, no Event of Default by Seller </w:t>
      </w:r>
      <w:r>
        <w:t>will</w:t>
      </w:r>
      <w:r>
        <w:rPr>
          <w:rStyle w:val="DeltaViewInsertion"/>
          <w:color w:val="auto"/>
          <w:u w:val="none"/>
        </w:rPr>
        <w:t xml:space="preserve"> </w:t>
      </w:r>
      <w:r>
        <w:rPr>
          <w:rStyle w:val="DeltaViewInsertion"/>
          <w:color w:val="auto"/>
          <w:w w:val="0"/>
          <w:u w:val="none"/>
        </w:rPr>
        <w:t xml:space="preserve">occur </w:t>
      </w:r>
      <w:r>
        <w:t>in accordance with</w:t>
      </w:r>
      <w:r>
        <w:rPr>
          <w:rStyle w:val="DeltaViewInsertion"/>
          <w:color w:val="auto"/>
          <w:w w:val="0"/>
          <w:u w:val="none"/>
        </w:rPr>
        <w:t xml:space="preserve"> this Section </w:t>
      </w:r>
      <w:r>
        <w:rPr>
          <w:rStyle w:val="DeltaViewInsertion"/>
          <w:color w:val="auto"/>
          <w:u w:val="none"/>
        </w:rPr>
        <w:t>16</w:t>
      </w:r>
      <w:r>
        <w:rPr>
          <w:rStyle w:val="DeltaViewInsertion"/>
          <w:color w:val="auto"/>
          <w:w w:val="0"/>
          <w:u w:val="none"/>
        </w:rPr>
        <w:t>.1.14 (</w:t>
      </w:r>
      <w:r>
        <w:rPr>
          <w:rStyle w:val="DeltaViewInsertion"/>
          <w:i/>
          <w:iCs/>
          <w:color w:val="auto"/>
          <w:w w:val="0"/>
          <w:u w:val="none"/>
        </w:rPr>
        <w:t>Breach of Covenant</w:t>
      </w:r>
      <w:r>
        <w:rPr>
          <w:rStyle w:val="DeltaViewInsertion"/>
          <w:color w:val="auto"/>
          <w:w w:val="0"/>
          <w:u w:val="none"/>
        </w:rPr>
        <w:t xml:space="preserve">) unless </w:t>
      </w:r>
      <w:r>
        <w:t>GPC</w:t>
      </w:r>
      <w:r>
        <w:rPr>
          <w:rStyle w:val="DeltaViewInsertion"/>
          <w:color w:val="auto"/>
          <w:u w:val="none"/>
        </w:rPr>
        <w:t xml:space="preserve"> </w:t>
      </w:r>
      <w:r>
        <w:rPr>
          <w:rStyle w:val="DeltaViewInsertion"/>
          <w:color w:val="auto"/>
          <w:w w:val="0"/>
          <w:u w:val="none"/>
        </w:rPr>
        <w:t xml:space="preserve">cooperates with Seller during the cure period and, if applicable, takes commercially reasonable actions (without causing a material adverse effect on </w:t>
      </w:r>
      <w:r>
        <w:t>GPC</w:t>
      </w:r>
      <w:r>
        <w:rPr>
          <w:rStyle w:val="DeltaViewInsertion"/>
          <w:color w:val="auto"/>
          <w:w w:val="0"/>
          <w:u w:val="none"/>
        </w:rPr>
        <w:t xml:space="preserve">) necessary to bring about a determination by </w:t>
      </w:r>
      <w:r>
        <w:t>GPC</w:t>
      </w:r>
      <w:r>
        <w:rPr>
          <w:rStyle w:val="DeltaViewInsertion"/>
          <w:color w:val="auto"/>
          <w:u w:val="none"/>
        </w:rPr>
        <w:t xml:space="preserve"> </w:t>
      </w:r>
      <w:r>
        <w:rPr>
          <w:rStyle w:val="DeltaViewInsertion"/>
          <w:color w:val="auto"/>
          <w:w w:val="0"/>
          <w:u w:val="none"/>
        </w:rPr>
        <w:t>and its independent auditor that Seller does not constitute a VIE as because of this PPA</w:t>
      </w:r>
      <w:r>
        <w:t>.</w:t>
      </w:r>
    </w:p>
    <w:p w:rsidRPr="00192433" w:rsidR="00970EE3" w:rsidP="007C2163" w:rsidRDefault="00970EE3" w14:paraId="4B41CB07" w14:textId="0531E880">
      <w:pPr>
        <w:pStyle w:val="zGTC03"/>
      </w:pPr>
      <w:r>
        <w:rPr>
          <w:b/>
          <w:bCs/>
        </w:rPr>
        <w:t>Applicable Law Violation.</w:t>
      </w:r>
      <w:r>
        <w:rPr>
          <w:b/>
        </w:rPr>
        <w:t xml:space="preserve"> </w:t>
      </w:r>
      <w:r>
        <w:t xml:space="preserve">Seller violates any applicable law and the violation would have a material adverse effect on Seller’s ability to perform under this PPA and such violation is not cured within 30 </w:t>
      </w:r>
      <w:r w:rsidR="009B5722">
        <w:t>D</w:t>
      </w:r>
      <w:r>
        <w:t xml:space="preserve">ays after notice from GPC unless the cure is not capable of being effected within the 30-Day period, in which case Seller will have an additional 60-Day period in which to commence the cure </w:t>
      </w:r>
      <w:r w:rsidR="00CD7C97">
        <w:t>so long as Seller</w:t>
      </w:r>
      <w:r>
        <w:t xml:space="preserve"> diligently pursues the cure and completes the cure within 90 Days and the cure removes any material adverse effect on Seller’s ability to perform under this PPA. Seller will be deemed not to have committed an Event of Default </w:t>
      </w:r>
      <w:r w:rsidR="008B40E8">
        <w:t>under this Section 16.1.15 (</w:t>
      </w:r>
      <w:r w:rsidRPr="008B40E8" w:rsidR="008B40E8">
        <w:rPr>
          <w:i/>
          <w:iCs/>
        </w:rPr>
        <w:t>Applicable Law Violation</w:t>
      </w:r>
      <w:r w:rsidR="008B40E8">
        <w:t xml:space="preserve">) </w:t>
      </w:r>
      <w:r>
        <w:t>if Seller has validly contested the alleged violation, the matter remains pending before the applicable Governmental Authorities, and any cease and desist order or other enforcement action due to an alleged violation of the applicable laws has been stayed.</w:t>
      </w:r>
    </w:p>
    <w:p w:rsidRPr="00192433" w:rsidR="0012569C" w:rsidP="006673E0" w:rsidRDefault="000717BA" w14:paraId="093A2F0A" w14:textId="22EF8A87">
      <w:pPr>
        <w:pStyle w:val="zGTC03"/>
      </w:pPr>
      <w:r>
        <w:rPr>
          <w:b/>
        </w:rPr>
        <w:t xml:space="preserve">IA </w:t>
      </w:r>
      <w:r w:rsidR="007D5E46">
        <w:rPr>
          <w:b/>
        </w:rPr>
        <w:t>Termination</w:t>
      </w:r>
      <w:r w:rsidR="0012569C">
        <w:rPr>
          <w:b/>
        </w:rPr>
        <w:t>.</w:t>
      </w:r>
      <w:r w:rsidR="0012569C">
        <w:t xml:space="preserve"> </w:t>
      </w:r>
      <w:r w:rsidR="007C156C">
        <w:t>Termination of the IA due to a</w:t>
      </w:r>
      <w:r w:rsidR="0012569C">
        <w:t xml:space="preserve"> Seller event of default under the IA.</w:t>
      </w:r>
    </w:p>
    <w:p w:rsidRPr="00192433" w:rsidR="007C2163" w:rsidP="007C2163" w:rsidRDefault="007C2163" w14:paraId="7D6954C3" w14:textId="5438184B">
      <w:pPr>
        <w:pStyle w:val="zGTC02"/>
        <w:rPr>
          <w:rFonts w:ascii="Arial" w:hAnsi="Arial" w:eastAsia="PMingLiU" w:cs="Arial"/>
          <w:vanish/>
          <w:szCs w:val="20"/>
          <w:specVanish/>
        </w:rPr>
      </w:pPr>
      <w:bookmarkStart w:name="_Toc227840726" w:id="221"/>
      <w:bookmarkStart w:name="_Toc212473038" w:id="222"/>
      <w:bookmarkStart w:name="_Toc227840727" w:id="223"/>
      <w:bookmarkEnd w:id="221"/>
      <w:r>
        <w:rPr>
          <w:rFonts w:ascii="Arial" w:hAnsi="Arial" w:cs="Arial"/>
          <w:szCs w:val="20"/>
        </w:rPr>
        <w:lastRenderedPageBreak/>
        <w:t>Default by GPC.</w:t>
      </w:r>
      <w:bookmarkEnd w:id="222"/>
      <w:bookmarkEnd w:id="223"/>
    </w:p>
    <w:p w:rsidRPr="00192433" w:rsidR="007C2163" w:rsidP="007C2163" w:rsidRDefault="007C2163" w14:paraId="4CE5AA16" w14:textId="42443FC5">
      <w:pPr>
        <w:pStyle w:val="zGNormal"/>
      </w:pPr>
      <w:r>
        <w:t xml:space="preserve"> The occurrence of any of the following events will constitute a GPC Event of Default:</w:t>
      </w:r>
    </w:p>
    <w:p w:rsidRPr="00192433" w:rsidR="007C2163" w:rsidP="007C2163" w:rsidRDefault="00110422" w14:paraId="21BAE18A" w14:textId="4A35D93E">
      <w:pPr>
        <w:pStyle w:val="zGTC03"/>
      </w:pPr>
      <w:r>
        <w:rPr>
          <w:b/>
        </w:rPr>
        <w:t xml:space="preserve">GPC Payment Default. </w:t>
      </w:r>
      <w:r>
        <w:t>GPC fails</w:t>
      </w:r>
      <w:r w:rsidR="0093307C">
        <w:t>, by the due date,</w:t>
      </w:r>
      <w:r>
        <w:t xml:space="preserve"> to pay Seller any undisputed amount payable by GPC to Seller in accordance with this PPA and fails to cure the failure to pay within 15 Days after </w:t>
      </w:r>
      <w:r w:rsidR="002D0270">
        <w:t>receipt of written demand from Seller</w:t>
      </w:r>
      <w:r>
        <w:t>.</w:t>
      </w:r>
    </w:p>
    <w:p w:rsidRPr="00192433" w:rsidR="008B7FAB" w:rsidP="008B7FAB" w:rsidRDefault="008B7FAB" w14:paraId="1D21F73A" w14:textId="280E558E">
      <w:pPr>
        <w:pStyle w:val="zGTC03"/>
      </w:pPr>
      <w:r>
        <w:rPr>
          <w:b/>
        </w:rPr>
        <w:t>Failure to Comply with Other Material PPA Terms.</w:t>
      </w:r>
      <w:r>
        <w:t xml:space="preserve"> GPC fails to perform or observe any material obligation of GPC under this PPA, other than those obligations included in this Section 16.2 (</w:t>
      </w:r>
      <w:r>
        <w:rPr>
          <w:i/>
        </w:rPr>
        <w:t>Default by GPC</w:t>
      </w:r>
      <w:r>
        <w:t xml:space="preserve">), which failure materially and adversely affects the ability of Seller or GPC to perform their respective obligations under this PPA and continues for a period of 30 Days after notice </w:t>
      </w:r>
      <w:r w:rsidR="0036002F">
        <w:t xml:space="preserve">of the failure </w:t>
      </w:r>
      <w:r>
        <w:t>from Seller (unless the cure is not capable of being effected within the 30-Day period, in which case GPC will have an additional 30-Day period in which to perform the cure).</w:t>
      </w:r>
    </w:p>
    <w:p w:rsidRPr="00192433" w:rsidR="007C2163" w:rsidP="007C2163" w:rsidRDefault="009D3012" w14:paraId="408D154C" w14:textId="10618DF3">
      <w:pPr>
        <w:pStyle w:val="zGTC03"/>
      </w:pPr>
      <w:r>
        <w:rPr>
          <w:b/>
        </w:rPr>
        <w:t xml:space="preserve">Incorrect Representation or Warranty. </w:t>
      </w:r>
      <w:r>
        <w:t xml:space="preserve">Any representation or warranty made by GPC in this PPA or in any certificate or other document delivered to Seller in accordance with this PPA proves to be incorrect in any material respect when made, unless GPC promptly commences and diligently pursues action to cause the representation or warranty to become true in all material respects and does so within 30 Days after Seller has given GPC notice (unless the cure is not capable of being effected within such 30-Day period in which case GPC will have an additional 30-Day period in which to perform the cure) and the cure removes any material adverse effect on Seller because of the representation or warranty having been incorrect. </w:t>
      </w:r>
    </w:p>
    <w:p w:rsidRPr="00192433" w:rsidR="007C2163" w:rsidP="007C2163" w:rsidRDefault="003E7044" w14:paraId="7F76D9B9" w14:textId="010A43CD">
      <w:pPr>
        <w:pStyle w:val="zGTC03"/>
      </w:pPr>
      <w:r>
        <w:rPr>
          <w:b/>
        </w:rPr>
        <w:t xml:space="preserve">Involuntary Bankruptcy, Insolvency, or Reorganization. </w:t>
      </w:r>
      <w:r>
        <w:t>A court having jurisdiction enters: (i) a decree or order for relief in respect of GPC in an involuntary case or proceeding under any applicable Federal or state bankruptcy, insolvency, reorganization or other similar law; or (ii) a decree or order adjudicating GPC bankrupt or insolvent, or approving as properly filed a petition seeking reorganization, arrangement, adjustment or composition of or regarding GPC under any applicable Federal or state law, or appointing a custodian, receiver, liquidator, assignee, trustee, sequestrator, or other similar official of GPC or of any substantial part of its affairs.</w:t>
      </w:r>
    </w:p>
    <w:p w:rsidRPr="00192433" w:rsidR="007C2163" w:rsidP="007C2163" w:rsidRDefault="00D40CB8" w14:paraId="0D8B9B9A" w14:textId="00779BCC">
      <w:pPr>
        <w:pStyle w:val="zGTC03"/>
      </w:pPr>
      <w:r>
        <w:rPr>
          <w:b/>
        </w:rPr>
        <w:t>Voluntary Bankruptcy, Insolvency, or Reorganization.</w:t>
      </w:r>
      <w:r>
        <w:t xml:space="preserve"> GPC: (i) commences a voluntary case or proceeding under any applicable Federal or state bankruptcy, insolvency, reorganization, or other similar law or any other case or proceeding to be adjudicated bankrupt or insolvent; (ii) consents to the entry of a decree or order for relief in respect of GPC in any involuntary case or proceeding under any applicable Federal or state bankruptcy, insolvency, reorganization, or other similar law or to the commencement of any bankruptcy or insolvency case or proceeding against it; (iii) files any petition, answer or consent seeking reorganization or similar relief under any applicable Federal or state law, which, if granted would have the effect of relieving GPC of any of its obligations; (iv) consents to the filing of any petition or to the appointment of or taking possession by a custodian, receiver, liquidator, assignee, trustee, sequestrator, or similar official of GPC or of any substantial part of its property; (v) makes an assignment for the benefit of creditors; (vi) admits in writing its inability to generally pay its debts as they become due; or (vii) takes any action in furtherance of any of the foregoing.</w:t>
      </w:r>
    </w:p>
    <w:p w:rsidRPr="00192433" w:rsidR="007C2163" w:rsidP="007C2163" w:rsidRDefault="00787C29" w14:paraId="3FDD0D21" w14:textId="55CF0E19">
      <w:pPr>
        <w:pStyle w:val="zGTC03"/>
      </w:pPr>
      <w:r>
        <w:rPr>
          <w:b/>
        </w:rPr>
        <w:t xml:space="preserve">Failure to Comply with PPA Assignment Requirements. </w:t>
      </w:r>
      <w:r>
        <w:t>GPC violates the requirements of Part 18 (</w:t>
      </w:r>
      <w:r>
        <w:rPr>
          <w:i/>
        </w:rPr>
        <w:t>Assignment, Transfers, and Changes of Control</w:t>
      </w:r>
      <w:r>
        <w:t>) through an unpermitted assignment or transfer of this PPA.</w:t>
      </w:r>
    </w:p>
    <w:p w:rsidRPr="00192433" w:rsidR="007C2163" w:rsidP="007C2163" w:rsidRDefault="00787C29" w14:paraId="1E4D8EF2" w14:textId="48F4E521">
      <w:pPr>
        <w:pStyle w:val="zGTC03"/>
      </w:pPr>
      <w:r>
        <w:rPr>
          <w:b/>
        </w:rPr>
        <w:t>Material Violation of Applicable Law.</w:t>
      </w:r>
      <w:r>
        <w:t xml:space="preserve"> GPC violates an applicable law and the violation would have a material adverse effect on GPC’s ability to perform under this PPA and the violation is not cured within 30 Days after GPC receives Seller’s notice. If the cure is not capable of being effected within the 30-Day period, GPC will have an additional 30-Day period in which to commence the cure and after commencing the cure GPC will diligently pursue the cure and complete the cure within 60 Days. The cure must remove the material adverse effect(s) on GPC’s ability to perform under this PPA. GPC will be deemed not to have committed an Event of Default under this PPA if GPC has validly contested the alleged violation, the matter remains pending before the applicable Governmental Authorities, and the cease and desist order or other enforcement action due to an alleged violation of the applicable laws has been stayed.</w:t>
      </w:r>
    </w:p>
    <w:p w:rsidRPr="00192433" w:rsidR="007C2163" w:rsidP="007C2163" w:rsidRDefault="002A5682" w14:paraId="2071993B" w14:textId="7606F3D5">
      <w:pPr>
        <w:pStyle w:val="zGTC03"/>
      </w:pPr>
      <w:r>
        <w:rPr>
          <w:b/>
        </w:rPr>
        <w:t>Breach of Covenant Regarding Designation of Alternate Resource.</w:t>
      </w:r>
      <w:r>
        <w:t xml:space="preserve"> Any failure of any covenant made by GPC in Section 2.2.7 (</w:t>
      </w:r>
      <w:r>
        <w:rPr>
          <w:i/>
        </w:rPr>
        <w:t>Designation of Alternate Resource as a Secondary Resource</w:t>
      </w:r>
      <w:r>
        <w:t xml:space="preserve">), unless GPC promptly commences and diligently pursues action to cure the failure within 30 Days after notice </w:t>
      </w:r>
      <w:r w:rsidR="000A274D">
        <w:t xml:space="preserve">of the failure </w:t>
      </w:r>
      <w:r>
        <w:t xml:space="preserve">has been given to GPC by Seller, (unless the cure is not capable of being effected within such 30-Day period in which case GPC must submit a cure plan prior to the end of the 30-Day </w:t>
      </w:r>
      <w:r>
        <w:lastRenderedPageBreak/>
        <w:t>period outlining steps to assure Seller that the failure will be cured, which cure plan will be subject to Seller’s approval, such approval not to be unreasonably withheld by Seller, but in no event will the total cure period exceed 180 Days) and the cure removes any adverse effect on Seller of the failure of such covenant.</w:t>
      </w:r>
    </w:p>
    <w:p w:rsidRPr="00192433" w:rsidR="007C2163" w:rsidP="007C2163" w:rsidRDefault="007C2163" w14:paraId="41103291" w14:textId="6247FDE7">
      <w:pPr>
        <w:pStyle w:val="zGTC02"/>
        <w:rPr>
          <w:rFonts w:ascii="Arial" w:hAnsi="Arial" w:eastAsia="PMingLiU" w:cs="Arial"/>
          <w:vanish/>
          <w:szCs w:val="20"/>
          <w:specVanish/>
        </w:rPr>
      </w:pPr>
      <w:bookmarkStart w:name="_Toc212473039" w:id="224"/>
      <w:bookmarkStart w:name="_Toc227840728" w:id="225"/>
      <w:r>
        <w:rPr>
          <w:rFonts w:ascii="Arial" w:hAnsi="Arial" w:cs="Arial"/>
          <w:szCs w:val="20"/>
        </w:rPr>
        <w:t>Remedies.</w:t>
      </w:r>
      <w:bookmarkEnd w:id="224"/>
      <w:bookmarkEnd w:id="225"/>
    </w:p>
    <w:p w:rsidRPr="00192433" w:rsidR="007C2163" w:rsidP="007C2163" w:rsidRDefault="007C2163" w14:paraId="2570BF1E" w14:textId="77777777">
      <w:pPr>
        <w:pStyle w:val="zGTC02"/>
        <w:numPr>
          <w:ilvl w:val="0"/>
          <w:numId w:val="0"/>
        </w:numPr>
        <w:rPr>
          <w:rFonts w:ascii="Arial" w:hAnsi="Arial" w:cs="Arial"/>
          <w:szCs w:val="20"/>
        </w:rPr>
      </w:pPr>
    </w:p>
    <w:p w:rsidRPr="00192433" w:rsidR="007C2163" w:rsidP="007C2163" w:rsidRDefault="003D6B49" w14:paraId="71609E96" w14:textId="60D1F326">
      <w:pPr>
        <w:pStyle w:val="zGTC03"/>
      </w:pPr>
      <w:r>
        <w:rPr>
          <w:b/>
        </w:rPr>
        <w:t xml:space="preserve">Remedies for Event of Default. </w:t>
      </w:r>
      <w:r w:rsidRPr="00134F35" w:rsidR="00134F35">
        <w:rPr>
          <w:bCs/>
        </w:rPr>
        <w:t>Except as provided in this Section 16.3.1 (</w:t>
      </w:r>
      <w:r w:rsidRPr="000A274D" w:rsidR="00134F35">
        <w:rPr>
          <w:bCs/>
          <w:i/>
          <w:iCs/>
        </w:rPr>
        <w:t>Remedies for Event of Default</w:t>
      </w:r>
      <w:r w:rsidRPr="00134F35" w:rsidR="00134F35">
        <w:rPr>
          <w:bCs/>
        </w:rPr>
        <w:t>),</w:t>
      </w:r>
      <w:r w:rsidR="00134F35">
        <w:rPr>
          <w:b/>
        </w:rPr>
        <w:t xml:space="preserve"> </w:t>
      </w:r>
      <w:r w:rsidR="00134F35">
        <w:t>i</w:t>
      </w:r>
      <w:r>
        <w:t>f an Event of Default occurs at any time during the Term, the Party not in default under this PPA (“</w:t>
      </w:r>
      <w:r>
        <w:rPr>
          <w:b/>
        </w:rPr>
        <w:t>Non-Defaulting Party</w:t>
      </w:r>
      <w:r>
        <w:t>”) may, for so long as the Event of Default is continuing, subject to Part 19 (</w:t>
      </w:r>
      <w:r>
        <w:rPr>
          <w:i/>
        </w:rPr>
        <w:t>Dispute Resolution</w:t>
      </w:r>
      <w:r>
        <w:t>), take one or more of the following actions: (i) establish a date, no later than 10 Business Days after the Non-Defaulting Party delivers to the Party in default under this PPA (“</w:t>
      </w:r>
      <w:r>
        <w:rPr>
          <w:b/>
        </w:rPr>
        <w:t>Defaulting Party</w:t>
      </w:r>
      <w:r>
        <w:t>”) notice of the date, on which this PPA will terminate (“</w:t>
      </w:r>
      <w:r>
        <w:rPr>
          <w:b/>
        </w:rPr>
        <w:t>Early Termination Date</w:t>
      </w:r>
      <w:r>
        <w:t>”); (ii) proceed by appropriate proceedings in accordance with this PPA at law, in equity, or otherwise, to protect and enforce: (a) Non-Defaulting Party’s right to recover actual or liquidated damages; or (b) where the Event of Default is one other than the failure to pay money, equitable relief, including specific performance; and (iii) immediately stop performance or withhold any payments, or both, due under this PPA.</w:t>
      </w:r>
      <w:r w:rsidR="000F709E">
        <w:t xml:space="preserve"> Despite the previous sentence, if a Seller Event of Default occurs under Section 16.1.12</w:t>
      </w:r>
      <w:r w:rsidR="00C90A3F">
        <w:t xml:space="preserve"> </w:t>
      </w:r>
      <w:r w:rsidR="000F709E">
        <w:t>(</w:t>
      </w:r>
      <w:r w:rsidRPr="00E40556" w:rsidR="000F709E">
        <w:rPr>
          <w:i/>
          <w:iCs/>
        </w:rPr>
        <w:t xml:space="preserve">Failure to Obtain Air Permit by Air Permit </w:t>
      </w:r>
      <w:r w:rsidR="000F709E">
        <w:rPr>
          <w:i/>
          <w:iCs/>
        </w:rPr>
        <w:t>Milestone</w:t>
      </w:r>
      <w:r w:rsidRPr="00E40556" w:rsidR="000F709E">
        <w:rPr>
          <w:i/>
          <w:iCs/>
        </w:rPr>
        <w:t xml:space="preserve"> Date</w:t>
      </w:r>
      <w:r w:rsidR="000F709E">
        <w:rPr>
          <w:i/>
          <w:iCs/>
        </w:rPr>
        <w:t>)</w:t>
      </w:r>
      <w:r w:rsidRPr="00E40556" w:rsidR="000F709E">
        <w:t>,</w:t>
      </w:r>
      <w:r w:rsidR="000F709E">
        <w:t xml:space="preserve"> GPC will not have a right to terminate this PPA under this Section 16.3.1 (</w:t>
      </w:r>
      <w:r w:rsidRPr="006749FA" w:rsidR="000F709E">
        <w:rPr>
          <w:i/>
          <w:iCs/>
        </w:rPr>
        <w:t>Remedies for Event of Default</w:t>
      </w:r>
      <w:r w:rsidR="000F709E">
        <w:t xml:space="preserve">) as a result of that Seller Event of Default (or continuation of </w:t>
      </w:r>
      <w:r w:rsidR="00201A17">
        <w:t>that</w:t>
      </w:r>
      <w:r w:rsidR="000F709E">
        <w:t xml:space="preserve"> Seller Event of Default) until the earlier of (i) the date on which GPC receives notice from Seller that Seller has reasonably determined it will not obtain the Air Permit by the Air Permit Outside Date, or (ii) the Air Permit Outside Date, if the Air Permit has not been obtained by that date.</w:t>
      </w:r>
    </w:p>
    <w:p w:rsidRPr="00192433" w:rsidR="007C2163" w:rsidP="000738D7" w:rsidRDefault="165FA184" w14:paraId="22B0E5A4" w14:textId="12EDA509">
      <w:pPr>
        <w:pStyle w:val="zGTC03"/>
      </w:pPr>
      <w:r>
        <w:rPr>
          <w:b/>
          <w:bCs/>
        </w:rPr>
        <w:t>Termination Payment.</w:t>
      </w:r>
      <w:r>
        <w:t xml:space="preserve"> If an Early Termination Date has been established and Non-Defaulting Party has not successfully pursued an action for specific performance, Non-Defaulting Party will in good faith calculate its Gains, Losses, or Costs resulting from the PPA termination, aggregate into a single net amount Gains, Losses, or Costs, and then notify Defaulting Party. If Non-Defaulting Party’s aggregate Losses and Costs exceed Non-Defaulting Party’s aggregate Gains, Defaulting Party will, unless Defaulting Party disagrees with the calculation, within 15 Business Days </w:t>
      </w:r>
      <w:r w:rsidR="00F07201">
        <w:t xml:space="preserve">after </w:t>
      </w:r>
      <w:r>
        <w:t xml:space="preserve">receipt of </w:t>
      </w:r>
      <w:r w:rsidR="0039175D">
        <w:t xml:space="preserve">the </w:t>
      </w:r>
      <w:r>
        <w:t>notice</w:t>
      </w:r>
      <w:r w:rsidR="0039175D">
        <w:t xml:space="preserve"> from the Non-Defaulting Party</w:t>
      </w:r>
      <w:r>
        <w:t>, pay to Non-Defaulting Party the net amount (“</w:t>
      </w:r>
      <w:r>
        <w:rPr>
          <w:b/>
        </w:rPr>
        <w:t>Termination Payment</w:t>
      </w:r>
      <w:r>
        <w:t>”). The Termination Payment will bear interest at the Interest Rate from the Early Termination Date until paid to Non-Defaulting party. If Non-Defaulting Party’s aggregate Gains exceed aggregate Losses and Costs, if any, resulting from the PPA termination, Non-Defaulting Party may retain the Gains. If Defaulting Party disagrees with the calculation of the Termination Payment, the issue will be resolved in accordance with Part 19 (</w:t>
      </w:r>
      <w:r>
        <w:rPr>
          <w:i/>
        </w:rPr>
        <w:t>Dispute Resolution</w:t>
      </w:r>
      <w:r>
        <w:t>) provisions applicable to Termination Payment disputes, and the resulting Termination Payment will be due by no later than three Business Days after the award. Despite any provision in this PPA, for any GPC PPA termination</w:t>
      </w:r>
      <w:r w:rsidR="00846F34">
        <w:t xml:space="preserve"> for a Seller Event of Default that occurs before the Facility achieves Commercial Operation, </w:t>
      </w:r>
      <w:r>
        <w:t>rather than the application of a calculation of Gains, Losses, or Costs resulting from the PPA termination, the Termination Payment will be liquidated damages in an amount equal to the full amount of the then-required Performance Security amount shown in Part 1 (</w:t>
      </w:r>
      <w:r>
        <w:rPr>
          <w:i/>
          <w:iCs/>
        </w:rPr>
        <w:t>Performance Security</w:t>
      </w:r>
      <w:r>
        <w:t>) of Exhibit A-2 (</w:t>
      </w:r>
      <w:r>
        <w:rPr>
          <w:i/>
        </w:rPr>
        <w:t>Performance Security and Liquidated Damages</w:t>
      </w:r>
      <w:r>
        <w:t>). In each case, Seller must also pay to GPC all other damages owed to GPC under this PPA, including any applicable amount specified in Section 7.3 (</w:t>
      </w:r>
      <w:r>
        <w:rPr>
          <w:i/>
        </w:rPr>
        <w:t>Permitting</w:t>
      </w:r>
      <w:r>
        <w:t>) or Section 7.4 (</w:t>
      </w:r>
      <w:r>
        <w:rPr>
          <w:i/>
        </w:rPr>
        <w:t>Failure to Achieve Commercial Operation by RCOD</w:t>
      </w:r>
      <w:r>
        <w:t>).</w:t>
      </w:r>
    </w:p>
    <w:p w:rsidRPr="00192433" w:rsidR="007C2163" w:rsidP="007C2163" w:rsidRDefault="00B62CAB" w14:paraId="776695DF" w14:textId="41E0FA39">
      <w:pPr>
        <w:pStyle w:val="zGTC03"/>
      </w:pPr>
      <w:r>
        <w:rPr>
          <w:b/>
        </w:rPr>
        <w:t>Determining Gains, Losses, and Costs.</w:t>
      </w:r>
      <w:r>
        <w:t xml:space="preserve"> Subject to Section 10.3.1 (</w:t>
      </w:r>
      <w:r>
        <w:rPr>
          <w:i/>
        </w:rPr>
        <w:t>Alternative Determination of Capacity Payment</w:t>
      </w:r>
      <w:r>
        <w:t>), Gains, Losses, or Costs will be determined by comparing the cost of the capacity and energy that would be available under this PPA for the remainder of the Term had this PPA not been terminated to the market price of capacity and energy of equivalent reliability and Scheduling flexibility for the remaining Term (had this PPA not been terminated). Nothing in Part 6 (</w:t>
      </w:r>
      <w:r>
        <w:rPr>
          <w:i/>
        </w:rPr>
        <w:t>Performance Security</w:t>
      </w:r>
      <w:r>
        <w:t>) is intended to limit liability under this Section 16.3 (</w:t>
      </w:r>
      <w:r>
        <w:rPr>
          <w:i/>
          <w:iCs/>
        </w:rPr>
        <w:t>Remedies</w:t>
      </w:r>
      <w:r>
        <w:t xml:space="preserve">). To ascertain the market price, Non-Defaulting Party may consider, among other evidence, the settlement prices of NYMEX energy futures contracts, quotations from leading dealers in energy and gas swap contracts, offers for replacement capacity and energy, or bids to purchase the </w:t>
      </w:r>
      <w:r>
        <w:rPr>
          <w:rStyle w:val="DeltaViewInsertion"/>
          <w:color w:val="auto"/>
          <w:u w:val="none"/>
        </w:rPr>
        <w:t>remaining</w:t>
      </w:r>
      <w:r>
        <w:t xml:space="preserve"> capacity and energy that was to be sold in accordance with this PPA, in either case made by bona fide third-parties (including offers Non-Defaulting Party received in response to any request for proposals for capacity and energy contracts), all adjusted for the length of the remaining Term (as of the PPA termination date) and differences in locational basis (including costs of transmission investments and transmission service), reliability, Scheduling flexibility, and any other considerations affecting value. Neither Party will be required to enter into replacement transactions to determine the Termination Payment. As used in this Section 16.3: (i) “</w:t>
      </w:r>
      <w:r>
        <w:rPr>
          <w:b/>
        </w:rPr>
        <w:t>Costs</w:t>
      </w:r>
      <w:r>
        <w:t xml:space="preserve">” means: “Brokerage fees, </w:t>
      </w:r>
      <w:r>
        <w:lastRenderedPageBreak/>
        <w:t>commissions, and other similar transaction costs and expenses reasonably incurred by a Party either in terminating any agreement it has entered into to fulfill its obligations under this PPA or entering into new agreements which replace this PPA, and attorneys’ fees, if any, incurred enforcing its rights under this PPA; (ii) “</w:t>
      </w:r>
      <w:r>
        <w:rPr>
          <w:b/>
        </w:rPr>
        <w:t>Gains</w:t>
      </w:r>
      <w:r>
        <w:t xml:space="preserve">” means: An amount equal to the economic benefit determined on a mark to market basis (exclusive of Costs), if any, to </w:t>
      </w:r>
      <w:r>
        <w:rPr>
          <w:w w:val="0"/>
        </w:rPr>
        <w:t xml:space="preserve">the Non-Defaulting Party </w:t>
      </w:r>
      <w:r>
        <w:t>resulting from the termination of this PPA; and (iii) “</w:t>
      </w:r>
      <w:r>
        <w:rPr>
          <w:b/>
        </w:rPr>
        <w:t>Losses</w:t>
      </w:r>
      <w:r>
        <w:t xml:space="preserve">” means: An amount equal to the economic loss determined on a mark to market basis (exclusive of Costs), if any, to </w:t>
      </w:r>
      <w:r>
        <w:rPr>
          <w:w w:val="0"/>
        </w:rPr>
        <w:t>the Non-Defaulting Party</w:t>
      </w:r>
      <w:r>
        <w:t xml:space="preserve"> resulting from the termination of this PPA.</w:t>
      </w:r>
    </w:p>
    <w:p w:rsidRPr="00192433" w:rsidR="007C2163" w:rsidP="000D0722" w:rsidRDefault="007C2163" w14:paraId="35908F49" w14:textId="77777777">
      <w:pPr>
        <w:pStyle w:val="zGTC02"/>
        <w:spacing w:after="120"/>
        <w:rPr>
          <w:rFonts w:ascii="Arial" w:hAnsi="Arial" w:eastAsia="PMingLiU" w:cs="Arial"/>
          <w:vanish/>
          <w:szCs w:val="20"/>
          <w:specVanish/>
        </w:rPr>
      </w:pPr>
      <w:bookmarkStart w:name="_Toc212473040" w:id="226"/>
      <w:bookmarkStart w:name="_Toc227840729" w:id="227"/>
      <w:r>
        <w:rPr>
          <w:rFonts w:ascii="Arial" w:hAnsi="Arial" w:cs="Arial"/>
          <w:szCs w:val="20"/>
        </w:rPr>
        <w:t>Rights of Specific Performance.</w:t>
      </w:r>
      <w:bookmarkEnd w:id="226"/>
      <w:bookmarkEnd w:id="227"/>
    </w:p>
    <w:p w:rsidRPr="00192433" w:rsidR="007C2163" w:rsidP="000D0722" w:rsidRDefault="007C2163" w14:paraId="05D5C65B" w14:textId="6EEC4022">
      <w:pPr>
        <w:pStyle w:val="zGNormal"/>
        <w:spacing w:before="120" w:after="120"/>
      </w:pPr>
      <w:r>
        <w:t xml:space="preserve"> For an Event of Default, the Parties recognize that a remedy at law may be inadequate because this PPA is unique or because the actual damages of the Non-Defaulting Party may exceed any guaranty or other collateral</w:t>
      </w:r>
      <w:r>
        <w:rPr>
          <w:b/>
          <w:bCs/>
          <w:i/>
          <w:iCs/>
        </w:rPr>
        <w:t xml:space="preserve"> </w:t>
      </w:r>
      <w:r>
        <w:t xml:space="preserve">available to the Non-Defaulting Party. The Parties agree that in an Event of Default, for which </w:t>
      </w:r>
      <w:r w:rsidR="00252C29">
        <w:t xml:space="preserve">this </w:t>
      </w:r>
      <w:r>
        <w:t xml:space="preserve">PPA has not prescribed a specific remedy, Non-Defaulting Party will be entitled to pursue an action for specific performance, and Defaulting Party waives Defaulting Party’s rights to assert as a defense to a specific performance action that the Non-Defaulting Party’s remedy at law is adequate. The Non-Defaulting Party will not be entitled to receive both specific performance and a Termination Payment from the Defaulting Party. </w:t>
      </w:r>
    </w:p>
    <w:p w:rsidRPr="00192433" w:rsidR="007C2163" w:rsidP="000D0722" w:rsidRDefault="007C2163" w14:paraId="75273492" w14:textId="0855668A">
      <w:pPr>
        <w:pStyle w:val="zGTC02"/>
        <w:spacing w:after="120"/>
        <w:rPr>
          <w:rFonts w:ascii="Arial" w:hAnsi="Arial" w:eastAsia="PMingLiU" w:cs="Arial"/>
          <w:vanish/>
          <w:szCs w:val="20"/>
          <w:specVanish/>
        </w:rPr>
      </w:pPr>
      <w:bookmarkStart w:name="_Toc212473041" w:id="228"/>
      <w:bookmarkStart w:name="_Toc227840730" w:id="229"/>
      <w:r>
        <w:rPr>
          <w:rFonts w:ascii="Arial" w:hAnsi="Arial" w:cs="Arial"/>
          <w:szCs w:val="20"/>
        </w:rPr>
        <w:t>Limitation of Remedies, Liability, and Damages.</w:t>
      </w:r>
      <w:bookmarkEnd w:id="228"/>
      <w:bookmarkEnd w:id="229"/>
    </w:p>
    <w:p w:rsidRPr="00192433" w:rsidR="00D373C9" w:rsidP="000D0722" w:rsidRDefault="007C2163" w14:paraId="4190E7B4" w14:textId="786559F9">
      <w:pPr>
        <w:pStyle w:val="zGNormal"/>
        <w:spacing w:before="120" w:after="120"/>
        <w:rPr>
          <w:b/>
          <w:bCs/>
        </w:rPr>
      </w:pPr>
      <w:r>
        <w:t xml:space="preserve"> </w:t>
      </w:r>
      <w:r>
        <w:rPr>
          <w:b/>
          <w:bCs/>
          <w:u w:val="single"/>
        </w:rPr>
        <w:t xml:space="preserve">Each Party confirms that the express remedies and measures of damages provided in this PPA satisfy the essential purpose of this PPA for breach of any provision for which an express remedy or measure of damages is provided, </w:t>
      </w:r>
      <w:r w:rsidR="00252C29">
        <w:rPr>
          <w:b/>
          <w:bCs/>
          <w:u w:val="single"/>
        </w:rPr>
        <w:t xml:space="preserve">in which event </w:t>
      </w:r>
      <w:r>
        <w:rPr>
          <w:b/>
          <w:bCs/>
          <w:u w:val="single"/>
        </w:rPr>
        <w:t>the express remedy or measure of damages will be the exclusive remedy, subject to Section 19.6 (</w:t>
      </w:r>
      <w:r>
        <w:rPr>
          <w:b/>
          <w:bCs/>
          <w:i/>
          <w:iCs/>
          <w:u w:val="single"/>
        </w:rPr>
        <w:t>Injunctive Relief</w:t>
      </w:r>
      <w:r>
        <w:rPr>
          <w:b/>
          <w:bCs/>
          <w:u w:val="single"/>
        </w:rPr>
        <w:t>) regarding injunctive relief. Except to the extent expressly provided in Section 7.4 (</w:t>
      </w:r>
      <w:r>
        <w:rPr>
          <w:b/>
          <w:bCs/>
          <w:i/>
          <w:iCs/>
          <w:u w:val="single"/>
        </w:rPr>
        <w:t>Failure to Achieve Commercial Operation by RCOD</w:t>
      </w:r>
      <w:r>
        <w:rPr>
          <w:b/>
          <w:bCs/>
          <w:u w:val="single"/>
        </w:rPr>
        <w:t xml:space="preserve">), and subject to Section 19.6, where an express remedy or measure of damage is provided, the Party’s liability will be limited as set forth in the provision and all other remedies or damages at law or in equity are waived. However, if no remedy or measure of damages is expressly provided in this </w:t>
      </w:r>
      <w:r>
        <w:rPr>
          <w:b/>
          <w:u w:val="single"/>
        </w:rPr>
        <w:t>PPA</w:t>
      </w:r>
      <w:r>
        <w:rPr>
          <w:b/>
          <w:bCs/>
          <w:u w:val="single"/>
        </w:rPr>
        <w:t>, and subject to Section 19.6, a Party’s liability will be limited to direct actual damages only. Subject to Section 19.6, the direct actual damages will be the exclusive remedy and all other remedies or damages at law or in equity are waived. The Parties explicitly agree and intend that Section 7.4.1 (</w:t>
      </w:r>
      <w:r>
        <w:rPr>
          <w:b/>
          <w:bCs/>
          <w:i/>
          <w:iCs/>
          <w:u w:val="single"/>
        </w:rPr>
        <w:t>Delay Liquidated Damages</w:t>
      </w:r>
      <w:r>
        <w:rPr>
          <w:b/>
          <w:bCs/>
          <w:u w:val="single"/>
        </w:rPr>
        <w:t>), Section 16.3.2 (</w:t>
      </w:r>
      <w:r>
        <w:rPr>
          <w:b/>
          <w:bCs/>
          <w:i/>
          <w:iCs/>
          <w:u w:val="single"/>
        </w:rPr>
        <w:t>Termination Payment</w:t>
      </w:r>
      <w:r>
        <w:rPr>
          <w:b/>
          <w:bCs/>
          <w:u w:val="single"/>
        </w:rPr>
        <w:t>), Exhibit B (</w:t>
      </w:r>
      <w:r>
        <w:rPr>
          <w:b/>
          <w:bCs/>
          <w:i/>
          <w:iCs/>
          <w:u w:val="single"/>
        </w:rPr>
        <w:t>Capacity; Capacity Payments and Payment Reductions; Buydown</w:t>
      </w:r>
      <w:r>
        <w:rPr>
          <w:b/>
          <w:bCs/>
          <w:u w:val="single"/>
        </w:rPr>
        <w:t>), and Exhibit C (</w:t>
      </w:r>
      <w:r>
        <w:rPr>
          <w:b/>
          <w:bCs/>
          <w:i/>
          <w:iCs/>
          <w:u w:val="single"/>
        </w:rPr>
        <w:t>Energy Payment Calculation</w:t>
      </w:r>
      <w:r>
        <w:rPr>
          <w:b/>
          <w:bCs/>
          <w:u w:val="single"/>
        </w:rPr>
        <w:t>) will be fully enforceable by any court exercising jurisdiction over any dispute between the Parties arising under this PPA. Each Party irrevocably waives any defense available to it under applicable law or equity relating to the enforceability of the liquidated damages provisions set forth in Section 7.4.1, Exhibit B, and Exhibit C</w:t>
      </w:r>
      <w:r>
        <w:rPr>
          <w:b/>
          <w:bCs/>
        </w:rPr>
        <w:t xml:space="preserve">. </w:t>
      </w:r>
    </w:p>
    <w:p w:rsidRPr="000D0722" w:rsidR="00062426" w:rsidP="000D0722" w:rsidRDefault="00062426" w14:paraId="4B384858" w14:textId="7272ECD2">
      <w:pPr>
        <w:pStyle w:val="zGTC02"/>
        <w:spacing w:after="120"/>
        <w:rPr>
          <w:rFonts w:ascii="Arial" w:hAnsi="Arial" w:cs="Arial"/>
          <w:vanish/>
          <w:specVanish/>
        </w:rPr>
      </w:pPr>
      <w:bookmarkStart w:name="_Toc212473042" w:id="230"/>
      <w:bookmarkStart w:name="_Toc227840731" w:id="231"/>
      <w:r w:rsidRPr="000D0722">
        <w:rPr>
          <w:rFonts w:ascii="Arial" w:hAnsi="Arial" w:cs="Arial"/>
        </w:rPr>
        <w:t>Waiver of Consequential Damages.</w:t>
      </w:r>
      <w:bookmarkEnd w:id="230"/>
      <w:bookmarkEnd w:id="231"/>
    </w:p>
    <w:p w:rsidR="00342F1D" w:rsidP="000D0722" w:rsidRDefault="00062426" w14:paraId="07F1FCE4" w14:textId="4019C5B4">
      <w:pPr>
        <w:pStyle w:val="zGNormal"/>
        <w:spacing w:before="120" w:after="120"/>
        <w:rPr>
          <w:b/>
          <w:bCs/>
          <w:u w:val="single"/>
        </w:rPr>
      </w:pPr>
      <w:r>
        <w:t xml:space="preserve"> </w:t>
      </w:r>
      <w:r>
        <w:rPr>
          <w:b/>
          <w:u w:val="single"/>
        </w:rPr>
        <w:t>Unless expressly provided in this PPA, neither Party nor its Affiliates will be liable for: (i) consequential, incidental, special, punitive, exemplary, treble, or indirect damages (including lost profits; loss of use, income tax benefit, data, business opportunity or anticipated savings; idled equipment costs; or increased overhead, financing, or operating costs); or (ii) other business interruption damages arising out of this PPA, any damage or delay in connection with this PPA, a Party’s act or failure to act, or a Party’s performance or non-performance under this PPA, whether or not reasonable, foreseeable, contemplated, or avoidable and whether by statute, in tort or contract, under any indemnity provision, or otherwise. The preceding sentence will not apply: (a) for amounts owed to a third party for which this PPA requires indemnification; (b) to limit the liability of Seller for liquidated damages specified in this PPA; (c) to limit the liability of a Person whose actions giving rise to the liability constitute gross negligence or willful misconduct; or (d) to limit or reduce the amounts owed by a defaulting Party under Section 16.3 (</w:t>
      </w:r>
      <w:r>
        <w:rPr>
          <w:b/>
          <w:i/>
          <w:iCs/>
          <w:u w:val="single"/>
        </w:rPr>
        <w:t>Remedies</w:t>
      </w:r>
      <w:r>
        <w:rPr>
          <w:b/>
          <w:u w:val="single"/>
        </w:rPr>
        <w:t>), it being expressly agreed that no portion of any amount owed under Section 16.3 will be considered consequential damages and it being expressly agreed that the lost value of any investment tax credit (ITC), production tax credit (PTC), or any other similar Tax credit or benefit will be considered consequential damages. To the extent any damages required to be paid under this PPA are liquidated, the Parties acknowledge that: (I) the actual damages likely to be incurred are difficult or impossible to determine; (II) otherwise obtaining an adequate remedy is inconvenient; and (III) the liquidated damages do not constitute a penalty and are a reasonable approximation of the actual harm or loss. Despite any other provision in this PPA, in no event will GPC’s liability to Seller for a termination payment under this PPA exceed an amount equal to the sum of any amount</w:t>
      </w:r>
      <w:r w:rsidR="00404DE0">
        <w:rPr>
          <w:b/>
          <w:u w:val="single"/>
        </w:rPr>
        <w:t>s</w:t>
      </w:r>
      <w:r>
        <w:rPr>
          <w:b/>
          <w:u w:val="single"/>
        </w:rPr>
        <w:t xml:space="preserve"> then owed by GPC under this PPA plus the total of all remaining monthly capacity payments following termination that would have been payable to Seller under this PPA had the PPA remained in effect through the end of the Term. The limitations in Section 16.5 (</w:t>
      </w:r>
      <w:r>
        <w:rPr>
          <w:b/>
          <w:i/>
          <w:u w:val="single"/>
        </w:rPr>
        <w:t>Limitation of Remedies, Liability, and Damages</w:t>
      </w:r>
      <w:r>
        <w:rPr>
          <w:b/>
          <w:u w:val="single"/>
        </w:rPr>
        <w:t>) and this Section 16.6 (</w:t>
      </w:r>
      <w:r>
        <w:rPr>
          <w:b/>
          <w:i/>
          <w:iCs/>
          <w:u w:val="single"/>
        </w:rPr>
        <w:t>Waiver of Consequential Damages</w:t>
      </w:r>
      <w:r>
        <w:rPr>
          <w:b/>
          <w:u w:val="single"/>
        </w:rPr>
        <w:t>) apply regardless of fault and will survive PPA termination, cancellation, suspension, completion, or expiration</w:t>
      </w:r>
      <w:r>
        <w:rPr>
          <w:b/>
          <w:bCs/>
          <w:u w:val="single"/>
        </w:rPr>
        <w:t>.</w:t>
      </w:r>
    </w:p>
    <w:p w:rsidRPr="000D0722" w:rsidR="00062426" w:rsidP="000D0722" w:rsidRDefault="007C2163" w14:paraId="0D27E9EB" w14:textId="461AA9D4">
      <w:pPr>
        <w:pStyle w:val="zGTC02"/>
        <w:spacing w:after="120"/>
        <w:rPr>
          <w:rFonts w:ascii="Arial" w:hAnsi="Arial" w:cs="Arial"/>
          <w:vanish/>
          <w:specVanish/>
        </w:rPr>
      </w:pPr>
      <w:bookmarkStart w:name="_Toc212473043" w:id="232"/>
      <w:bookmarkStart w:name="_Toc227840732" w:id="233"/>
      <w:r w:rsidRPr="000D0722">
        <w:rPr>
          <w:rFonts w:ascii="Arial" w:hAnsi="Arial" w:cs="Arial"/>
        </w:rPr>
        <w:lastRenderedPageBreak/>
        <w:t>Disclaimer of Warranties.</w:t>
      </w:r>
      <w:bookmarkEnd w:id="232"/>
      <w:bookmarkEnd w:id="233"/>
    </w:p>
    <w:p w:rsidRPr="000057B0" w:rsidR="007C2163" w:rsidP="000D0722" w:rsidRDefault="00062426" w14:paraId="77EBBF07" w14:textId="4F45A3DA">
      <w:pPr>
        <w:pStyle w:val="zGNormal"/>
        <w:spacing w:before="120" w:after="120"/>
        <w:rPr>
          <w:b/>
          <w:u w:val="single"/>
        </w:rPr>
      </w:pPr>
      <w:r>
        <w:rPr>
          <w:bCs/>
        </w:rPr>
        <w:t xml:space="preserve"> </w:t>
      </w:r>
      <w:r>
        <w:rPr>
          <w:b/>
          <w:u w:val="single"/>
        </w:rPr>
        <w:t xml:space="preserve">There are no warranties under this PPA except to the extent specifically set forth in this PPA. The Parties specifically disclaim and exclude all implied warranties, including the implied warranties of merchantability and of fitness for a particular purpose. </w:t>
      </w:r>
    </w:p>
    <w:p w:rsidRPr="000D0722" w:rsidR="007C2163" w:rsidP="000D0722" w:rsidRDefault="007C2163" w14:paraId="2A0C79B6" w14:textId="77777777">
      <w:pPr>
        <w:pStyle w:val="zGTC02"/>
        <w:spacing w:after="120"/>
        <w:rPr>
          <w:rFonts w:ascii="Arial" w:hAnsi="Arial" w:eastAsia="PMingLiU" w:cs="Arial"/>
          <w:vanish/>
          <w:specVanish/>
        </w:rPr>
      </w:pPr>
      <w:bookmarkStart w:name="_Toc212473044" w:id="234"/>
      <w:bookmarkStart w:name="_Toc227840733" w:id="235"/>
      <w:r w:rsidRPr="000D0722">
        <w:rPr>
          <w:rFonts w:ascii="Arial" w:hAnsi="Arial" w:cs="Arial"/>
        </w:rPr>
        <w:t>No Interruption.</w:t>
      </w:r>
      <w:bookmarkEnd w:id="234"/>
      <w:bookmarkEnd w:id="235"/>
    </w:p>
    <w:p w:rsidRPr="000057B0" w:rsidR="007C2163" w:rsidP="000D0722" w:rsidRDefault="007C2163" w14:paraId="3BA612DC" w14:textId="249DE244">
      <w:pPr>
        <w:pStyle w:val="zGNormal"/>
        <w:spacing w:before="120" w:after="120"/>
      </w:pPr>
      <w:r>
        <w:t xml:space="preserve"> Except as otherwise provided in this PPA, unless this PPA has been terminated, neither Party will, because of any breach or alleged breach by the other Party: (i) refuse to deliver, or suspend or delay any delivery of, capacity or associated energy to be provided under this PPA; (ii) refuse to take energy to the extent required under this PPA; or (iii) suspend, delay, or refuse to make any of the payments required under this PPA.</w:t>
      </w:r>
    </w:p>
    <w:p w:rsidRPr="000D0722" w:rsidR="007C2163" w:rsidP="000D0722" w:rsidRDefault="007C2163" w14:paraId="6D2E504B" w14:textId="77777777">
      <w:pPr>
        <w:pStyle w:val="zGTC02"/>
        <w:spacing w:after="120"/>
        <w:rPr>
          <w:rFonts w:ascii="Arial" w:hAnsi="Arial" w:eastAsia="PMingLiU" w:cs="Arial"/>
          <w:vanish/>
          <w:specVanish/>
        </w:rPr>
      </w:pPr>
      <w:bookmarkStart w:name="_Toc212473045" w:id="236"/>
      <w:bookmarkStart w:name="_Toc227840734" w:id="237"/>
      <w:r w:rsidRPr="000D0722">
        <w:rPr>
          <w:rFonts w:ascii="Arial" w:hAnsi="Arial" w:cs="Arial"/>
        </w:rPr>
        <w:t>Duty to Mitigate.</w:t>
      </w:r>
      <w:bookmarkEnd w:id="236"/>
      <w:bookmarkEnd w:id="237"/>
    </w:p>
    <w:p w:rsidRPr="000057B0" w:rsidR="007C2163" w:rsidP="000D0722" w:rsidRDefault="007C2163" w14:paraId="24CB4D4D" w14:textId="25BB448A">
      <w:pPr>
        <w:pStyle w:val="zGNormal"/>
        <w:spacing w:before="120" w:after="120"/>
      </w:pPr>
      <w:r>
        <w:t xml:space="preserve"> Despite any other provision of this PPA, each Party must: (i) mitigate damages; and (ii) use commercially reasonable efforts to minimize any damages it may incur because of the other Party’s performance or non-performance.</w:t>
      </w:r>
    </w:p>
    <w:p w:rsidRPr="000057B0" w:rsidR="007C2163" w:rsidP="0012406B" w:rsidRDefault="009149A3" w14:paraId="266146C9" w14:textId="775BAEA8">
      <w:pPr>
        <w:pStyle w:val="zGTC01"/>
      </w:pPr>
      <w:bookmarkStart w:name="_Toc212473046" w:id="238"/>
      <w:bookmarkStart w:name="_Toc227840735" w:id="239"/>
      <w:r>
        <w:t>Compliance with Laws</w:t>
      </w:r>
      <w:bookmarkEnd w:id="238"/>
      <w:bookmarkEnd w:id="239"/>
    </w:p>
    <w:p w:rsidRPr="000057B0" w:rsidR="007C2163" w:rsidP="00AE6903" w:rsidRDefault="007C2163" w14:paraId="7CE54F41" w14:textId="77777777">
      <w:pPr>
        <w:pStyle w:val="zGTC02"/>
        <w:keepNext/>
        <w:rPr>
          <w:rFonts w:ascii="Arial" w:hAnsi="Arial" w:eastAsia="PMingLiU" w:cs="Arial"/>
          <w:vanish/>
          <w:szCs w:val="20"/>
          <w:specVanish/>
        </w:rPr>
      </w:pPr>
      <w:bookmarkStart w:name="_Toc212473047" w:id="240"/>
      <w:bookmarkStart w:name="_Toc227840736" w:id="241"/>
      <w:r>
        <w:rPr>
          <w:rFonts w:ascii="Arial" w:hAnsi="Arial" w:cs="Arial"/>
          <w:szCs w:val="20"/>
        </w:rPr>
        <w:t>New GHG Law.</w:t>
      </w:r>
      <w:bookmarkEnd w:id="240"/>
      <w:bookmarkEnd w:id="241"/>
    </w:p>
    <w:p w:rsidRPr="000057B0" w:rsidR="007C2163" w:rsidP="007C2163" w:rsidRDefault="007C2163" w14:paraId="041E6056" w14:textId="77777777">
      <w:pPr>
        <w:pStyle w:val="zGTC02"/>
        <w:numPr>
          <w:ilvl w:val="0"/>
          <w:numId w:val="0"/>
        </w:numPr>
        <w:rPr>
          <w:rFonts w:ascii="Arial" w:hAnsi="Arial" w:cs="Arial"/>
          <w:szCs w:val="20"/>
        </w:rPr>
      </w:pPr>
    </w:p>
    <w:p w:rsidRPr="000057B0" w:rsidR="007C2163" w:rsidP="007C2163" w:rsidRDefault="00703C81" w14:paraId="1C627020" w14:textId="0CD4EF6C">
      <w:pPr>
        <w:pStyle w:val="zGTC03"/>
      </w:pPr>
      <w:r>
        <w:rPr>
          <w:b/>
        </w:rPr>
        <w:t xml:space="preserve">Reimbursement and Use of Credits. </w:t>
      </w:r>
      <w:r>
        <w:t>If a Governmental Authority enacts a New GHG Law, GPC will reimburse Seller for the required GHG Charges Seller paid under the New GHG Law for Greenhouse Gas emitted due to the Facility producing and delivering energy in accordance with GPC Schedule</w:t>
      </w:r>
      <w:r w:rsidR="00011F11">
        <w:t>s</w:t>
      </w:r>
      <w:r>
        <w:t>. Seller must use GHG Credits, if any, to avoid or mitigate the GHG Charges in accordance with Section 17.1.3 (</w:t>
      </w:r>
      <w:r>
        <w:rPr>
          <w:i/>
        </w:rPr>
        <w:t>Mitigation</w:t>
      </w:r>
      <w:r>
        <w:t>). Despite the preceding sentences, GPC will not be responsible for GHG Charges associated with: (i) Greenhouse Gas emissions that exceed the GHG Cap</w:t>
      </w:r>
      <w:r w:rsidR="00B60792">
        <w:t xml:space="preserve">, </w:t>
      </w:r>
      <w:r w:rsidRPr="00EB733A" w:rsidR="00EB733A">
        <w:t xml:space="preserve">unless the excess emissions are the result of operating the </w:t>
      </w:r>
      <w:r w:rsidR="002123DD">
        <w:t>u</w:t>
      </w:r>
      <w:r w:rsidRPr="00EB733A" w:rsidR="00EB733A">
        <w:t>nit as required by order of a Governmental Authority exercising emergency authority, including an order under Section 202(c) of the Federal Power Act</w:t>
      </w:r>
      <w:r>
        <w:t>; or (ii) the operation of the Facility other than in accordance with GPC-issued Schedule Instructions.</w:t>
      </w:r>
    </w:p>
    <w:p w:rsidRPr="000057B0" w:rsidR="007C2163" w:rsidP="007C2163" w:rsidRDefault="004923A6" w14:paraId="07744DE6" w14:textId="34E45E5A">
      <w:pPr>
        <w:pStyle w:val="zGTC03"/>
      </w:pPr>
      <w:r>
        <w:rPr>
          <w:b/>
        </w:rPr>
        <w:t>Conditions for Reimbursement.</w:t>
      </w:r>
      <w:r>
        <w:t xml:space="preserve"> As a condition to GPC’s obligation to reimburse Seller for GHG Charges under Section 17.1.1 (</w:t>
      </w:r>
      <w:r>
        <w:rPr>
          <w:i/>
        </w:rPr>
        <w:t>Reimbursement and Use of Credits</w:t>
      </w:r>
      <w:r>
        <w:t>), Seller must submit to GPC documentation, to GPC’s reasonable satisfaction, of the GHG Charges that establishes: (i) the GHG Charges; (ii) Seller is responsible for the payment of the GHG Charges to a Governmental Authority in whose jurisdiction the Facility is located or that otherwise has jurisdiction over Seller or the Facility, and Seller has paid the GHG Charges to the Governmental Authority; (iii) Seller incurred GHG Charges for Greenhouse Gas emitted due to the Facility producing and delivering energy in accordance with GPC-issued Scheduling Instructions; and (iv) Seller took all reasonable steps to mitigate the cost or such GHG Charges, including utilizing GHG Credits in accordance with Section 17.1.3 (</w:t>
      </w:r>
      <w:r>
        <w:rPr>
          <w:i/>
        </w:rPr>
        <w:t>Mitigation</w:t>
      </w:r>
      <w:r>
        <w:t>) but expressly excluding any obligation for Seller to incur capital or operational costs to mitigate such costs or GHG Charges.</w:t>
      </w:r>
    </w:p>
    <w:p w:rsidRPr="000057B0" w:rsidR="007C2163" w:rsidP="007C2163" w:rsidRDefault="00B75360" w14:paraId="13DD34F8" w14:textId="339D91E4">
      <w:pPr>
        <w:pStyle w:val="zGTC03"/>
      </w:pPr>
      <w:r>
        <w:rPr>
          <w:b/>
        </w:rPr>
        <w:t>Mitigation.</w:t>
      </w:r>
      <w:r>
        <w:t xml:space="preserve"> Seller must use GHG Credits allocated to or for the Facility, or otherwise granted to or received by Seller for the Facility, to avoid or mitigate GHG Charges otherwise reimbursable by GPC under Section 17.1.1 (</w:t>
      </w:r>
      <w:r>
        <w:rPr>
          <w:i/>
        </w:rPr>
        <w:t>Reimbursement and Use of Credits</w:t>
      </w:r>
      <w:r>
        <w:t>). If Seller is allocated, issued, or has the right to obtain GHG Credits, from the same Governmental Authority allocating, issuing, or providing the right to obtain for the Facility, for a portion of, or its entire fleet of, generating units, Seller must, at no cost to GPC, utilize a proportion of the GHG Credits to mitigate the GHG Charges otherwise reimbursable by GPC under Section 17.1.1. For purposes of this Section 17.1.3 (</w:t>
      </w:r>
      <w:r>
        <w:rPr>
          <w:i/>
          <w:iCs/>
        </w:rPr>
        <w:t>Mitigation</w:t>
      </w:r>
      <w:r>
        <w:t>), all references to “Seller” will be deemed to include Seller’s Affiliates or other entity to which GHG Credits may be or have been allocated to or given rights to obtain for the Facility. The proportion of GHG Credits will be calculated based on the method, formula, or other similar calculation by which the Governmental Authority used to determine such GHG Credits attributable to each generating unit compared to the sum of all GHG Credits for all Seller’s generating units. As a condition to GPC’s obligation to reimburse Seller for GHG Charges under Section 17.1.1, Seller must provide GPC with all information reasonably requested by GPC to document GHG Credits and Seller’s compliance with this Section 17.1.3.</w:t>
      </w:r>
    </w:p>
    <w:p w:rsidRPr="000057B0" w:rsidR="007C2163" w:rsidP="007C2163" w:rsidRDefault="000F3684" w14:paraId="2845BB5A" w14:textId="6339AEF3">
      <w:pPr>
        <w:pStyle w:val="zGTC03"/>
      </w:pPr>
      <w:r>
        <w:rPr>
          <w:b/>
        </w:rPr>
        <w:t>Alternate Resource GHG Charges.</w:t>
      </w:r>
      <w:r>
        <w:t xml:space="preserve"> GPC will be required to reimburse Seller for GHG Charges associated with an Alternate Resource (including any energy produced by or fuel utilized by that Alternate Resource), but in no event will GPC be obligated to reimburse any amount in respect thereof in excess of the GHG Charges that would have been incurred had the </w:t>
      </w:r>
      <w:r w:rsidR="002123DD">
        <w:t>u</w:t>
      </w:r>
      <w:r>
        <w:t>nit, rather than the Alternate Resource, been operating at the relevant time.</w:t>
      </w:r>
    </w:p>
    <w:p w:rsidRPr="000057B0" w:rsidR="007C2163" w:rsidP="007C2163" w:rsidRDefault="004807D7" w14:paraId="16313A73" w14:textId="5B996E82">
      <w:pPr>
        <w:pStyle w:val="zGTC03"/>
      </w:pPr>
      <w:r>
        <w:rPr>
          <w:b/>
        </w:rPr>
        <w:t xml:space="preserve">Transfer of Rights. </w:t>
      </w:r>
      <w:r>
        <w:t>Seller must not transfer or provide any other Person rights regarding GHG Credits that Seller is required to use to mitigate GHG Charges under Section 17.1.3 (</w:t>
      </w:r>
      <w:r>
        <w:rPr>
          <w:i/>
        </w:rPr>
        <w:t>Mitigation</w:t>
      </w:r>
      <w:r>
        <w:t xml:space="preserve">). If and to </w:t>
      </w:r>
      <w:r>
        <w:lastRenderedPageBreak/>
        <w:t>the extent that any GHG Credits for a calendar year addressed by Section 17.1.3 exceed those required for the production of energy by the Facility to satisfy GPC’s Schedules for a calendar year, then, upon request by GPC and as permitted by applicable laws, Seller must transfer to GPC the GHG Credits at no additional cost to GPC.</w:t>
      </w:r>
    </w:p>
    <w:p w:rsidRPr="000057B0" w:rsidR="007C2163" w:rsidP="007C2163" w:rsidRDefault="007C2163" w14:paraId="799BFD94" w14:textId="72689474">
      <w:pPr>
        <w:pStyle w:val="zGTC02"/>
        <w:rPr>
          <w:rFonts w:ascii="Arial" w:hAnsi="Arial" w:eastAsia="PMingLiU" w:cs="Arial"/>
          <w:vanish/>
          <w:szCs w:val="20"/>
          <w:specVanish/>
        </w:rPr>
      </w:pPr>
      <w:bookmarkStart w:name="_Toc212473048" w:id="242"/>
      <w:bookmarkStart w:name="_Toc227840737" w:id="243"/>
      <w:r>
        <w:rPr>
          <w:rFonts w:ascii="Arial" w:hAnsi="Arial" w:cs="Arial"/>
          <w:szCs w:val="20"/>
        </w:rPr>
        <w:t>Change of Law.</w:t>
      </w:r>
      <w:bookmarkEnd w:id="242"/>
      <w:bookmarkEnd w:id="243"/>
    </w:p>
    <w:p w:rsidRPr="000057B0" w:rsidR="007C2163" w:rsidP="00657E7E" w:rsidRDefault="00657E7E" w14:paraId="0A2E8FE2" w14:textId="4D41C2EF">
      <w:pPr>
        <w:pStyle w:val="zGTC03"/>
        <w:numPr>
          <w:ilvl w:val="0"/>
          <w:numId w:val="0"/>
        </w:numPr>
      </w:pPr>
      <w:r>
        <w:rPr>
          <w:b/>
          <w:bCs/>
          <w:w w:val="0"/>
        </w:rPr>
        <w:t xml:space="preserve"> </w:t>
      </w:r>
      <w:r w:rsidRPr="00F9044B" w:rsidR="00724F60">
        <w:t>If a Change of Law occurs, Seller may request to recover Excess Expenditures as described in this Section 17.</w:t>
      </w:r>
      <w:r w:rsidR="00724F60">
        <w:t>2</w:t>
      </w:r>
      <w:r w:rsidRPr="00F9044B" w:rsidR="00724F60">
        <w:t xml:space="preserve"> (</w:t>
      </w:r>
      <w:r w:rsidRPr="00F9044B" w:rsidR="00724F60">
        <w:rPr>
          <w:i/>
          <w:iCs/>
        </w:rPr>
        <w:t>Change of Law</w:t>
      </w:r>
      <w:r w:rsidRPr="00F9044B" w:rsidR="00724F60">
        <w:t>).</w:t>
      </w:r>
      <w:r w:rsidRPr="008B27D1" w:rsidR="008B27D1">
        <w:rPr>
          <w:rFonts w:eastAsiaTheme="minorEastAsia"/>
        </w:rPr>
        <w:t xml:space="preserve"> </w:t>
      </w:r>
      <w:r w:rsidRPr="00341121" w:rsidR="008B27D1">
        <w:rPr>
          <w:rFonts w:eastAsiaTheme="minorEastAsia"/>
        </w:rPr>
        <w:t xml:space="preserve">Except as described in this </w:t>
      </w:r>
      <w:r w:rsidRPr="00FC4F37" w:rsidR="008B27D1">
        <w:rPr>
          <w:rFonts w:eastAsiaTheme="minorEastAsia"/>
        </w:rPr>
        <w:t>Section 17.2</w:t>
      </w:r>
      <w:r w:rsidRPr="00FC4F37" w:rsidR="00F60815">
        <w:t xml:space="preserve"> (</w:t>
      </w:r>
      <w:r w:rsidRPr="00FC4F37" w:rsidR="00F60815">
        <w:rPr>
          <w:i/>
        </w:rPr>
        <w:t>Change of Law</w:t>
      </w:r>
      <w:r w:rsidRPr="00FC4F37" w:rsidR="00F60815">
        <w:t>)</w:t>
      </w:r>
      <w:r w:rsidRPr="00341121" w:rsidR="008B27D1">
        <w:rPr>
          <w:rFonts w:eastAsiaTheme="minorEastAsia"/>
        </w:rPr>
        <w:t>, Seller is not entitled to any PPA modification due to any Change of Law.</w:t>
      </w:r>
      <w:r w:rsidRPr="00F61203" w:rsidR="00F61203">
        <w:t xml:space="preserve"> </w:t>
      </w:r>
      <w:r w:rsidRPr="00F61203" w:rsidR="00F61203">
        <w:rPr>
          <w:rFonts w:eastAsiaTheme="minorEastAsia"/>
        </w:rPr>
        <w:t xml:space="preserve">For the avoidance of doubt, no Change of Law relieves Seller of its obligations to comply with this PPA and applicable law, and Seller’s sole relief, if any, is limited to the remedies expressly set forth in </w:t>
      </w:r>
      <w:r w:rsidR="00150328">
        <w:rPr>
          <w:rFonts w:eastAsiaTheme="minorEastAsia"/>
        </w:rPr>
        <w:t>Section 17.1</w:t>
      </w:r>
      <w:r w:rsidR="00C836AB">
        <w:rPr>
          <w:rFonts w:eastAsiaTheme="minorEastAsia"/>
        </w:rPr>
        <w:t xml:space="preserve"> (</w:t>
      </w:r>
      <w:r w:rsidRPr="00C836AB" w:rsidR="00C836AB">
        <w:rPr>
          <w:rFonts w:eastAsiaTheme="minorEastAsia"/>
          <w:i/>
          <w:iCs/>
        </w:rPr>
        <w:t>New GHG Law</w:t>
      </w:r>
      <w:r w:rsidR="00C836AB">
        <w:rPr>
          <w:rFonts w:eastAsiaTheme="minorEastAsia"/>
        </w:rPr>
        <w:t xml:space="preserve">) and </w:t>
      </w:r>
      <w:r w:rsidRPr="00F61203" w:rsidR="00F61203">
        <w:rPr>
          <w:rFonts w:eastAsiaTheme="minorEastAsia"/>
        </w:rPr>
        <w:t xml:space="preserve">this </w:t>
      </w:r>
      <w:r w:rsidRPr="00FC4F37" w:rsidR="00F61203">
        <w:rPr>
          <w:rFonts w:eastAsiaTheme="minorEastAsia"/>
        </w:rPr>
        <w:t xml:space="preserve">Section </w:t>
      </w:r>
      <w:r w:rsidRPr="00FC4F37" w:rsidR="007B618B">
        <w:rPr>
          <w:rFonts w:eastAsiaTheme="minorEastAsia"/>
        </w:rPr>
        <w:t>17.2</w:t>
      </w:r>
      <w:r>
        <w:t>.</w:t>
      </w:r>
    </w:p>
    <w:p w:rsidRPr="000057B0" w:rsidR="007C2163" w:rsidP="007C2163" w:rsidRDefault="00B9291F" w14:paraId="37528C72" w14:textId="0E28F175">
      <w:pPr>
        <w:pStyle w:val="zGTC03"/>
      </w:pPr>
      <w:r>
        <w:rPr>
          <w:b/>
        </w:rPr>
        <w:t xml:space="preserve">Notice and Periodic Updates. </w:t>
      </w:r>
      <w:r w:rsidRPr="00C660EF" w:rsidR="00C660EF">
        <w:rPr>
          <w:rFonts w:eastAsiaTheme="minorEastAsia"/>
        </w:rPr>
        <w:t xml:space="preserve"> </w:t>
      </w:r>
      <w:r w:rsidRPr="00341121" w:rsidR="00C660EF">
        <w:rPr>
          <w:rFonts w:eastAsiaTheme="minorEastAsia"/>
        </w:rPr>
        <w:t>If Seller expects, or should reasonably expect, to incur any Change of Law Expenditures (including amounts less than the Threshold Amount), Seller must</w:t>
      </w:r>
      <w:r w:rsidRPr="00341121" w:rsidDel="00D74A7B" w:rsidR="00C660EF">
        <w:rPr>
          <w:rFonts w:eastAsiaTheme="minorEastAsia"/>
        </w:rPr>
        <w:t xml:space="preserve"> </w:t>
      </w:r>
      <w:r w:rsidRPr="00341121" w:rsidR="00C660EF">
        <w:rPr>
          <w:rFonts w:eastAsiaTheme="minorEastAsia"/>
        </w:rPr>
        <w:t xml:space="preserve">notify GPC through a Change of Law Notice by no later than </w:t>
      </w:r>
      <w:r w:rsidRPr="001A0A92" w:rsidR="00C660EF">
        <w:rPr>
          <w:rFonts w:eastAsiaTheme="minorEastAsia"/>
        </w:rPr>
        <w:t>45</w:t>
      </w:r>
      <w:r w:rsidRPr="00341121" w:rsidR="00C660EF">
        <w:rPr>
          <w:rFonts w:eastAsiaTheme="minorEastAsia"/>
        </w:rPr>
        <w:t xml:space="preserve"> Days after the enactment of the applicable Change of Law. The Change of Law Notice must include: (i) a description of Change of Law; (ii) Seller’s preliminary plan to comply with the Change of Law (including any additional or different Facility equipment or other modification of the Facility required to comply with the Change of Law); (iii) identification of the categories of costs or losses Seller will incur because of the Change of Law; and (iv) a good faith preliminary estimate of Change </w:t>
      </w:r>
      <w:r w:rsidR="00BC50A2">
        <w:rPr>
          <w:rFonts w:eastAsiaTheme="minorEastAsia"/>
        </w:rPr>
        <w:t>of</w:t>
      </w:r>
      <w:r w:rsidRPr="00341121" w:rsidR="00C660EF">
        <w:rPr>
          <w:rFonts w:eastAsiaTheme="minorEastAsia"/>
        </w:rPr>
        <w:t xml:space="preserve"> Law Expenditures with supporting documentation.</w:t>
      </w:r>
      <w:r w:rsidRPr="00341121" w:rsidDel="00484EA7" w:rsidR="00C660EF">
        <w:rPr>
          <w:rFonts w:eastAsiaTheme="minorEastAsia"/>
        </w:rPr>
        <w:t xml:space="preserve"> </w:t>
      </w:r>
      <w:r w:rsidRPr="00341121" w:rsidR="00C660EF">
        <w:rPr>
          <w:rFonts w:eastAsiaTheme="minorEastAsia"/>
        </w:rPr>
        <w:t>Seller must provide GPC with periodic updates regarding Seller’s compliance plan and Change of Law Expenditures and any other information GPC reasonably requests</w:t>
      </w:r>
      <w:r>
        <w:t>.</w:t>
      </w:r>
    </w:p>
    <w:p w:rsidRPr="00EF5855" w:rsidR="008C36E2" w:rsidP="008C36E2" w:rsidRDefault="00DD6907" w14:paraId="1B5D376A" w14:textId="07C55B9F">
      <w:pPr>
        <w:pStyle w:val="zGTC03"/>
      </w:pPr>
      <w:r>
        <w:rPr>
          <w:b/>
        </w:rPr>
        <w:t>Threshold Amount; Excess Expenditures Notice</w:t>
      </w:r>
      <w:r w:rsidR="009F0874">
        <w:rPr>
          <w:b/>
        </w:rPr>
        <w:t>.</w:t>
      </w:r>
      <w:r w:rsidRPr="00DD6907">
        <w:rPr>
          <w:rFonts w:eastAsiaTheme="minorEastAsia"/>
        </w:rPr>
        <w:t xml:space="preserve"> </w:t>
      </w:r>
      <w:r w:rsidRPr="00341121">
        <w:rPr>
          <w:rFonts w:eastAsiaTheme="minorEastAsia"/>
        </w:rPr>
        <w:t xml:space="preserve">The Threshold Amount applies to each Change of Law and will not be aggregated if one of more Changes of Law occur during the Term. Seller is not entitled to any PPA modification unless Seller will incur Excess Expenditures for the applicable Change of Law, which must be substantiated in accordance with this </w:t>
      </w:r>
      <w:r w:rsidRPr="00F37383">
        <w:rPr>
          <w:rFonts w:eastAsiaTheme="minorEastAsia"/>
        </w:rPr>
        <w:t>Section 17.</w:t>
      </w:r>
      <w:r w:rsidRPr="00F37383" w:rsidR="0003372A">
        <w:rPr>
          <w:rFonts w:eastAsiaTheme="minorEastAsia"/>
        </w:rPr>
        <w:t>2</w:t>
      </w:r>
      <w:r w:rsidRPr="00F37383">
        <w:rPr>
          <w:rFonts w:eastAsiaTheme="minorEastAsia"/>
        </w:rPr>
        <w:t xml:space="preserve"> (</w:t>
      </w:r>
      <w:r w:rsidRPr="00F37383">
        <w:rPr>
          <w:rFonts w:eastAsiaTheme="minorEastAsia"/>
          <w:i/>
        </w:rPr>
        <w:t>Change of Law</w:t>
      </w:r>
      <w:r w:rsidRPr="00F37383">
        <w:rPr>
          <w:rFonts w:eastAsiaTheme="minorEastAsia"/>
        </w:rPr>
        <w:t>)</w:t>
      </w:r>
      <w:r w:rsidRPr="00341121">
        <w:rPr>
          <w:rFonts w:eastAsiaTheme="minorEastAsia"/>
        </w:rPr>
        <w:t xml:space="preserve">. If a Change </w:t>
      </w:r>
      <w:r w:rsidR="00BC50A2">
        <w:rPr>
          <w:rFonts w:eastAsiaTheme="minorEastAsia"/>
        </w:rPr>
        <w:t>of</w:t>
      </w:r>
      <w:r w:rsidRPr="00341121">
        <w:rPr>
          <w:rFonts w:eastAsiaTheme="minorEastAsia"/>
        </w:rPr>
        <w:t xml:space="preserve"> Law will cause Seller to incur Excess Expenditures, and Seller provided a Change of Law Notice in accordance with </w:t>
      </w:r>
      <w:r w:rsidRPr="00F37383">
        <w:rPr>
          <w:rFonts w:eastAsiaTheme="minorEastAsia"/>
        </w:rPr>
        <w:t>Section 17.</w:t>
      </w:r>
      <w:r w:rsidRPr="00F37383" w:rsidR="0003372A">
        <w:rPr>
          <w:rFonts w:eastAsiaTheme="minorEastAsia"/>
        </w:rPr>
        <w:t>2</w:t>
      </w:r>
      <w:r w:rsidRPr="00F37383">
        <w:rPr>
          <w:rFonts w:eastAsiaTheme="minorEastAsia"/>
        </w:rPr>
        <w:t>.1 (</w:t>
      </w:r>
      <w:r w:rsidRPr="00F37383">
        <w:rPr>
          <w:rFonts w:eastAsiaTheme="minorEastAsia"/>
          <w:i/>
        </w:rPr>
        <w:t>Notice and Periodic Updates</w:t>
      </w:r>
      <w:r w:rsidRPr="00F37383">
        <w:rPr>
          <w:rFonts w:eastAsiaTheme="minorEastAsia"/>
        </w:rPr>
        <w:t>)</w:t>
      </w:r>
      <w:r w:rsidRPr="00341121">
        <w:rPr>
          <w:rFonts w:eastAsiaTheme="minorEastAsia"/>
        </w:rPr>
        <w:t xml:space="preserve">, Seller may request recovery of Excess Expenditures by delivering an Excess Expenditures Notice to GPC by no later than </w:t>
      </w:r>
      <w:r w:rsidRPr="00847B96">
        <w:rPr>
          <w:rFonts w:eastAsiaTheme="minorEastAsia"/>
          <w:shd w:val="clear" w:color="auto" w:fill="FFFFFF" w:themeFill="background1"/>
        </w:rPr>
        <w:t>90</w:t>
      </w:r>
      <w:r w:rsidRPr="00341121">
        <w:rPr>
          <w:rFonts w:eastAsiaTheme="minorEastAsia"/>
        </w:rPr>
        <w:t xml:space="preserve"> Days after the enactment of the Change of Law. </w:t>
      </w:r>
      <w:r w:rsidRPr="00B50BA8" w:rsidR="00353A92">
        <w:rPr>
          <w:rFonts w:eastAsiaTheme="minorEastAsia"/>
        </w:rPr>
        <w:t xml:space="preserve">If Seller reasonably determines that additional time is required to prepare an Excess Expenditures Notice, Seller may request an extension by notice to </w:t>
      </w:r>
      <w:r w:rsidR="00353A92">
        <w:rPr>
          <w:rFonts w:eastAsiaTheme="minorEastAsia"/>
        </w:rPr>
        <w:t>GPC</w:t>
      </w:r>
      <w:r w:rsidRPr="00B50BA8" w:rsidR="00353A92">
        <w:rPr>
          <w:rFonts w:eastAsiaTheme="minorEastAsia"/>
        </w:rPr>
        <w:t xml:space="preserve"> delivered before expiration of </w:t>
      </w:r>
      <w:r w:rsidR="00353A92">
        <w:rPr>
          <w:rFonts w:eastAsiaTheme="minorEastAsia"/>
        </w:rPr>
        <w:t>the</w:t>
      </w:r>
      <w:r w:rsidRPr="00B50BA8" w:rsidR="00353A92">
        <w:rPr>
          <w:rFonts w:eastAsiaTheme="minorEastAsia"/>
        </w:rPr>
        <w:t xml:space="preserve"> deadline. The </w:t>
      </w:r>
      <w:r w:rsidR="00353A92">
        <w:rPr>
          <w:rFonts w:eastAsiaTheme="minorEastAsia"/>
        </w:rPr>
        <w:t xml:space="preserve">extension </w:t>
      </w:r>
      <w:r w:rsidRPr="00B50BA8" w:rsidR="00353A92">
        <w:rPr>
          <w:rFonts w:eastAsiaTheme="minorEastAsia"/>
        </w:rPr>
        <w:t xml:space="preserve">request must describe in reasonable detail the basis for the request and the additional time reasonably needed. If </w:t>
      </w:r>
      <w:r w:rsidR="00353A92">
        <w:rPr>
          <w:rFonts w:eastAsiaTheme="minorEastAsia"/>
        </w:rPr>
        <w:t>GPC</w:t>
      </w:r>
      <w:r w:rsidRPr="00B50BA8" w:rsidR="00353A92">
        <w:rPr>
          <w:rFonts w:eastAsiaTheme="minorEastAsia"/>
        </w:rPr>
        <w:t xml:space="preserve"> approves the request, the deadline will be extended for the period approved by </w:t>
      </w:r>
      <w:r w:rsidR="00353A92">
        <w:rPr>
          <w:rFonts w:eastAsiaTheme="minorEastAsia"/>
        </w:rPr>
        <w:t>GPC</w:t>
      </w:r>
      <w:r w:rsidRPr="00B50BA8" w:rsidR="00353A92">
        <w:rPr>
          <w:rFonts w:eastAsiaTheme="minorEastAsia"/>
        </w:rPr>
        <w:t>.</w:t>
      </w:r>
      <w:r w:rsidR="00353A92">
        <w:rPr>
          <w:rFonts w:eastAsiaTheme="minorEastAsia"/>
        </w:rPr>
        <w:t xml:space="preserve"> </w:t>
      </w:r>
      <w:r w:rsidRPr="00341121">
        <w:rPr>
          <w:rFonts w:eastAsiaTheme="minorEastAsia"/>
        </w:rPr>
        <w:t>Seller may also propose Operational Alternatives</w:t>
      </w:r>
      <w:r w:rsidR="00FB0E0B">
        <w:rPr>
          <w:rFonts w:eastAsiaTheme="minorEastAsia"/>
        </w:rPr>
        <w:t xml:space="preserve"> in its Excess Expenditures Notice</w:t>
      </w:r>
      <w:r w:rsidRPr="00341121">
        <w:rPr>
          <w:rFonts w:eastAsiaTheme="minorEastAsia"/>
        </w:rPr>
        <w:t xml:space="preserve">. The Excess Expenditures Notice must include all information and documentation necessary for GPC to validate Change of Law Expenditures or Operational Alternatives, including: (i) evidence that the Change of Law applies to the Facility and will cause Seller to incur Change of Law Expenditures that Seller would not have incurred but for the Change of Law; (ii) Seller’s final plan to comply with the Change of Law (including any additional or different Facility equipment or other modification of the Facility required to comply with the Change of Law); (ii) identification of the categories of costs or losses Seller will incur because of the Change of Law; (iv) a reasonable and good faith estimate of Change </w:t>
      </w:r>
      <w:r w:rsidR="00BC50A2">
        <w:rPr>
          <w:rFonts w:eastAsiaTheme="minorEastAsia"/>
        </w:rPr>
        <w:t>of</w:t>
      </w:r>
      <w:r w:rsidRPr="00341121">
        <w:rPr>
          <w:rFonts w:eastAsiaTheme="minorEastAsia"/>
        </w:rPr>
        <w:t xml:space="preserve"> Law Expenditures with detail and supporting documentation; and (v) Seller’s proposed adjustment to the Annual Capacity Price, with supporting calculations. Seller’s Excess Expenditures Notice must also include the following information, as applicable:</w:t>
      </w:r>
    </w:p>
    <w:p w:rsidR="000A0DA3" w:rsidP="000A0DA3" w:rsidRDefault="000A0DA3" w14:paraId="140D68E8" w14:textId="77777777">
      <w:pPr>
        <w:pStyle w:val="zGTC04"/>
        <w:spacing w:after="0"/>
      </w:pPr>
      <w:r w:rsidRPr="00341121">
        <w:t>Any Initial Capital Expenditures Notice must include: (A) a detailed description of the addition, modification, or other capital work required to comply with the Change of Law, including the scope of work and the key technical and operational assumptions; (B) an itemized list of the capital expenditures and the expected in-service date(s), including supporting documentation (e.g., vendor quotes, invoices, purchase orders, construction contracts, and change orders); (C) identification and substantiation of Seller’s baseline assumptions and costs before the Change of Law and a calculation of the incremental capital expenditures attributable to the Change of Law; and (D) a schedule for engineering, procurement, and construction (including any material milestones) and identification of any material project risks that could affect cost or timing.</w:t>
      </w:r>
      <w:r>
        <w:t xml:space="preserve"> </w:t>
      </w:r>
    </w:p>
    <w:p w:rsidR="000A0DA3" w:rsidP="000A0DA3" w:rsidRDefault="000A0DA3" w14:paraId="617E4FA4" w14:textId="5FE70361">
      <w:pPr>
        <w:pStyle w:val="zGTC04"/>
        <w:spacing w:after="0"/>
      </w:pPr>
      <w:r w:rsidRPr="00341121">
        <w:t xml:space="preserve">Any Initial Tariff Notice must: (A) identify the applicable </w:t>
      </w:r>
      <w:r w:rsidR="00FB0E0B">
        <w:t>Tariff</w:t>
      </w:r>
      <w:r w:rsidRPr="00341121">
        <w:t xml:space="preserve">; (B) provide evidence that the </w:t>
      </w:r>
      <w:r w:rsidR="00FB0E0B">
        <w:t>Tariff</w:t>
      </w:r>
      <w:r w:rsidRPr="00341121">
        <w:t xml:space="preserve"> applies to the Facility; (C) identify the incremental cost to Seller, including identification and substantiation of Seller’s baseline cost before the Change of Law; and (D) include applicable vendor and governmental authority documentation.</w:t>
      </w:r>
      <w:r>
        <w:t xml:space="preserve"> </w:t>
      </w:r>
    </w:p>
    <w:p w:rsidR="000A0DA3" w:rsidP="000A0DA3" w:rsidRDefault="000A0DA3" w14:paraId="45C22BBB" w14:textId="3C799175">
      <w:pPr>
        <w:pStyle w:val="zGTC04"/>
        <w:spacing w:after="0"/>
      </w:pPr>
      <w:r w:rsidRPr="00341121">
        <w:t xml:space="preserve">For any Excess Expenditures resulting from changes in applicable Taxes, the Excess Expenditures Notice must: (A) identify the applicable Tax; (B) evidence that the change in Taxes </w:t>
      </w:r>
      <w:r w:rsidRPr="00341121">
        <w:lastRenderedPageBreak/>
        <w:t>apply directly to the Facility; (C) identify the incremental increase in Taxes, including identification and substantiation of Seller’s baseline Taxes assumptions before the Change of Law; and (D) include a written certification from an independent accounting firm certifying that the claimed loss is accurate.</w:t>
      </w:r>
      <w:r>
        <w:t xml:space="preserve"> </w:t>
      </w:r>
    </w:p>
    <w:p w:rsidRPr="006B2D70" w:rsidR="000A0DA3" w:rsidP="000A0DA3" w:rsidRDefault="000A0DA3" w14:paraId="45148704" w14:textId="1ECDFA97">
      <w:pPr>
        <w:pStyle w:val="zGTC04"/>
        <w:spacing w:after="0"/>
      </w:pPr>
      <w:r w:rsidRPr="006B2D70">
        <w:rPr>
          <w:bCs/>
        </w:rPr>
        <w:t xml:space="preserve">For any Excess Expenditures comprised of additional Facility operating costs, the Excess Expenditures Notice must: (A) include a detailed explanation of the Change of Law’s impact on Facility operations and operating assumptions; (B) identify the incremental operating costs Seller will incur; (D) include any applicable contracts, invoices, and other documentation; and (E) include supporting calculations. </w:t>
      </w:r>
    </w:p>
    <w:p w:rsidRPr="006E0A0D" w:rsidR="000A0DA3" w:rsidP="00870063" w:rsidRDefault="000A0DA3" w14:paraId="3F8C7560" w14:textId="7F69FD40">
      <w:pPr>
        <w:pStyle w:val="zGNormal"/>
        <w:spacing w:before="120"/>
        <w:ind w:left="720"/>
      </w:pPr>
      <w:r w:rsidRPr="00155A55">
        <w:t xml:space="preserve">The Excess Expenditures Notice must demonstrate that: (a) Seller’s proposed plan for complying with the Change of Law is reasonable and conforms with Prudent Industry Practices; and (b) all Excess Expenditures are reasonable, consistent with Prudent Industry Practices, required for compliance with the Change of Law, and otherwise comply with this </w:t>
      </w:r>
      <w:r w:rsidRPr="00F37383">
        <w:t>Section 17.2 (</w:t>
      </w:r>
      <w:r w:rsidRPr="00F37383">
        <w:rPr>
          <w:i/>
        </w:rPr>
        <w:t>Change of Law</w:t>
      </w:r>
      <w:r w:rsidRPr="00F37383">
        <w:t>)</w:t>
      </w:r>
      <w:r w:rsidRPr="00155A55">
        <w:t xml:space="preserve">. In response to any Excess Expenditures Notice, GPC may request, and Seller must provide, any additional information or documentation reasonably necessary for GPC to evaluate and validate Excess Expenditures. If Seller fails to timely deliver any required notice, supporting information, certification, or other substantiation required under this </w:t>
      </w:r>
      <w:r w:rsidRPr="00F37383">
        <w:t>Section 17.2</w:t>
      </w:r>
      <w:r w:rsidRPr="00155A55">
        <w:t xml:space="preserve">, Seller will be deemed to have waived and released any claim to recover the applicable Excess Expenditures and any related right or entitlement arising from the applicable Change </w:t>
      </w:r>
      <w:r w:rsidR="00BC50A2">
        <w:t>of</w:t>
      </w:r>
      <w:r w:rsidRPr="00155A55">
        <w:t xml:space="preserve"> Law. GPC will have no obligation to consider, approve, or pay any untimely or unsupported claim.</w:t>
      </w:r>
    </w:p>
    <w:p w:rsidR="000B520D" w:rsidP="001C2CEB" w:rsidRDefault="000B520D" w14:paraId="19002C3F" w14:textId="06E9CC22">
      <w:pPr>
        <w:pStyle w:val="zGTC03"/>
      </w:pPr>
      <w:r>
        <w:t xml:space="preserve"> </w:t>
      </w:r>
      <w:r w:rsidRPr="00341121" w:rsidR="00560AA1">
        <w:rPr>
          <w:b/>
          <w:bCs/>
        </w:rPr>
        <w:t>GPC Review; ACP Adjustment</w:t>
      </w:r>
      <w:r w:rsidRPr="00341121" w:rsidR="00560AA1">
        <w:t xml:space="preserve">. </w:t>
      </w:r>
      <w:r w:rsidRPr="00FD7FA3" w:rsidR="00560AA1">
        <w:t>After receiving a timely and fully substantiated Excess Expenditures Notice, GPC will review the notice and evaluate Seller’s proposed ACP Adjustment. If Seller is entitled to recover Excess Expenditures, the Annual Capacity Price will be increased by a fixed amount ($/kW-year) to recover the approved Excess Expenditures (“</w:t>
      </w:r>
      <w:r w:rsidRPr="00973BC0" w:rsidR="00560AA1">
        <w:rPr>
          <w:b/>
          <w:bCs/>
        </w:rPr>
        <w:t>ACP Adjustment</w:t>
      </w:r>
      <w:r w:rsidRPr="00FD7FA3" w:rsidR="00560AA1">
        <w:t xml:space="preserve">”). The ACP Adjustment will begin in the Annual Period in which Seller first incurs Excess Expenditures and will be prorated for the remainder of the Term, subject to any applicable not-to-exceed amount and reconciliation. If the Parties are unable to agree on the ACP Adjustment (including the methodology or inputs) by a date that allows GPC to timely deliver the Election Notice in accordance with </w:t>
      </w:r>
      <w:r w:rsidRPr="007C567E" w:rsidR="00560AA1">
        <w:t>Section 17.</w:t>
      </w:r>
      <w:r w:rsidRPr="007C567E" w:rsidR="00787F8A">
        <w:t>2</w:t>
      </w:r>
      <w:r w:rsidRPr="007C567E" w:rsidR="00560AA1">
        <w:t>.5 (</w:t>
      </w:r>
      <w:r w:rsidRPr="007C567E" w:rsidR="00560AA1">
        <w:rPr>
          <w:i/>
        </w:rPr>
        <w:t>GPC Election; Objection Period</w:t>
      </w:r>
      <w:r w:rsidRPr="007C567E" w:rsidR="00560AA1">
        <w:t>)</w:t>
      </w:r>
      <w:r w:rsidRPr="00FD7FA3" w:rsidR="00560AA1">
        <w:t xml:space="preserve">, then GPC may, for purposes of meeting the GPC Election Deadline, deliver an Election Notice that (a) accepts Seller’s request subject to the Parties’ subsequent agreement on the ACP Adjustment, or (b) rejects Seller’s request, in each case without waiver of either Party’s rights under this </w:t>
      </w:r>
      <w:r w:rsidRPr="007C567E" w:rsidR="00560AA1">
        <w:t>Part 17</w:t>
      </w:r>
      <w:r w:rsidRPr="007C567E" w:rsidR="005058A4">
        <w:t xml:space="preserve"> (</w:t>
      </w:r>
      <w:r w:rsidRPr="007C567E" w:rsidR="005058A4">
        <w:rPr>
          <w:i/>
        </w:rPr>
        <w:t>Compliance with Laws</w:t>
      </w:r>
      <w:r w:rsidRPr="007C567E" w:rsidR="005058A4">
        <w:t>)</w:t>
      </w:r>
      <w:r w:rsidRPr="00FD7FA3" w:rsidR="00560AA1">
        <w:t xml:space="preserve">. Subject to </w:t>
      </w:r>
      <w:r w:rsidRPr="000B2B22" w:rsidR="00560AA1">
        <w:t>Section 17.</w:t>
      </w:r>
      <w:r w:rsidRPr="000B2B22" w:rsidR="000E35AD">
        <w:t>2</w:t>
      </w:r>
      <w:r w:rsidRPr="000B2B22" w:rsidR="00560AA1">
        <w:t>.5</w:t>
      </w:r>
      <w:r w:rsidRPr="00FD7FA3" w:rsidR="00560AA1">
        <w:t>, the ACP Adjustment will be calculated as follows:</w:t>
      </w:r>
    </w:p>
    <w:p w:rsidRPr="00341121" w:rsidR="003F77F2" w:rsidP="003F77F2" w:rsidRDefault="003F77F2" w14:paraId="2527F919" w14:textId="5D9CA136">
      <w:pPr>
        <w:pStyle w:val="zGTC04"/>
      </w:pPr>
      <w:r w:rsidRPr="00341121">
        <w:t xml:space="preserve">For Excess Expenditures comprised of capital expenditures, the ACP Adjustment will be based on substantiated capital expenditures required to comply with the Change of Law. Substantiated Excess Expenditures will be converted into a per-kW amount by dividing the amount by the Contracted Capacity (kW) and then annualized over the remaining Term using a fixed charge rate consistent with generally accepted project finance methodologies and otherwise reasonably acceptable to GPC. GPC will include in its Election Notice a fixed not-to-exceed ACP Adjustment, which will be final and may not be rescinded except to the extent (a) Seller fails to fully substantiate its Initial Capital Expenditures Notice as described in </w:t>
      </w:r>
      <w:r w:rsidRPr="002A4CF2">
        <w:t>Section 17.</w:t>
      </w:r>
      <w:r w:rsidRPr="002A4CF2" w:rsidR="00AE5A42">
        <w:t>2</w:t>
      </w:r>
      <w:r w:rsidRPr="002A4CF2">
        <w:t>.3(iii)</w:t>
      </w:r>
      <w:r w:rsidRPr="002A4CF2" w:rsidR="00C6079E">
        <w:t xml:space="preserve"> (</w:t>
      </w:r>
      <w:r w:rsidRPr="002A4CF2" w:rsidR="00C6079E">
        <w:rPr>
          <w:i/>
        </w:rPr>
        <w:t>GPC Review; ACP Adjustment</w:t>
      </w:r>
      <w:r w:rsidRPr="002A4CF2" w:rsidR="00C6079E">
        <w:t>)</w:t>
      </w:r>
      <w:r w:rsidRPr="00341121">
        <w:t xml:space="preserve">; or (b) Commission approval is withheld or denied, if required by </w:t>
      </w:r>
      <w:r w:rsidRPr="002A4CF2">
        <w:t xml:space="preserve">Section </w:t>
      </w:r>
      <w:r w:rsidRPr="002A4CF2" w:rsidR="000E35AD">
        <w:t>17.2.</w:t>
      </w:r>
      <w:r w:rsidRPr="002A4CF2" w:rsidR="006973FE">
        <w:t>7</w:t>
      </w:r>
      <w:r w:rsidRPr="002A4CF2">
        <w:t xml:space="preserve"> (</w:t>
      </w:r>
      <w:r w:rsidRPr="002A4CF2">
        <w:rPr>
          <w:i/>
        </w:rPr>
        <w:t>Exclusive Relief; Commission Approval</w:t>
      </w:r>
      <w:r w:rsidRPr="002A4CF2">
        <w:t>)</w:t>
      </w:r>
      <w:r w:rsidRPr="00341121">
        <w:t xml:space="preserve">. The not-to-exceed ACP Adjustment will represent the maximum and exclusive amount recoverable by Seller with respect to the Change of Law described in Seller’s Initial Capital Expenditures Notice, and Seller will not be entitled to recover any additional amount regardless of Seller’s actual incurred costs. By no later than 30 Days after the capital project described in the Initial Capital Expenditures Notice is complete, Seller must deliver to GPC a Final Capital Expenditures Notice substantiating the actual Excess Expenditures incurred by Seller. By no later than 60 Days after receipt of the Final Capital Expenditures Notice, GPC will deliver a final notice to Seller either: (a) confirming the not-to-exceed ACP Adjustment; or (b) proposing a reduced ACP Adjustment if GPC reasonably determines, based on its review of Seller’s Final Capital Expenditures Notice, that a lower adjustment is appropriate. If GPC provides notice that a reduced adjustment is appropriate, GPC and Seller will confer in good faith to mutually agree to an ACP Adjustment that is less than the not-to-exceed ACP Adjustment. </w:t>
      </w:r>
    </w:p>
    <w:p w:rsidRPr="00341121" w:rsidR="003F77F2" w:rsidP="003F77F2" w:rsidRDefault="003F77F2" w14:paraId="098BEA55" w14:textId="5488CD07">
      <w:pPr>
        <w:pStyle w:val="zGTC04"/>
      </w:pPr>
      <w:r w:rsidRPr="00341121">
        <w:t xml:space="preserve">For Excess Expenditures comprised of </w:t>
      </w:r>
      <w:r>
        <w:t>T</w:t>
      </w:r>
      <w:r w:rsidRPr="00341121">
        <w:t xml:space="preserve">ariffs, the ACP Adjustment will be based on substantiated incremental </w:t>
      </w:r>
      <w:r>
        <w:t>T</w:t>
      </w:r>
      <w:r w:rsidRPr="00341121">
        <w:t xml:space="preserve">ariff costs caused by the Change </w:t>
      </w:r>
      <w:r w:rsidR="00BC50A2">
        <w:t>of</w:t>
      </w:r>
      <w:r w:rsidRPr="00341121">
        <w:t xml:space="preserve"> Law. Substantiated Excess Expenditures will be converted into a per-kW amount by dividing the amount by the Contracted </w:t>
      </w:r>
      <w:r w:rsidRPr="00341121">
        <w:lastRenderedPageBreak/>
        <w:t xml:space="preserve">Capacity (kW) and then prorating it over the remaining Term. GPC will include in its Election Notice a fixed not-to-exceed ACP Adjustment, which will be final and may not be rescinded except to the extent (a) Seller fails to fully substantiate its Initial Tariff Notice as described in </w:t>
      </w:r>
      <w:r w:rsidRPr="006A0787">
        <w:t xml:space="preserve">Section </w:t>
      </w:r>
      <w:r w:rsidRPr="006A0787" w:rsidR="006247A2">
        <w:t>17.2.3</w:t>
      </w:r>
      <w:r w:rsidRPr="006A0787">
        <w:t>(iii)</w:t>
      </w:r>
      <w:r w:rsidRPr="006A0787" w:rsidR="00952E84">
        <w:t xml:space="preserve"> (</w:t>
      </w:r>
      <w:r w:rsidRPr="006A0787" w:rsidR="00952E84">
        <w:rPr>
          <w:i/>
        </w:rPr>
        <w:t>GPC Review; ACP Adjustment</w:t>
      </w:r>
      <w:r w:rsidRPr="006A0787" w:rsidR="00952E84">
        <w:t>)</w:t>
      </w:r>
      <w:r w:rsidRPr="00341121">
        <w:t xml:space="preserve">; or (b) Commission approval is withheld or denied, if required by </w:t>
      </w:r>
      <w:r w:rsidRPr="006A0787">
        <w:t xml:space="preserve">Section </w:t>
      </w:r>
      <w:r w:rsidRPr="006A0787" w:rsidR="00AD626B">
        <w:t>17.2.7</w:t>
      </w:r>
      <w:r w:rsidRPr="006A0787">
        <w:t xml:space="preserve"> (</w:t>
      </w:r>
      <w:r w:rsidRPr="006A0787">
        <w:rPr>
          <w:i/>
        </w:rPr>
        <w:t>Exclusive Relief; Commission Approval</w:t>
      </w:r>
      <w:r w:rsidRPr="006A0787">
        <w:t>)</w:t>
      </w:r>
      <w:r w:rsidRPr="00341121">
        <w:t xml:space="preserve">. The not-to-exceed ACP Adjustment will represent the maximum and exclusive amount recoverable by Seller with respect to the Change of Law described in Seller’s Initial Tariff Notice, and Seller will not be entitled to recover any additional amount regardless of Seller’s actual incurred costs. By no later than 30 Days after delivery at the Site of all equipment or other goods described in the Initial Tariff Notice, Seller must deliver to GPC a Final Tariff Notice substantiating the actual Excess Expenditures incurred by Seller. By no later than 60 Days after receipt of the Final Tariff Notice, GPC will deliver a final notice to Seller either: (a) confirming the not-to-exceed ACP Adjustment; or (b) proposing a reduced ACP Adjustment if GPC reasonably determines, based on its review of Seller’s Final Tariff Notice, that a lower adjustment is appropriate. If GPC provides notice that a reduced ACP Adjustment is appropriate, GPC and Seller will confer in good faith to mutually agree to an ACP Adjustment that is less than the not-to-exceed ACP Adjustment. </w:t>
      </w:r>
    </w:p>
    <w:p w:rsidRPr="00341121" w:rsidR="003F77F2" w:rsidP="003F77F2" w:rsidRDefault="003F77F2" w14:paraId="57A985D6" w14:textId="376D462A">
      <w:pPr>
        <w:pStyle w:val="zGTC04"/>
      </w:pPr>
      <w:r w:rsidRPr="00341121">
        <w:t xml:space="preserve">For Excess Expenditures comprised of Taxes arising from any loss, reduction, or elimination of tax credits, incentives, or other governmental benefits, the ACP Adjustment will be based on the actual loss, reduction, or elimination caused by the Change </w:t>
      </w:r>
      <w:r w:rsidR="00BC50A2">
        <w:t>of</w:t>
      </w:r>
      <w:r w:rsidRPr="00341121">
        <w:t xml:space="preserve"> Law. The amount will be determined by comparing the tax credits, incentives, or benefits that would have been available to and claimed by Seller in the absence of the Change </w:t>
      </w:r>
      <w:r w:rsidR="00BC50A2">
        <w:t>of</w:t>
      </w:r>
      <w:r w:rsidRPr="00341121">
        <w:t xml:space="preserve"> Law to those available to Seller after the Change </w:t>
      </w:r>
      <w:r w:rsidR="00BC50A2">
        <w:t>of</w:t>
      </w:r>
      <w:r w:rsidRPr="00341121">
        <w:t xml:space="preserve"> Law. The value of the loss, reduction, or elimination must be reasonably supported by the substantiation provided in the Excess Expenditures Notice and must be certified by an independent accounting professional as accurately reflecting the value of the loss, reduction, or elimination incurred by Seller. The resulting amount will be converted into an ACP Adjustment without markup or return. </w:t>
      </w:r>
    </w:p>
    <w:p w:rsidRPr="00341121" w:rsidR="003F77F2" w:rsidP="003F77F2" w:rsidRDefault="003F77F2" w14:paraId="1D803D1C" w14:textId="77777777">
      <w:pPr>
        <w:pStyle w:val="zGTC04"/>
      </w:pPr>
      <w:r w:rsidRPr="00341121">
        <w:t>For Excess Expenditure comprised of operating costs, the ACP Adjustment will be based on the additional operating costs substantiated by the Excess Expenditures Notice and using assumptions consistent with Prudent Industry Practice and reasonably acceptable to GPC. Substantiated Excess Expenditures will be converted into an ACP Adjustment without markup or return.</w:t>
      </w:r>
    </w:p>
    <w:p w:rsidR="000B520D" w:rsidP="001C2CEB" w:rsidRDefault="000B520D" w14:paraId="4916F848" w14:textId="42E5999F">
      <w:pPr>
        <w:pStyle w:val="zGTC03"/>
      </w:pPr>
      <w:r>
        <w:t xml:space="preserve"> </w:t>
      </w:r>
      <w:r w:rsidRPr="00952E84" w:rsidR="00CB0B60">
        <w:rPr>
          <w:b/>
          <w:bCs/>
        </w:rPr>
        <w:t xml:space="preserve">Mitigation; </w:t>
      </w:r>
      <w:r w:rsidRPr="00DB5825" w:rsidR="002F1D7E">
        <w:rPr>
          <w:b/>
          <w:bCs/>
        </w:rPr>
        <w:t xml:space="preserve">Operational Alternatives. </w:t>
      </w:r>
      <w:r w:rsidRPr="00C85982" w:rsidR="00EE394D">
        <w:t xml:space="preserve">Seller must use commercially reasonable efforts, consistent with Prudent Industry Practices, to avoid, minimize, and mitigate any Excess Expenditure arising from a Change of Law. Seller must take reasonable steps to </w:t>
      </w:r>
      <w:r w:rsidR="00EE394D">
        <w:t>evaluate and propose</w:t>
      </w:r>
      <w:r w:rsidRPr="00C85982" w:rsidR="00EE394D">
        <w:t xml:space="preserve"> available Operational </w:t>
      </w:r>
      <w:r w:rsidR="00EE394D">
        <w:t>A</w:t>
      </w:r>
      <w:r w:rsidRPr="00C85982" w:rsidR="00EE394D">
        <w:t xml:space="preserve">lternatives, seek available exemptions, credits, rebates, or other relief, and avoid incurring unnecessary or avoidable costs. Excess Expenditures will exclude any amount to the extent resulting from Seller’s failure to comply with this </w:t>
      </w:r>
      <w:r w:rsidRPr="006A0787" w:rsidR="00EE394D">
        <w:t xml:space="preserve">Section </w:t>
      </w:r>
      <w:r w:rsidRPr="006A0787" w:rsidR="00A50EEB">
        <w:t>17.2.4 (</w:t>
      </w:r>
      <w:r w:rsidRPr="006A0787" w:rsidR="00A50EEB">
        <w:rPr>
          <w:i/>
        </w:rPr>
        <w:t>Mitigation; Operational Alternatives</w:t>
      </w:r>
      <w:r w:rsidRPr="006A0787" w:rsidR="00A50EEB">
        <w:t>)</w:t>
      </w:r>
      <w:r w:rsidRPr="00C85982" w:rsidR="00EE394D">
        <w:t xml:space="preserve">, and </w:t>
      </w:r>
      <w:r w:rsidR="00EE394D">
        <w:t>GPC</w:t>
      </w:r>
      <w:r w:rsidRPr="00C85982" w:rsidR="00EE394D">
        <w:t xml:space="preserve"> will have no obligation to pay or include those amounts in any ACP Adjustment or termination payment.</w:t>
      </w:r>
      <w:r w:rsidRPr="00C85982" w:rsidR="002F1D7E">
        <w:t xml:space="preserve"> </w:t>
      </w:r>
      <w:r w:rsidRPr="00DB5825" w:rsidR="002F1D7E">
        <w:t xml:space="preserve">Despite any other provision of this </w:t>
      </w:r>
      <w:r w:rsidRPr="000F48EC" w:rsidR="002F1D7E">
        <w:t>Section 17.2 (</w:t>
      </w:r>
      <w:r w:rsidRPr="000F48EC" w:rsidR="002F1D7E">
        <w:rPr>
          <w:i/>
        </w:rPr>
        <w:t>Change of Law</w:t>
      </w:r>
      <w:r w:rsidRPr="000F48EC" w:rsidR="002F1D7E">
        <w:t>)</w:t>
      </w:r>
      <w:r w:rsidRPr="00DB5825" w:rsidR="002F1D7E">
        <w:t xml:space="preserve">, if Seller submits an Excess Expenditures Notice or otherwise seeks recovery of Excess Expenditures, GPC may, in lieu of approving all or any portion of the requested ACP Adjustment or other recovery, require Seller to implement one or more reasonable Operational Alternatives designed to comply with the applicable Change </w:t>
      </w:r>
      <w:r w:rsidR="00BC50A2">
        <w:t>of</w:t>
      </w:r>
      <w:r w:rsidRPr="00DB5825" w:rsidR="002F1D7E">
        <w:t xml:space="preserve"> Law while avoiding or reducing such Excess Expenditures.</w:t>
      </w:r>
      <w:r w:rsidR="002F1D7E">
        <w:t xml:space="preserve"> </w:t>
      </w:r>
      <w:r w:rsidRPr="00DB5825" w:rsidR="002F1D7E">
        <w:t xml:space="preserve">Operational </w:t>
      </w:r>
      <w:r w:rsidR="002F1D7E">
        <w:t>A</w:t>
      </w:r>
      <w:r w:rsidRPr="00DB5825" w:rsidR="002F1D7E">
        <w:t xml:space="preserve">lternatives may include changes to operating procedures, dispatch practices, maintenance scheduling, </w:t>
      </w:r>
      <w:r w:rsidRPr="00AA008E" w:rsidR="002F1D7E">
        <w:t>fuel usage</w:t>
      </w:r>
      <w:r w:rsidR="002F1D7E">
        <w:t>,</w:t>
      </w:r>
      <w:r w:rsidRPr="00DB5825" w:rsidR="002F1D7E">
        <w:t xml:space="preserve"> monitoring or reporting processes, or other non-capital operational measures that do not require material modification of the Facility. Seller must implement any </w:t>
      </w:r>
      <w:r w:rsidR="002F1D7E">
        <w:t>O</w:t>
      </w:r>
      <w:r w:rsidRPr="00DB5825" w:rsidR="002F1D7E">
        <w:t xml:space="preserve">perational </w:t>
      </w:r>
      <w:r w:rsidR="002F1D7E">
        <w:t>A</w:t>
      </w:r>
      <w:r w:rsidRPr="00DB5825" w:rsidR="002F1D7E">
        <w:t xml:space="preserve">lternative directed by </w:t>
      </w:r>
      <w:r w:rsidR="002F1D7E">
        <w:t>GPC</w:t>
      </w:r>
      <w:r w:rsidRPr="00DB5825" w:rsidR="002F1D7E">
        <w:t xml:space="preserve"> within a commercially reasonable period, provided that such </w:t>
      </w:r>
      <w:r w:rsidR="002F1D7E">
        <w:t>O</w:t>
      </w:r>
      <w:r w:rsidRPr="00DB5825" w:rsidR="002F1D7E">
        <w:t xml:space="preserve">perational </w:t>
      </w:r>
      <w:r w:rsidR="002F1D7E">
        <w:t>A</w:t>
      </w:r>
      <w:r w:rsidRPr="00DB5825" w:rsidR="002F1D7E">
        <w:t xml:space="preserve">lternative: (i) permits continued compliance with applicable </w:t>
      </w:r>
      <w:r w:rsidR="002F1D7E">
        <w:t>l</w:t>
      </w:r>
      <w:r w:rsidRPr="00DB5825" w:rsidR="002F1D7E">
        <w:t xml:space="preserve">aw, (ii) does not materially impair the safe and prudent operation of the Facility, and (iii) does not require Seller to violate any </w:t>
      </w:r>
      <w:r w:rsidR="002F1D7E">
        <w:t>P</w:t>
      </w:r>
      <w:r w:rsidRPr="00DB5825" w:rsidR="002F1D7E">
        <w:t>ermit, interconnection requirement, or reliability standard.</w:t>
      </w:r>
      <w:r w:rsidR="002F1D7E">
        <w:t xml:space="preserve"> </w:t>
      </w:r>
      <w:r w:rsidRPr="00C65B32" w:rsidR="002F1D7E">
        <w:t xml:space="preserve">If </w:t>
      </w:r>
      <w:r w:rsidR="002F1D7E">
        <w:t>GPC</w:t>
      </w:r>
      <w:r w:rsidRPr="00C65B32" w:rsidR="002F1D7E">
        <w:t xml:space="preserve"> requires an </w:t>
      </w:r>
      <w:r w:rsidR="002F1D7E">
        <w:t>O</w:t>
      </w:r>
      <w:r w:rsidRPr="00C65B32" w:rsidR="002F1D7E">
        <w:t xml:space="preserve">perational </w:t>
      </w:r>
      <w:r w:rsidR="002F1D7E">
        <w:t>A</w:t>
      </w:r>
      <w:r w:rsidRPr="00C65B32" w:rsidR="002F1D7E">
        <w:t xml:space="preserve">lternative under this Section, </w:t>
      </w:r>
      <w:r w:rsidR="002F1D7E">
        <w:t>GPC</w:t>
      </w:r>
      <w:r w:rsidRPr="00C65B32" w:rsidR="002F1D7E">
        <w:t xml:space="preserve"> will be responsible only for the incremental direct, out-of-pocket operating costs reasonably incurred by Seller solely as a result of implementing the </w:t>
      </w:r>
      <w:r w:rsidR="002F1D7E">
        <w:t>O</w:t>
      </w:r>
      <w:r w:rsidRPr="00C65B32" w:rsidR="002F1D7E">
        <w:t xml:space="preserve">perational </w:t>
      </w:r>
      <w:r w:rsidR="002F1D7E">
        <w:t>A</w:t>
      </w:r>
      <w:r w:rsidRPr="00C65B32" w:rsidR="002F1D7E">
        <w:t xml:space="preserve">lternative, to the extent approved by </w:t>
      </w:r>
      <w:r w:rsidR="002F1D7E">
        <w:t>GPC</w:t>
      </w:r>
      <w:r w:rsidRPr="00C65B32" w:rsidR="002F1D7E">
        <w:t xml:space="preserve">. Seller will not be entitled to recover any avoided capital expenditures, avoided Taxes, avoided tariffs, lost profits, financing costs, or any other Excess Expenditures that would have been incurred absent the </w:t>
      </w:r>
      <w:r w:rsidR="00E63029">
        <w:t>O</w:t>
      </w:r>
      <w:r w:rsidRPr="00C65B32" w:rsidR="002F1D7E">
        <w:t xml:space="preserve">perational </w:t>
      </w:r>
      <w:r w:rsidR="00E63029">
        <w:t>A</w:t>
      </w:r>
      <w:r w:rsidRPr="00C65B32" w:rsidR="002F1D7E">
        <w:t>lternative.</w:t>
      </w:r>
      <w:r w:rsidR="002F1D7E">
        <w:t xml:space="preserve"> If any Operational Alternative is accepted by GPC or otherwise requested by GPC that impacts Seller’s ability to achieve required availability or other Facility performance requirements, the Parties will confer in good faith to agree to corresponding adjustments to those performance requirements</w:t>
      </w:r>
    </w:p>
    <w:p w:rsidR="000B520D" w:rsidP="001C2CEB" w:rsidRDefault="000B520D" w14:paraId="35569E3D" w14:textId="46265030">
      <w:pPr>
        <w:pStyle w:val="zGTC03"/>
      </w:pPr>
      <w:r>
        <w:lastRenderedPageBreak/>
        <w:t xml:space="preserve"> </w:t>
      </w:r>
      <w:r w:rsidRPr="00341121" w:rsidR="00E36930">
        <w:rPr>
          <w:b/>
          <w:bCs/>
        </w:rPr>
        <w:t>GPC Election; Objection Period.</w:t>
      </w:r>
      <w:r w:rsidRPr="00CD548C" w:rsidR="00E36930">
        <w:t xml:space="preserve"> In response to an Excess Expenditures Notice, GPC may elect to either: (i) agree to accept an ACP Adjustment and/or Operational Alternatives; or (ii) terminate this PPA. After receipt of an Excess Expenditures Notice submitted and substantiated in accordance with this </w:t>
      </w:r>
      <w:r w:rsidRPr="009B217D" w:rsidR="00E36930">
        <w:t>Section 17.</w:t>
      </w:r>
      <w:r w:rsidRPr="009B217D" w:rsidR="00E44AFC">
        <w:t>2</w:t>
      </w:r>
      <w:r w:rsidRPr="009B217D" w:rsidR="00E36930">
        <w:t xml:space="preserve"> (</w:t>
      </w:r>
      <w:r w:rsidRPr="009B217D" w:rsidR="00E36930">
        <w:rPr>
          <w:i/>
        </w:rPr>
        <w:t>Change of Law</w:t>
      </w:r>
      <w:r w:rsidRPr="009B217D" w:rsidR="00E36930">
        <w:t>)</w:t>
      </w:r>
      <w:r w:rsidRPr="00CD548C" w:rsidR="00E36930">
        <w:t xml:space="preserve">, and by no later than the applicable GPC Election Deadline, GPC will provide its GPC Election Notice to Seller. If GPC elects, in its sole discretion, to terminate this PPA, GPC will state in its GPC Election Notice any termination payment to be paid to Seller, as determined in accordance with </w:t>
      </w:r>
      <w:r w:rsidRPr="009B217D" w:rsidR="00E36930">
        <w:t>Section 17.</w:t>
      </w:r>
      <w:r w:rsidRPr="009B217D" w:rsidR="00E241CB">
        <w:t>2</w:t>
      </w:r>
      <w:r w:rsidRPr="009B217D" w:rsidR="00E36930">
        <w:t>.6 (</w:t>
      </w:r>
      <w:r w:rsidRPr="009B217D" w:rsidR="00E36930">
        <w:rPr>
          <w:i/>
        </w:rPr>
        <w:t>Change of Law Termination</w:t>
      </w:r>
      <w:r w:rsidRPr="009B217D" w:rsidR="00E36930">
        <w:t>)</w:t>
      </w:r>
      <w:r w:rsidRPr="00CD548C" w:rsidR="00E36930">
        <w:t xml:space="preserve">. Any election made by GPC is conditioned on GPC’s receipt of Commission approval, as contemplated by </w:t>
      </w:r>
      <w:r w:rsidRPr="00950248" w:rsidR="00E36930">
        <w:t xml:space="preserve">Section </w:t>
      </w:r>
      <w:r w:rsidRPr="00950248" w:rsidR="003D3229">
        <w:t>17.2.7</w:t>
      </w:r>
      <w:r w:rsidRPr="00950248" w:rsidR="00E36930">
        <w:t xml:space="preserve"> (</w:t>
      </w:r>
      <w:r w:rsidRPr="00950248" w:rsidR="00E36930">
        <w:rPr>
          <w:i/>
        </w:rPr>
        <w:t>Exclusive Relief; Commission Approval</w:t>
      </w:r>
      <w:r w:rsidRPr="00950248" w:rsidR="00E36930">
        <w:t>)</w:t>
      </w:r>
      <w:r w:rsidRPr="00CD548C" w:rsidR="00E36930">
        <w:t xml:space="preserve">, and GPC will have no liability to Seller for GPC’s election until Commission approval is received. By no later than 15 Days after receipt of the GPC Election Notice, Seller may object to any ACP Adjustment stated in the GPC Election Notice by notice delivered to GPC describing in reasonable detail the basis for Seller’s objection. If Seller does not deliver a timely objection, Seller will be deemed to have accepted the ACP Adjustment. After the expiration of any applicable objection period, GPC will seek Commission approval of GPC’s election as contemplated by </w:t>
      </w:r>
      <w:r w:rsidRPr="00950248" w:rsidR="00E36930">
        <w:t>Section 17.</w:t>
      </w:r>
      <w:r w:rsidRPr="00950248" w:rsidR="00DE2013">
        <w:t>2</w:t>
      </w:r>
      <w:r w:rsidRPr="00950248" w:rsidR="00E36930">
        <w:t>.7</w:t>
      </w:r>
      <w:r w:rsidRPr="00CD548C" w:rsidR="00E36930">
        <w:t>.</w:t>
      </w:r>
    </w:p>
    <w:p w:rsidR="00187191" w:rsidP="001C2CEB" w:rsidRDefault="000B46A3" w14:paraId="5C9562CD" w14:textId="4F197351">
      <w:pPr>
        <w:pStyle w:val="zGTC03"/>
      </w:pPr>
      <w:r w:rsidRPr="00341121">
        <w:rPr>
          <w:b/>
          <w:bCs/>
        </w:rPr>
        <w:t>Change of Law Termination.</w:t>
      </w:r>
      <w:r w:rsidRPr="00341121">
        <w:rPr>
          <w:b/>
          <w:bCs/>
          <w:kern w:val="0"/>
        </w:rPr>
        <w:t xml:space="preserve"> </w:t>
      </w:r>
      <w:r w:rsidRPr="00A06EFC">
        <w:rPr>
          <w:kern w:val="0"/>
        </w:rPr>
        <w:t xml:space="preserve">Subject to </w:t>
      </w:r>
      <w:r w:rsidRPr="007A11CA">
        <w:rPr>
          <w:kern w:val="0"/>
        </w:rPr>
        <w:t>Section 17.</w:t>
      </w:r>
      <w:r w:rsidRPr="007A11CA" w:rsidR="003D3229">
        <w:rPr>
          <w:kern w:val="0"/>
        </w:rPr>
        <w:t>2</w:t>
      </w:r>
      <w:r w:rsidRPr="007A11CA">
        <w:rPr>
          <w:kern w:val="0"/>
        </w:rPr>
        <w:t>.7 (</w:t>
      </w:r>
      <w:r w:rsidRPr="007A11CA">
        <w:rPr>
          <w:i/>
          <w:kern w:val="0"/>
        </w:rPr>
        <w:t>Exclusive Relief; Commission Approval</w:t>
      </w:r>
      <w:r w:rsidRPr="007A11CA">
        <w:rPr>
          <w:kern w:val="0"/>
        </w:rPr>
        <w:t>)</w:t>
      </w:r>
      <w:r w:rsidRPr="00A06EFC">
        <w:rPr>
          <w:kern w:val="0"/>
        </w:rPr>
        <w:t xml:space="preserve">, if the Facility has achieved Commercial Operation and GPC elects to terminate this </w:t>
      </w:r>
      <w:r w:rsidR="00B46741">
        <w:rPr>
          <w:kern w:val="0"/>
        </w:rPr>
        <w:t>PPA</w:t>
      </w:r>
      <w:r w:rsidRPr="00A06EFC">
        <w:rPr>
          <w:kern w:val="0"/>
        </w:rPr>
        <w:t xml:space="preserve"> in lieu of accepting an ACP Adjustment, GPC will pay to Seller a termination payment calculated per the formula set forth in </w:t>
      </w:r>
      <w:r w:rsidRPr="002972B9">
        <w:rPr>
          <w:kern w:val="0"/>
        </w:rPr>
        <w:t>Section 17.</w:t>
      </w:r>
      <w:r w:rsidRPr="002972B9" w:rsidR="003D3229">
        <w:rPr>
          <w:kern w:val="0"/>
        </w:rPr>
        <w:t>2</w:t>
      </w:r>
      <w:r w:rsidRPr="002972B9">
        <w:rPr>
          <w:kern w:val="0"/>
        </w:rPr>
        <w:t>.6(i)</w:t>
      </w:r>
      <w:r w:rsidRPr="00A06EFC">
        <w:rPr>
          <w:kern w:val="0"/>
        </w:rPr>
        <w:t xml:space="preserve">. The termination payment will be Seller’s sole and exclusive remedy arising from or relating to GPC’s termination of </w:t>
      </w:r>
      <w:r w:rsidR="00E1590E">
        <w:rPr>
          <w:kern w:val="0"/>
        </w:rPr>
        <w:t>this</w:t>
      </w:r>
      <w:r w:rsidRPr="00A06EFC">
        <w:rPr>
          <w:kern w:val="0"/>
        </w:rPr>
        <w:t xml:space="preserve"> PPA, and, upon GPC’s payment of the termination payment, Seller will have no further right to payment, damages, or other recovery under this PPA arising from or relating to the termination or any Change of Law. If the Facility has not achieved Commercial Operation by the effective date of termination, GPC will not owe any termination payment and may terminate this PPA in accordance with Section 17.1.6 (</w:t>
      </w:r>
      <w:r w:rsidRPr="00A06EFC">
        <w:rPr>
          <w:i/>
          <w:iCs/>
          <w:kern w:val="0"/>
        </w:rPr>
        <w:t>GPC Election; Objection Period</w:t>
      </w:r>
      <w:r w:rsidRPr="00A06EFC">
        <w:rPr>
          <w:kern w:val="0"/>
        </w:rPr>
        <w:t xml:space="preserve">) without any liability to Seller. Upon termination under this </w:t>
      </w:r>
      <w:r w:rsidRPr="002972B9">
        <w:rPr>
          <w:kern w:val="0"/>
        </w:rPr>
        <w:t>Section 17.</w:t>
      </w:r>
      <w:r w:rsidRPr="002972B9" w:rsidR="003D3229">
        <w:rPr>
          <w:kern w:val="0"/>
        </w:rPr>
        <w:t>2</w:t>
      </w:r>
      <w:r w:rsidRPr="002972B9">
        <w:rPr>
          <w:kern w:val="0"/>
        </w:rPr>
        <w:t xml:space="preserve"> (</w:t>
      </w:r>
      <w:r w:rsidRPr="002972B9">
        <w:rPr>
          <w:i/>
          <w:kern w:val="0"/>
        </w:rPr>
        <w:t>Change of Law</w:t>
      </w:r>
      <w:r w:rsidRPr="002972B9">
        <w:rPr>
          <w:kern w:val="0"/>
        </w:rPr>
        <w:t>)</w:t>
      </w:r>
      <w:r w:rsidRPr="00A06EFC">
        <w:rPr>
          <w:kern w:val="0"/>
        </w:rPr>
        <w:t xml:space="preserve"> and payment of the termination payment, if required and approved by the Commission, neither Party will have any further liability under this PPA except for obligations that expressly survive termination.</w:t>
      </w:r>
    </w:p>
    <w:p w:rsidR="00187191" w:rsidP="00187191" w:rsidRDefault="000B520D" w14:paraId="25495998" w14:textId="77777777">
      <w:pPr>
        <w:pStyle w:val="zGTC04"/>
        <w:spacing w:after="0"/>
      </w:pPr>
      <w:r>
        <w:t xml:space="preserve">  </w:t>
      </w:r>
      <w:r w:rsidR="00187191">
        <w:t>Termination Payment = 0.25 x NPV (Remaining Capacity Payments) x Performance Adjustment</w:t>
      </w:r>
    </w:p>
    <w:p w:rsidR="00187191" w:rsidP="00187191" w:rsidRDefault="00187191" w14:paraId="09FEDBB0" w14:textId="77777777">
      <w:pPr>
        <w:pStyle w:val="zGTC04"/>
        <w:numPr>
          <w:ilvl w:val="0"/>
          <w:numId w:val="0"/>
        </w:numPr>
        <w:ind w:left="1440"/>
      </w:pPr>
      <w:r>
        <w:t xml:space="preserve">Where: </w:t>
      </w:r>
    </w:p>
    <w:p w:rsidR="00187191" w:rsidP="00187191" w:rsidRDefault="00187191" w14:paraId="113EA826" w14:textId="22551C3F">
      <w:pPr>
        <w:pStyle w:val="zGTC04"/>
        <w:numPr>
          <w:ilvl w:val="0"/>
          <w:numId w:val="0"/>
        </w:numPr>
        <w:ind w:left="2160"/>
        <w:rPr>
          <w:szCs w:val="20"/>
        </w:rPr>
      </w:pPr>
      <w:r w:rsidRPr="00341121">
        <w:rPr>
          <w:b/>
          <w:bCs/>
          <w:szCs w:val="20"/>
        </w:rPr>
        <w:t>NPV</w:t>
      </w:r>
      <w:r w:rsidRPr="00341121">
        <w:rPr>
          <w:szCs w:val="20"/>
        </w:rPr>
        <w:t xml:space="preserve"> = </w:t>
      </w:r>
      <w:r w:rsidR="00DB5ACE">
        <w:rPr>
          <w:szCs w:val="20"/>
        </w:rPr>
        <w:t xml:space="preserve">the </w:t>
      </w:r>
      <w:r w:rsidRPr="00341121">
        <w:rPr>
          <w:szCs w:val="20"/>
        </w:rPr>
        <w:t>net present value</w:t>
      </w:r>
      <w:r w:rsidR="00DB5ACE">
        <w:rPr>
          <w:szCs w:val="20"/>
        </w:rPr>
        <w:t>,</w:t>
      </w:r>
      <w:r w:rsidRPr="00D62F40" w:rsidR="00DB5ACE">
        <w:t xml:space="preserve"> </w:t>
      </w:r>
      <w:r w:rsidRPr="00D62F40" w:rsidR="00DB5ACE">
        <w:rPr>
          <w:szCs w:val="20"/>
        </w:rPr>
        <w:t xml:space="preserve">calculated as of the effective date of termination, of the </w:t>
      </w:r>
      <w:r w:rsidR="00DB5ACE">
        <w:rPr>
          <w:szCs w:val="20"/>
        </w:rPr>
        <w:t>Remaining Capacity Payments</w:t>
      </w:r>
      <w:r w:rsidRPr="00D62F40" w:rsidR="00DB5ACE">
        <w:rPr>
          <w:szCs w:val="20"/>
        </w:rPr>
        <w:t xml:space="preserve"> using a discount rate </w:t>
      </w:r>
      <w:r w:rsidR="00DB5ACE">
        <w:rPr>
          <w:szCs w:val="20"/>
        </w:rPr>
        <w:t>based on GPC’s Commission approved return on equity.</w:t>
      </w:r>
    </w:p>
    <w:p w:rsidR="00187191" w:rsidP="00187191" w:rsidRDefault="00187191" w14:paraId="2BC5744A" w14:textId="77777777">
      <w:pPr>
        <w:pStyle w:val="zGTC04"/>
        <w:numPr>
          <w:ilvl w:val="0"/>
          <w:numId w:val="0"/>
        </w:numPr>
        <w:ind w:left="2160"/>
        <w:rPr>
          <w:szCs w:val="20"/>
        </w:rPr>
      </w:pPr>
      <w:r w:rsidRPr="00341121">
        <w:rPr>
          <w:b/>
          <w:bCs/>
          <w:szCs w:val="20"/>
        </w:rPr>
        <w:t>Remaining Capacity Payments</w:t>
      </w:r>
      <w:r w:rsidRPr="00341121">
        <w:rPr>
          <w:szCs w:val="20"/>
        </w:rPr>
        <w:t xml:space="preserve"> = the sum of Monthly Capacity Payments that would have become payable during the remainder of the Term if this PPA had not been terminated.</w:t>
      </w:r>
    </w:p>
    <w:p w:rsidRPr="00DB69A9" w:rsidR="00187191" w:rsidP="00187191" w:rsidRDefault="00187191" w14:paraId="510AF8BC" w14:textId="797E0799">
      <w:pPr>
        <w:pStyle w:val="zGTC04"/>
        <w:numPr>
          <w:ilvl w:val="0"/>
          <w:numId w:val="0"/>
        </w:numPr>
        <w:ind w:left="2160"/>
        <w:rPr>
          <w:szCs w:val="20"/>
        </w:rPr>
      </w:pPr>
      <w:r w:rsidRPr="00341121">
        <w:rPr>
          <w:b/>
          <w:bCs/>
          <w:szCs w:val="20"/>
        </w:rPr>
        <w:t xml:space="preserve">Performance Adjustment </w:t>
      </w:r>
      <w:r w:rsidRPr="00341121">
        <w:rPr>
          <w:szCs w:val="20"/>
        </w:rPr>
        <w:t xml:space="preserve">= </w:t>
      </w:r>
      <w:r w:rsidRPr="00370E16">
        <w:rPr>
          <w:szCs w:val="20"/>
        </w:rPr>
        <w:t xml:space="preserve">the average </w:t>
      </w:r>
      <w:r w:rsidRPr="002972B9">
        <w:rPr>
          <w:szCs w:val="20"/>
        </w:rPr>
        <w:t>Monthly Availability Percentage</w:t>
      </w:r>
      <w:r w:rsidRPr="00370E16">
        <w:rPr>
          <w:szCs w:val="20"/>
        </w:rPr>
        <w:t xml:space="preserve"> for the 36 Month period ending the last day of the Month immediately preceding the effective date of termination, expressed as a decimal and capped at 1.00. Any availability of, and any delivery from, an Alternate Resource will be excluded from the calculation of each Monthly Availability Percentage and the resulting average.</w:t>
      </w:r>
      <w:r>
        <w:t xml:space="preserve"> </w:t>
      </w:r>
    </w:p>
    <w:p w:rsidR="000B520D" w:rsidP="001C2CEB" w:rsidRDefault="001E3014" w14:paraId="3D2CA89F" w14:textId="71E3E707">
      <w:pPr>
        <w:pStyle w:val="zGTC03"/>
      </w:pPr>
      <w:r w:rsidRPr="00341121">
        <w:rPr>
          <w:b/>
          <w:bCs/>
        </w:rPr>
        <w:t xml:space="preserve">Exclusive Relief; Commission Approval. </w:t>
      </w:r>
      <w:r w:rsidRPr="004449D3">
        <w:t xml:space="preserve">The Parties acknowledge that, except as provided in this </w:t>
      </w:r>
      <w:r w:rsidRPr="00CB245E">
        <w:t>Section 17.</w:t>
      </w:r>
      <w:r w:rsidRPr="00CB245E" w:rsidR="001835FE">
        <w:t>2</w:t>
      </w:r>
      <w:r w:rsidRPr="00CB245E">
        <w:t xml:space="preserve"> (</w:t>
      </w:r>
      <w:r w:rsidRPr="00CB245E">
        <w:rPr>
          <w:i/>
        </w:rPr>
        <w:t>Change of Law</w:t>
      </w:r>
      <w:r w:rsidRPr="00CB245E">
        <w:t>)</w:t>
      </w:r>
      <w:r w:rsidRPr="004449D3">
        <w:t xml:space="preserve">, the PPA will not be amended or terminated because of any Change of Law. If GPC accepts an ACP Adjustment, Seller may not seek any additional adjustment to Annual Capacity Prices for the same Change of Law(s) addressed in the GPC Election Notice (including for any additional or different Change of Law Expenditures arising from such Change of Law(s)). Any election by GPC under </w:t>
      </w:r>
      <w:r w:rsidRPr="00CB245E">
        <w:t>Section 17.</w:t>
      </w:r>
      <w:r w:rsidRPr="00CB245E" w:rsidR="001835FE">
        <w:t>2</w:t>
      </w:r>
      <w:r w:rsidRPr="00CB245E">
        <w:t>.5 (</w:t>
      </w:r>
      <w:r w:rsidRPr="00CB245E">
        <w:rPr>
          <w:i/>
        </w:rPr>
        <w:t>GPC Election; Objection Period</w:t>
      </w:r>
      <w:r w:rsidRPr="00CB245E">
        <w:t>)</w:t>
      </w:r>
      <w:r w:rsidRPr="004449D3">
        <w:t xml:space="preserve"> to allow Seller to recover Excess Expenditures will apply only to the Change of Law and Excess Expenditures addressed in GPC’s Election Notice. Further, for the avoidance of doubt: (i) any agreement by GPC to adjust the Annual Capacity Price because of a Change of Law is conditioned on approval of the Commission, where required by applicable law; and (ii) if the Commission denies approval of any such agreement and corresponding amendment, Seller may elect to terminate this PPA without any liability to GPC and GPC will have no liability to Seller for the termination.</w:t>
      </w:r>
      <w:r w:rsidR="000B520D">
        <w:t xml:space="preserve">  </w:t>
      </w:r>
    </w:p>
    <w:p w:rsidR="002C2104" w:rsidP="001C2CEB" w:rsidRDefault="002C2104" w14:paraId="3D77FE7D" w14:textId="5E56876A">
      <w:pPr>
        <w:pStyle w:val="zGTC03"/>
      </w:pPr>
      <w:r w:rsidRPr="00341121">
        <w:rPr>
          <w:b/>
          <w:bCs/>
        </w:rPr>
        <w:t>Disputes.</w:t>
      </w:r>
      <w:r w:rsidRPr="003D4494">
        <w:t xml:space="preserve"> Any dispute arising out of or relating to any Change of Law, including any dispute concerning the adequacy of substantiation, an ACP Adjustment, or the termination payment, will be </w:t>
      </w:r>
      <w:r w:rsidRPr="003D4494">
        <w:lastRenderedPageBreak/>
        <w:t xml:space="preserve">resolved in accordance with this </w:t>
      </w:r>
      <w:r w:rsidRPr="004E3A7C">
        <w:t>Section 17.</w:t>
      </w:r>
      <w:r w:rsidRPr="004E3A7C" w:rsidR="00C755A9">
        <w:t>2</w:t>
      </w:r>
      <w:r w:rsidRPr="004E3A7C">
        <w:t>.8 (</w:t>
      </w:r>
      <w:r w:rsidRPr="004E3A7C">
        <w:rPr>
          <w:i/>
        </w:rPr>
        <w:t>Disputes</w:t>
      </w:r>
      <w:r w:rsidRPr="004E3A7C">
        <w:t>)</w:t>
      </w:r>
      <w:r w:rsidRPr="003D4494">
        <w:t xml:space="preserve">. Pending resolution of a Change </w:t>
      </w:r>
      <w:r w:rsidR="00BC50A2">
        <w:t>of</w:t>
      </w:r>
      <w:r w:rsidRPr="003D4494">
        <w:t xml:space="preserve"> Law dispute, the Parties must continue to perform their undisputed obligations under this </w:t>
      </w:r>
      <w:r w:rsidR="00B46741">
        <w:t>PPA.</w:t>
      </w:r>
    </w:p>
    <w:p w:rsidR="000B520D" w:rsidP="000B520D" w:rsidRDefault="00956285" w14:paraId="5EAD97CD" w14:textId="65D0EA35">
      <w:pPr>
        <w:pStyle w:val="zGTC04"/>
      </w:pPr>
      <w:r w:rsidRPr="00341121">
        <w:rPr>
          <w:szCs w:val="20"/>
        </w:rPr>
        <w:t xml:space="preserve">The Party initiating a Change </w:t>
      </w:r>
      <w:r w:rsidR="00BC50A2">
        <w:rPr>
          <w:szCs w:val="20"/>
        </w:rPr>
        <w:t>of</w:t>
      </w:r>
      <w:r w:rsidRPr="00341121">
        <w:rPr>
          <w:szCs w:val="20"/>
        </w:rPr>
        <w:t xml:space="preserve"> Law dispute must provide notice to the other Party describing the dispute in reasonable detail and the relief requested. The dispute will be promptly referred to. Within </w:t>
      </w:r>
      <w:r w:rsidRPr="00AA3D83">
        <w:rPr>
          <w:szCs w:val="20"/>
        </w:rPr>
        <w:t>15 Days</w:t>
      </w:r>
      <w:r w:rsidRPr="00341121">
        <w:rPr>
          <w:szCs w:val="20"/>
        </w:rPr>
        <w:t xml:space="preserve"> after receipt of the dispute notice, GPC’s Director of Resource Planning and Seller’s </w:t>
      </w:r>
      <w:r w:rsidRPr="00F638F9">
        <w:rPr>
          <w:szCs w:val="20"/>
          <w:highlight w:val="yellow"/>
        </w:rPr>
        <w:t>#I</w:t>
      </w:r>
      <w:r w:rsidRPr="00341121">
        <w:rPr>
          <w:szCs w:val="20"/>
          <w:highlight w:val="yellow"/>
        </w:rPr>
        <w:t>dentifiyRepresentative</w:t>
      </w:r>
      <w:r w:rsidRPr="00341121">
        <w:rPr>
          <w:szCs w:val="20"/>
        </w:rPr>
        <w:t xml:space="preserve"> must meet and attempt in good faith to resolve the dispute.</w:t>
      </w:r>
      <w:r w:rsidR="000B520D">
        <w:t xml:space="preserve"> </w:t>
      </w:r>
    </w:p>
    <w:p w:rsidR="000B520D" w:rsidP="000B520D" w:rsidRDefault="009E57AA" w14:paraId="7DCAF453" w14:textId="1112A40A">
      <w:pPr>
        <w:pStyle w:val="zGTC04"/>
      </w:pPr>
      <w:r w:rsidRPr="00341121">
        <w:rPr>
          <w:szCs w:val="20"/>
        </w:rPr>
        <w:t xml:space="preserve">If the Change </w:t>
      </w:r>
      <w:r w:rsidR="00BC50A2">
        <w:rPr>
          <w:szCs w:val="20"/>
        </w:rPr>
        <w:t>of</w:t>
      </w:r>
      <w:r w:rsidRPr="00341121">
        <w:rPr>
          <w:szCs w:val="20"/>
        </w:rPr>
        <w:t xml:space="preserve"> Law dispute is not resolved 15 Days after the meeting described in </w:t>
      </w:r>
      <w:r w:rsidRPr="004E3A7C">
        <w:rPr>
          <w:szCs w:val="20"/>
        </w:rPr>
        <w:t>Section 17.</w:t>
      </w:r>
      <w:r w:rsidRPr="004E3A7C" w:rsidR="00C755A9">
        <w:rPr>
          <w:szCs w:val="20"/>
        </w:rPr>
        <w:t>2</w:t>
      </w:r>
      <w:r w:rsidRPr="004E3A7C">
        <w:rPr>
          <w:szCs w:val="20"/>
        </w:rPr>
        <w:t>.8(i) (</w:t>
      </w:r>
      <w:r w:rsidRPr="004E3A7C">
        <w:rPr>
          <w:i/>
          <w:szCs w:val="20"/>
        </w:rPr>
        <w:t>Disputes</w:t>
      </w:r>
      <w:r w:rsidRPr="004E3A7C">
        <w:rPr>
          <w:szCs w:val="20"/>
        </w:rPr>
        <w:t>)</w:t>
      </w:r>
      <w:r w:rsidRPr="00341121">
        <w:rPr>
          <w:szCs w:val="20"/>
        </w:rPr>
        <w:t xml:space="preserve">, either Party may escalate the dispute by </w:t>
      </w:r>
      <w:r w:rsidR="003B308D">
        <w:rPr>
          <w:szCs w:val="20"/>
        </w:rPr>
        <w:t xml:space="preserve">providing </w:t>
      </w:r>
      <w:r w:rsidRPr="00341121">
        <w:rPr>
          <w:szCs w:val="20"/>
        </w:rPr>
        <w:t>notice</w:t>
      </w:r>
      <w:r w:rsidR="003B308D">
        <w:rPr>
          <w:szCs w:val="20"/>
        </w:rPr>
        <w:t xml:space="preserve"> to the other Party</w:t>
      </w:r>
      <w:r w:rsidRPr="00341121">
        <w:rPr>
          <w:szCs w:val="20"/>
        </w:rPr>
        <w:t>. Within 10 Days after receipt of the escalation</w:t>
      </w:r>
      <w:r w:rsidR="00BC50A2">
        <w:rPr>
          <w:szCs w:val="20"/>
        </w:rPr>
        <w:t xml:space="preserve"> notice</w:t>
      </w:r>
      <w:r w:rsidRPr="00341121">
        <w:rPr>
          <w:szCs w:val="20"/>
        </w:rPr>
        <w:t>, one executive of each Party with authority to resolve the dispute must meet and attempt in good faith to resolve the dispute.</w:t>
      </w:r>
      <w:r w:rsidR="000B520D">
        <w:t xml:space="preserve"> </w:t>
      </w:r>
    </w:p>
    <w:p w:rsidR="000B520D" w:rsidP="000B520D" w:rsidRDefault="00C755A9" w14:paraId="2A655EE9" w14:textId="2892D376">
      <w:pPr>
        <w:pStyle w:val="zGTC04"/>
      </w:pPr>
      <w:r w:rsidRPr="00341121">
        <w:rPr>
          <w:szCs w:val="20"/>
        </w:rPr>
        <w:t xml:space="preserve">If the Change </w:t>
      </w:r>
      <w:r w:rsidR="00BC50A2">
        <w:rPr>
          <w:szCs w:val="20"/>
        </w:rPr>
        <w:t>of</w:t>
      </w:r>
      <w:r w:rsidRPr="00341121">
        <w:rPr>
          <w:szCs w:val="20"/>
        </w:rPr>
        <w:t xml:space="preserve"> Law dispute is not resolved by 15 Days after the meeting described in </w:t>
      </w:r>
      <w:r w:rsidRPr="004E3A7C">
        <w:rPr>
          <w:szCs w:val="20"/>
        </w:rPr>
        <w:t>Section 17.2.8(ii) (</w:t>
      </w:r>
      <w:r w:rsidRPr="004E3A7C">
        <w:rPr>
          <w:i/>
          <w:szCs w:val="20"/>
        </w:rPr>
        <w:t>Disputes</w:t>
      </w:r>
      <w:r w:rsidRPr="004E3A7C">
        <w:rPr>
          <w:szCs w:val="20"/>
        </w:rPr>
        <w:t>)</w:t>
      </w:r>
      <w:r w:rsidRPr="00341121">
        <w:rPr>
          <w:szCs w:val="20"/>
        </w:rPr>
        <w:t>, either Party may initiate mediation</w:t>
      </w:r>
      <w:r w:rsidR="003B308D">
        <w:rPr>
          <w:szCs w:val="20"/>
        </w:rPr>
        <w:t xml:space="preserve"> by providing notice to the other Party</w:t>
      </w:r>
      <w:r w:rsidRPr="00341121">
        <w:rPr>
          <w:szCs w:val="20"/>
        </w:rPr>
        <w:t xml:space="preserve">, which </w:t>
      </w:r>
      <w:r w:rsidR="003B308D">
        <w:rPr>
          <w:szCs w:val="20"/>
        </w:rPr>
        <w:t xml:space="preserve">mediation </w:t>
      </w:r>
      <w:r w:rsidRPr="00341121">
        <w:rPr>
          <w:szCs w:val="20"/>
        </w:rPr>
        <w:t xml:space="preserve">must then be conducted within 30 Days after the mediation </w:t>
      </w:r>
      <w:r w:rsidR="008B296D">
        <w:rPr>
          <w:szCs w:val="20"/>
        </w:rPr>
        <w:t>notice</w:t>
      </w:r>
      <w:r w:rsidRPr="00341121">
        <w:rPr>
          <w:szCs w:val="20"/>
        </w:rPr>
        <w:t xml:space="preserve"> is received.</w:t>
      </w:r>
    </w:p>
    <w:p w:rsidR="000B520D" w:rsidP="00283A5A" w:rsidRDefault="000B520D" w14:paraId="7562BB2E" w14:textId="242FE39D">
      <w:pPr>
        <w:pStyle w:val="zGTC03"/>
      </w:pPr>
      <w:r>
        <w:t xml:space="preserve"> </w:t>
      </w:r>
      <w:r w:rsidRPr="002C2104" w:rsidR="000F68D4">
        <w:rPr>
          <w:b/>
          <w:bCs/>
        </w:rPr>
        <w:t>New or Different Changes in Applicable Law; Payments; Repeal.</w:t>
      </w:r>
      <w:r w:rsidRPr="00BE4317" w:rsidR="000F68D4">
        <w:t xml:space="preserve"> </w:t>
      </w:r>
      <w:r w:rsidRPr="00412970" w:rsidR="000F68D4">
        <w:t xml:space="preserve">Seller acknowledges and agrees that except as provided in this </w:t>
      </w:r>
      <w:r w:rsidRPr="004E3A7C" w:rsidR="000F68D4">
        <w:t>Part 17 (</w:t>
      </w:r>
      <w:r w:rsidRPr="004E3A7C" w:rsidR="000F68D4">
        <w:rPr>
          <w:i/>
        </w:rPr>
        <w:t>Compliance with Laws</w:t>
      </w:r>
      <w:r w:rsidRPr="004E3A7C" w:rsidR="000F68D4">
        <w:t>)</w:t>
      </w:r>
      <w:r w:rsidRPr="00412970" w:rsidR="000F68D4">
        <w:t>: (i) GPC will not be responsible for any cost, expense, or loss incurred by Seller that result</w:t>
      </w:r>
      <w:r w:rsidR="00EC78DF">
        <w:t>s</w:t>
      </w:r>
      <w:r w:rsidRPr="00412970" w:rsidR="000F68D4">
        <w:t xml:space="preserve"> from any Change of Law; and (ii) in no event will the payments required to be made by GPC under this PPA be increased because of any cost or expense that Seller incurs because of any Change of Law. If any Change of Law that forms the basis for an ACP Adjustment or Operational Alternative repealed, rescinded, invalidated, overturned, or otherwise ceases to be legally effective or applicable to the Facility (in whole or in part), then, effective as of the date the Change of Law no longer has legal effect: (a) the ACP Adjustment will be reduced or eliminated, as applicable, to reflect the remaining legally effective portion of the Change of Law; (b) Seller will no longer be entitled to recover any further Excess Expenditures attributable to the Change of Law (or portion thereof); and (c) if Seller is no longer required to comply with the Change of Law (or portion thereof), Seller will use commercially reasonable efforts to discontinue or unwind any related capital expenditure or operational measure to the extent practicable and consistent with Prudent Industry Practice. Notwithstanding the foregoing, Seller will not be required to refund or credit amounts attributable to irreversible capital expenditures reasonably incurred before the date the Change of Law ceased to be effective, provided the expenditures were prudently incurred in compliance with this </w:t>
      </w:r>
      <w:r w:rsidRPr="004E3A7C" w:rsidR="000F68D4">
        <w:t>Section 17.</w:t>
      </w:r>
      <w:r w:rsidRPr="004E3A7C" w:rsidR="00C444BD">
        <w:t>2</w:t>
      </w:r>
      <w:r w:rsidRPr="004E3A7C" w:rsidR="000F68D4">
        <w:t xml:space="preserve"> (</w:t>
      </w:r>
      <w:r w:rsidRPr="004E3A7C" w:rsidR="000F68D4">
        <w:rPr>
          <w:i/>
        </w:rPr>
        <w:t>Change of Law</w:t>
      </w:r>
      <w:r w:rsidRPr="004E3A7C" w:rsidR="000F68D4">
        <w:t>)</w:t>
      </w:r>
      <w:r w:rsidRPr="00412970" w:rsidR="000F68D4">
        <w:t>.</w:t>
      </w:r>
    </w:p>
    <w:p w:rsidRPr="007271CF" w:rsidR="004C3D70" w:rsidP="00175ACB" w:rsidRDefault="004C3D70" w14:paraId="18005CF0" w14:textId="50B7965A">
      <w:pPr>
        <w:pStyle w:val="zGTC03"/>
        <w:tabs>
          <w:tab w:val="clear" w:pos="1368"/>
          <w:tab w:val="num" w:pos="1530"/>
        </w:tabs>
      </w:pPr>
      <w:r w:rsidRPr="00175ACB">
        <w:rPr>
          <w:b/>
          <w:bCs/>
        </w:rPr>
        <w:t>Deemed Change of Law.</w:t>
      </w:r>
      <w:r>
        <w:t xml:space="preserve"> </w:t>
      </w:r>
      <w:r w:rsidRPr="00175ACB" w:rsidR="00175ACB">
        <w:t>A Change of Law will be deemed to occur if the U.S. Environmental Protection Agency's proposed rule issued on June 11, 2025 to repeal the carbon capture, use, and sequestration requirements under 40 C.F.R. Part 60, Subpart TTTTa is not finalized or does not become legally effective by its stated effective date.</w:t>
      </w:r>
    </w:p>
    <w:p w:rsidRPr="000057B0" w:rsidR="007C2163" w:rsidP="007C2163" w:rsidRDefault="007C2163" w14:paraId="719F6B23" w14:textId="77777777">
      <w:pPr>
        <w:pStyle w:val="zGTC02"/>
        <w:rPr>
          <w:rFonts w:ascii="Arial" w:hAnsi="Arial" w:eastAsia="PMingLiU" w:cs="Arial"/>
          <w:vanish/>
          <w:szCs w:val="20"/>
          <w:specVanish/>
        </w:rPr>
      </w:pPr>
      <w:bookmarkStart w:name="_Toc227840738" w:id="244"/>
      <w:bookmarkStart w:name="_Toc227840739" w:id="245"/>
      <w:bookmarkStart w:name="_Toc227840740" w:id="246"/>
      <w:bookmarkStart w:name="_Toc227840741" w:id="247"/>
      <w:bookmarkStart w:name="_Toc212473049" w:id="248"/>
      <w:bookmarkStart w:name="_Toc227840742" w:id="249"/>
      <w:bookmarkEnd w:id="244"/>
      <w:bookmarkEnd w:id="245"/>
      <w:bookmarkEnd w:id="246"/>
      <w:bookmarkEnd w:id="247"/>
      <w:r>
        <w:rPr>
          <w:rFonts w:ascii="Arial" w:hAnsi="Arial" w:cs="Arial"/>
          <w:szCs w:val="20"/>
        </w:rPr>
        <w:t>No Dedication.</w:t>
      </w:r>
      <w:bookmarkEnd w:id="248"/>
      <w:bookmarkEnd w:id="249"/>
    </w:p>
    <w:p w:rsidRPr="000057B0" w:rsidR="007C2163" w:rsidP="007C2163" w:rsidRDefault="007C2163" w14:paraId="0BDE08F1" w14:textId="6782B596">
      <w:pPr>
        <w:pStyle w:val="zGNormal"/>
      </w:pPr>
      <w:r>
        <w:t xml:space="preserve"> No undertaking by Seller under this PPA is intended to constitute: (i) the dedication to the public of the Facility or any part of the Facility; or (ii) affect Seller’s status as an independent entity and not a public utility or public service company.</w:t>
      </w:r>
    </w:p>
    <w:p w:rsidRPr="000057B0" w:rsidR="00F25117" w:rsidP="00F25117" w:rsidRDefault="00F25117" w14:paraId="38D2299D" w14:textId="77777777">
      <w:pPr>
        <w:pStyle w:val="zGTC02"/>
        <w:rPr>
          <w:rFonts w:ascii="Arial" w:hAnsi="Arial" w:eastAsia="PMingLiU" w:cs="Arial"/>
          <w:vanish/>
          <w:szCs w:val="20"/>
          <w:specVanish/>
        </w:rPr>
      </w:pPr>
      <w:bookmarkStart w:name="_Toc158035198" w:id="250"/>
      <w:bookmarkStart w:name="_Toc212473050" w:id="251"/>
      <w:bookmarkStart w:name="_Toc227840743" w:id="252"/>
      <w:r>
        <w:t>Compliance.</w:t>
      </w:r>
      <w:bookmarkEnd w:id="250"/>
      <w:bookmarkEnd w:id="251"/>
      <w:bookmarkEnd w:id="252"/>
    </w:p>
    <w:p w:rsidRPr="000057B0" w:rsidR="00F25117" w:rsidP="00F25117" w:rsidRDefault="00F25117" w14:paraId="71934113" w14:textId="250B862C">
      <w:pPr>
        <w:pStyle w:val="zGNormal"/>
        <w:rPr>
          <w:b/>
          <w:bCs/>
        </w:rPr>
      </w:pPr>
      <w:r>
        <w:t xml:space="preserve"> Throughout the Term, Seller must comply with all applicable laws, including </w:t>
      </w:r>
      <w:r w:rsidR="00677500">
        <w:t>(i) laws</w:t>
      </w:r>
      <w:r>
        <w:t xml:space="preserve"> regarding the </w:t>
      </w:r>
      <w:r w:rsidR="000C502B">
        <w:t xml:space="preserve">Site or the Facility, including the </w:t>
      </w:r>
      <w:r>
        <w:t xml:space="preserve">design, construction, ownership, operation, maintenance, and decommissioning (if applicable) of the Facility, </w:t>
      </w:r>
      <w:r w:rsidR="00677500">
        <w:t xml:space="preserve">(ii)  </w:t>
      </w:r>
      <w:r>
        <w:t>required Consents</w:t>
      </w:r>
      <w:r w:rsidR="00ED0744">
        <w:t>, including requirements</w:t>
      </w:r>
      <w:r w:rsidRPr="00540449" w:rsidR="00ED0744">
        <w:t xml:space="preserve"> to seek, obtain, comply with,</w:t>
      </w:r>
      <w:r w:rsidR="00ED0744">
        <w:t xml:space="preserve"> maintain compliance with,</w:t>
      </w:r>
      <w:r w:rsidRPr="00540449" w:rsidR="00ED0744">
        <w:t xml:space="preserve"> and, as necessary, renew or modify from time to time, all applicable certificates, licenses, </w:t>
      </w:r>
      <w:r w:rsidR="00ED0744">
        <w:t>p</w:t>
      </w:r>
      <w:r w:rsidRPr="00540449" w:rsidR="00ED0744">
        <w:t>ermits, Governmental Authority approvals</w:t>
      </w:r>
      <w:r w:rsidR="00F30806">
        <w:t>;</w:t>
      </w:r>
      <w:r w:rsidR="00677500">
        <w:t xml:space="preserve"> (iii)</w:t>
      </w:r>
      <w:r w:rsidR="00F30806">
        <w:t xml:space="preserve"> Environmental Laws; and (iv) laws regarding environmental emissions</w:t>
      </w:r>
      <w:r>
        <w:t xml:space="preserve">. Seller </w:t>
      </w:r>
      <w:r w:rsidR="00C1436F">
        <w:t>is</w:t>
      </w:r>
      <w:r>
        <w:t xml:space="preserve"> responsible for all costs, expenses, charges, and fees concerning all compliance required in this Section 17.4 (</w:t>
      </w:r>
      <w:r>
        <w:rPr>
          <w:i/>
          <w:iCs/>
        </w:rPr>
        <w:t>Compliance</w:t>
      </w:r>
      <w:r>
        <w:t>)</w:t>
      </w:r>
      <w:r w:rsidR="00106B95">
        <w:t xml:space="preserve">, subject to Seller’s rights under </w:t>
      </w:r>
      <w:r w:rsidR="004C27B7">
        <w:t>Section 17.1 (</w:t>
      </w:r>
      <w:r w:rsidRPr="00B71F89" w:rsidR="00B71F89">
        <w:rPr>
          <w:i/>
          <w:iCs/>
        </w:rPr>
        <w:t>New GHG Law</w:t>
      </w:r>
      <w:r w:rsidR="00B71F89">
        <w:t xml:space="preserve">) or </w:t>
      </w:r>
      <w:r w:rsidR="00106B95">
        <w:t>Section 17.2 (</w:t>
      </w:r>
      <w:r w:rsidRPr="00106B95" w:rsidR="00106B95">
        <w:rPr>
          <w:i/>
          <w:iCs/>
        </w:rPr>
        <w:t>Change of Law</w:t>
      </w:r>
      <w:r w:rsidR="00106B95">
        <w:t>), if applicable</w:t>
      </w:r>
      <w:r>
        <w:t>.</w:t>
      </w:r>
    </w:p>
    <w:p w:rsidRPr="000057B0" w:rsidR="00F25117" w:rsidP="00F25117" w:rsidRDefault="00C466BC" w14:paraId="39347C53" w14:textId="46270CA4">
      <w:pPr>
        <w:pStyle w:val="zGTC02"/>
        <w:rPr>
          <w:rFonts w:ascii="Arial" w:hAnsi="Arial" w:eastAsia="PMingLiU" w:cs="Arial"/>
          <w:vanish/>
          <w:szCs w:val="20"/>
          <w:specVanish/>
        </w:rPr>
      </w:pPr>
      <w:bookmarkStart w:name="_Toc158035199" w:id="253"/>
      <w:bookmarkStart w:name="_Toc212473051" w:id="254"/>
      <w:bookmarkStart w:name="_Toc227840744" w:id="255"/>
      <w:r>
        <w:t xml:space="preserve">Environmental </w:t>
      </w:r>
      <w:r w:rsidR="00F25117">
        <w:t>Compliance.</w:t>
      </w:r>
      <w:bookmarkEnd w:id="253"/>
      <w:bookmarkEnd w:id="254"/>
      <w:bookmarkEnd w:id="255"/>
    </w:p>
    <w:p w:rsidR="00EE2F86" w:rsidP="00EE2F86" w:rsidRDefault="00EE2F86" w14:paraId="436EAFD5" w14:textId="37904BDB">
      <w:pPr>
        <w:pStyle w:val="zGNormal"/>
      </w:pPr>
      <w:r>
        <w:t xml:space="preserve"> Throughout the Term, Seller must comply with (i) Required BMPs as set forth in Section 17.</w:t>
      </w:r>
      <w:r w:rsidR="002D00AC">
        <w:t>5</w:t>
      </w:r>
      <w:r>
        <w:t>.1 (</w:t>
      </w:r>
      <w:r w:rsidRPr="00587168">
        <w:rPr>
          <w:i/>
          <w:iCs/>
        </w:rPr>
        <w:t>Required BMPs</w:t>
      </w:r>
      <w:r>
        <w:t>), and (ii) Environmental Recommendations as set forth in Section 17.</w:t>
      </w:r>
      <w:r w:rsidR="00224913">
        <w:t>5</w:t>
      </w:r>
      <w:r>
        <w:t>.2 (</w:t>
      </w:r>
      <w:r w:rsidRPr="00587168">
        <w:rPr>
          <w:i/>
          <w:iCs/>
        </w:rPr>
        <w:t>Environmental Recommendations</w:t>
      </w:r>
      <w:r>
        <w:t>).</w:t>
      </w:r>
    </w:p>
    <w:p w:rsidR="00F25117" w:rsidP="00AD5550" w:rsidRDefault="00AD5550" w14:paraId="2D9250E6" w14:textId="7A5F30BE">
      <w:pPr>
        <w:pStyle w:val="zGTC03"/>
      </w:pPr>
      <w:r w:rsidRPr="000033B3">
        <w:rPr>
          <w:b/>
          <w:bCs/>
        </w:rPr>
        <w:t>Required BMPs.</w:t>
      </w:r>
      <w:r w:rsidR="000033B3">
        <w:t xml:space="preserve"> T</w:t>
      </w:r>
      <w:r w:rsidRPr="00540449" w:rsidR="000033B3">
        <w:t xml:space="preserve">hroughout the Term, Seller must comply with all Required BMPs regarding the </w:t>
      </w:r>
      <w:r w:rsidR="000033B3">
        <w:t xml:space="preserve">Site or the Facility, including the </w:t>
      </w:r>
      <w:r w:rsidRPr="00540449" w:rsidR="000033B3">
        <w:t>design, construction, ownership, operation, maintenance, and decommissioning (if applicable) of the Facility. “</w:t>
      </w:r>
      <w:r w:rsidRPr="00540449" w:rsidR="000033B3">
        <w:rPr>
          <w:b/>
        </w:rPr>
        <w:t>Required BMPs</w:t>
      </w:r>
      <w:r w:rsidRPr="00540449" w:rsidR="000033B3">
        <w:t>” are those “</w:t>
      </w:r>
      <w:r w:rsidRPr="00540449" w:rsidR="000033B3">
        <w:rPr>
          <w:bCs/>
          <w:u w:color="0000FF"/>
        </w:rPr>
        <w:t xml:space="preserve">Best Management Practices” required by a Governmental Authority as made </w:t>
      </w:r>
      <w:r w:rsidRPr="000033B3" w:rsidR="000033B3">
        <w:rPr>
          <w:bCs/>
        </w:rPr>
        <w:t xml:space="preserve">available </w:t>
      </w:r>
      <w:r w:rsidR="00B8442D">
        <w:rPr>
          <w:bCs/>
        </w:rPr>
        <w:t xml:space="preserve">at </w:t>
      </w:r>
      <w:r w:rsidRPr="009C381E" w:rsidR="009C381E">
        <w:rPr>
          <w:bCs/>
        </w:rPr>
        <w:t xml:space="preserve">https://gadnr.org/ </w:t>
      </w:r>
      <w:r w:rsidRPr="000033B3" w:rsidR="000033B3">
        <w:rPr>
          <w:bCs/>
        </w:rPr>
        <w:t>or</w:t>
      </w:r>
      <w:r w:rsidR="000033B3">
        <w:rPr>
          <w:bCs/>
        </w:rPr>
        <w:t xml:space="preserve">, for a facility outside Georgia, similar best management practices applicable in the state where the Facility is located, in each </w:t>
      </w:r>
      <w:r w:rsidR="000033B3">
        <w:rPr>
          <w:bCs/>
        </w:rPr>
        <w:lastRenderedPageBreak/>
        <w:t xml:space="preserve">case whether in effect as of the </w:t>
      </w:r>
      <w:r w:rsidRPr="00155A83" w:rsidR="000033B3">
        <w:rPr>
          <w:bCs/>
        </w:rPr>
        <w:t>Effective Date or implemented during the Term.</w:t>
      </w:r>
      <w:r w:rsidR="000033B3">
        <w:rPr>
          <w:bCs/>
        </w:rPr>
        <w:t xml:space="preserve"> Seller</w:t>
      </w:r>
      <w:r w:rsidRPr="00540449" w:rsidR="000033B3">
        <w:t xml:space="preserve"> </w:t>
      </w:r>
      <w:r w:rsidR="000033B3">
        <w:t>is</w:t>
      </w:r>
      <w:r w:rsidRPr="00540449" w:rsidR="000033B3">
        <w:t xml:space="preserve"> responsible for all costs, expenses, charges, and fees concerning all compliance required in this Section 17.</w:t>
      </w:r>
      <w:r w:rsidR="00830567">
        <w:t>5</w:t>
      </w:r>
      <w:r w:rsidR="000033B3">
        <w:t>.1 (</w:t>
      </w:r>
      <w:r w:rsidRPr="007625DD" w:rsidR="000033B3">
        <w:rPr>
          <w:i/>
          <w:iCs/>
        </w:rPr>
        <w:t>Required BMPs</w:t>
      </w:r>
      <w:r w:rsidR="000033B3">
        <w:t>), subject to Seller’s rights under Section 17.1 (</w:t>
      </w:r>
      <w:r w:rsidRPr="00455335" w:rsidR="000033B3">
        <w:rPr>
          <w:i/>
          <w:iCs/>
        </w:rPr>
        <w:t>Change of Law</w:t>
      </w:r>
      <w:r w:rsidR="000033B3">
        <w:t>), if applicable</w:t>
      </w:r>
      <w:r w:rsidRPr="00540449" w:rsidR="000033B3">
        <w:t>.</w:t>
      </w:r>
    </w:p>
    <w:p w:rsidRPr="000555FB" w:rsidR="00D66B7B" w:rsidP="00AD5550" w:rsidRDefault="008E73A4" w14:paraId="6F828CD2" w14:textId="4E2F183B">
      <w:pPr>
        <w:pStyle w:val="zGTC03"/>
      </w:pPr>
      <w:r w:rsidRPr="000555FB">
        <w:rPr>
          <w:b/>
          <w:bCs/>
        </w:rPr>
        <w:t>Environmental Recommendations.</w:t>
      </w:r>
      <w:r>
        <w:t xml:space="preserve"> </w:t>
      </w:r>
      <w:r w:rsidRPr="000555FB" w:rsidR="000555FB">
        <w:rPr>
          <w:rFonts w:eastAsia="Calibri"/>
          <w:kern w:val="0"/>
        </w:rPr>
        <w:t xml:space="preserve">Throughout the Term, to the extent commercially practicable, Seller must comply with all Environmental Recommendations </w:t>
      </w:r>
      <w:r w:rsidR="00854701">
        <w:rPr>
          <w:rFonts w:eastAsia="Calibri"/>
          <w:kern w:val="0"/>
        </w:rPr>
        <w:t>applicable to</w:t>
      </w:r>
      <w:r w:rsidRPr="000555FB" w:rsidR="000555FB">
        <w:rPr>
          <w:rFonts w:eastAsia="Calibri"/>
          <w:kern w:val="0"/>
        </w:rPr>
        <w:t xml:space="preserve"> the Site or the Facility, including the design, construction, ownership, operation, maintenance, and decommissioning (if applicable) of the Facility. “</w:t>
      </w:r>
      <w:r w:rsidRPr="000555FB" w:rsidR="000555FB">
        <w:rPr>
          <w:rFonts w:eastAsia="Calibri"/>
          <w:b/>
          <w:bCs/>
          <w:kern w:val="0"/>
        </w:rPr>
        <w:t>Environmental Recommendations</w:t>
      </w:r>
      <w:r w:rsidRPr="000555FB" w:rsidR="000555FB">
        <w:rPr>
          <w:rFonts w:eastAsia="Calibri"/>
          <w:kern w:val="0"/>
        </w:rPr>
        <w:t xml:space="preserve">” </w:t>
      </w:r>
      <w:r w:rsidR="00B679BC">
        <w:rPr>
          <w:rFonts w:eastAsia="Calibri"/>
          <w:kern w:val="0"/>
        </w:rPr>
        <w:t>mean</w:t>
      </w:r>
      <w:r w:rsidRPr="000555FB" w:rsidR="000555FB">
        <w:rPr>
          <w:rFonts w:eastAsia="Calibri"/>
          <w:kern w:val="0"/>
        </w:rPr>
        <w:t xml:space="preserve"> non-binding recommendations made pursuant to Environmental Law or by a Governmental Authority</w:t>
      </w:r>
      <w:r w:rsidR="00B679BC">
        <w:rPr>
          <w:rFonts w:eastAsia="Calibri"/>
          <w:kern w:val="0"/>
        </w:rPr>
        <w:t xml:space="preserve"> published before or during the Term</w:t>
      </w:r>
      <w:r w:rsidRPr="000555FB" w:rsidR="000555FB">
        <w:rPr>
          <w:rFonts w:eastAsia="Calibri"/>
          <w:kern w:val="0"/>
        </w:rPr>
        <w:t xml:space="preserve">, including </w:t>
      </w:r>
      <w:r w:rsidR="00B679BC">
        <w:rPr>
          <w:rFonts w:eastAsia="Calibri"/>
          <w:kern w:val="0"/>
        </w:rPr>
        <w:t>those</w:t>
      </w:r>
      <w:r w:rsidRPr="000555FB" w:rsidR="000555FB">
        <w:rPr>
          <w:rFonts w:eastAsia="Calibri"/>
          <w:kern w:val="0"/>
        </w:rPr>
        <w:t xml:space="preserve"> regarding: (i) studies or assessments of the actual or potential impacts of the Facility on the environment, wildlife, or cultural resources</w:t>
      </w:r>
      <w:r w:rsidR="004D059D">
        <w:rPr>
          <w:rFonts w:eastAsia="Calibri"/>
          <w:kern w:val="0"/>
        </w:rPr>
        <w:t>;</w:t>
      </w:r>
      <w:r w:rsidRPr="000555FB" w:rsidR="000555FB">
        <w:rPr>
          <w:rFonts w:eastAsia="Calibri"/>
          <w:kern w:val="0"/>
        </w:rPr>
        <w:t xml:space="preserve"> (ii) the mitigation or avoidance of environmental impacts, including mitigation measures to reduce or avoid impacts to environmental, wildlife, or cultural resources, </w:t>
      </w:r>
      <w:r w:rsidR="002F54C4">
        <w:rPr>
          <w:rFonts w:eastAsia="Calibri"/>
          <w:kern w:val="0"/>
        </w:rPr>
        <w:t>such as</w:t>
      </w:r>
      <w:r w:rsidRPr="000555FB" w:rsidR="000555FB">
        <w:rPr>
          <w:rFonts w:eastAsia="Calibri"/>
          <w:kern w:val="0"/>
        </w:rPr>
        <w:t xml:space="preserve"> species conservation strategy, conservation agreement, or cultural resources treatment plan</w:t>
      </w:r>
      <w:r w:rsidR="002F54C4">
        <w:rPr>
          <w:rFonts w:eastAsia="Calibri"/>
          <w:kern w:val="0"/>
        </w:rPr>
        <w:t>; and (iii) for a Facility located in Georgia, recommended practices published by the Georgia DNR and made available at https://gadnr.org</w:t>
      </w:r>
      <w:r w:rsidR="001E7288">
        <w:rPr>
          <w:rFonts w:eastAsia="Calibri"/>
          <w:kern w:val="0"/>
        </w:rPr>
        <w:t>.</w:t>
      </w:r>
      <w:r w:rsidRPr="000555FB" w:rsidR="000555FB">
        <w:rPr>
          <w:rFonts w:eastAsia="Calibri"/>
          <w:kern w:val="0"/>
        </w:rPr>
        <w:t xml:space="preserve"> Seller’s compliance with Environmental Recommendations includes</w:t>
      </w:r>
      <w:r w:rsidR="00163983">
        <w:rPr>
          <w:rFonts w:eastAsia="Calibri"/>
          <w:kern w:val="0"/>
        </w:rPr>
        <w:t>, to the extent commercially practicable,</w:t>
      </w:r>
      <w:r w:rsidRPr="000555FB" w:rsidR="000555FB">
        <w:rPr>
          <w:rFonts w:eastAsia="Calibri"/>
          <w:kern w:val="0"/>
        </w:rPr>
        <w:t xml:space="preserve"> adopting, maintaining, and updating policies and procedures in accordance with </w:t>
      </w:r>
      <w:r w:rsidR="009A251D">
        <w:rPr>
          <w:rFonts w:eastAsia="Calibri"/>
          <w:kern w:val="0"/>
        </w:rPr>
        <w:t>Environmental Recommendations.</w:t>
      </w:r>
      <w:r w:rsidRPr="000555FB" w:rsidR="000555FB">
        <w:rPr>
          <w:rFonts w:eastAsia="Calibri"/>
          <w:kern w:val="0"/>
        </w:rPr>
        <w:t xml:space="preserve"> Accordingly, on a regular basis throughout the Term, Seller must review Environmental Recommendations and take steps to comply with the same in accordance with this Section 17.</w:t>
      </w:r>
      <w:r w:rsidR="005020FE">
        <w:rPr>
          <w:rFonts w:eastAsia="Calibri"/>
          <w:kern w:val="0"/>
        </w:rPr>
        <w:t>5</w:t>
      </w:r>
      <w:r w:rsidRPr="000555FB" w:rsidR="000555FB">
        <w:rPr>
          <w:rFonts w:eastAsia="Calibri"/>
          <w:kern w:val="0"/>
        </w:rPr>
        <w:t>.2 (</w:t>
      </w:r>
      <w:r w:rsidRPr="000555FB" w:rsidR="000555FB">
        <w:rPr>
          <w:rFonts w:eastAsia="Calibri"/>
          <w:i/>
          <w:iCs/>
          <w:kern w:val="0"/>
        </w:rPr>
        <w:t>Environmental Recommendations</w:t>
      </w:r>
      <w:r w:rsidRPr="000555FB" w:rsidR="000555FB">
        <w:rPr>
          <w:rFonts w:eastAsia="Calibri"/>
          <w:kern w:val="0"/>
        </w:rPr>
        <w:t>). Seller is responsible for all costs, expenses, charges, and fees concerning all compliance required in this Section 17.</w:t>
      </w:r>
      <w:r w:rsidR="00A54512">
        <w:rPr>
          <w:rFonts w:eastAsia="Calibri"/>
          <w:kern w:val="0"/>
        </w:rPr>
        <w:t>5</w:t>
      </w:r>
      <w:r w:rsidRPr="000555FB" w:rsidR="000555FB">
        <w:rPr>
          <w:rFonts w:eastAsia="Calibri"/>
          <w:kern w:val="0"/>
        </w:rPr>
        <w:t>.2.</w:t>
      </w:r>
    </w:p>
    <w:p w:rsidRPr="000057B0" w:rsidR="00F25117" w:rsidP="00F25117" w:rsidRDefault="00F25117" w14:paraId="61364BBD" w14:textId="77777777">
      <w:pPr>
        <w:pStyle w:val="zGTC02"/>
        <w:rPr>
          <w:rFonts w:ascii="Arial" w:hAnsi="Arial" w:eastAsia="PMingLiU" w:cs="Arial"/>
          <w:vanish/>
          <w:szCs w:val="20"/>
          <w:specVanish/>
        </w:rPr>
      </w:pPr>
      <w:bookmarkStart w:name="_Toc158035200" w:id="256"/>
      <w:bookmarkStart w:name="_Toc212473052" w:id="257"/>
      <w:bookmarkStart w:name="_Toc227840745" w:id="258"/>
      <w:r>
        <w:t>Wildlife.</w:t>
      </w:r>
      <w:bookmarkEnd w:id="256"/>
      <w:bookmarkEnd w:id="257"/>
      <w:bookmarkEnd w:id="258"/>
    </w:p>
    <w:p w:rsidRPr="000057B0" w:rsidR="00F25117" w:rsidP="00F25117" w:rsidRDefault="00F25117" w14:paraId="7B0476BC" w14:textId="20B92995">
      <w:pPr>
        <w:pStyle w:val="zGNormal"/>
      </w:pPr>
      <w:r>
        <w:t xml:space="preserve"> If any species survey or study indicates that a direct or indirect taking of wildlife listed as threatened, endangered, or other special status under Environmental Laws, or any impacts to habitat of such wildlife, will occur as a result of development or construction activities (including due to grading, ground disturbance, tree clearing, or nest removal) or during operation of the Facility, Seller will consult with the relevant Governmental Authority to determine whether incidental take authorization or a species habitat conservation or management plan is required under Environmental Laws for the Facility or the Site. If required by any permit, Seller will develop and share with GPC a plan for addressing such impacts. During development and construction of the Facility, any wildlife protected by Environmental Laws discovered on the Site must be reported by Seller in accordance with any applicable conservation or management plans.</w:t>
      </w:r>
    </w:p>
    <w:p w:rsidRPr="000057B0" w:rsidR="00F25117" w:rsidP="00F25117" w:rsidRDefault="00F25117" w14:paraId="754C0BC5" w14:textId="77777777">
      <w:pPr>
        <w:pStyle w:val="zGTC02"/>
      </w:pPr>
      <w:bookmarkStart w:name="_Toc158035201" w:id="259"/>
      <w:bookmarkStart w:name="_Toc212473053" w:id="260"/>
      <w:bookmarkStart w:name="_Toc227840746" w:id="261"/>
      <w:r>
        <w:t>Notices of Violations and Potential Violations; NOV Remediation Plan.</w:t>
      </w:r>
      <w:bookmarkEnd w:id="259"/>
      <w:bookmarkEnd w:id="260"/>
      <w:bookmarkEnd w:id="261"/>
      <w:r>
        <w:t xml:space="preserve"> </w:t>
      </w:r>
    </w:p>
    <w:p w:rsidRPr="000057B0" w:rsidR="00F25117" w:rsidP="00F25117" w:rsidRDefault="00F25117" w14:paraId="016C7FFA" w14:textId="77777777">
      <w:pPr>
        <w:pStyle w:val="zGTC03"/>
      </w:pPr>
      <w:r>
        <w:rPr>
          <w:b/>
          <w:bCs/>
        </w:rPr>
        <w:t xml:space="preserve">Notices of Violations. </w:t>
      </w:r>
      <w:r>
        <w:t>Within seven Days after receipt, Seller must provide GPC with copies of any written notification from any Governmental Authority alleging that Seller is in violation of any law, including any Environmental Law applicable to the Facility or the Site with respect to the design, construction, ownership, operation, maintenance, or decommissioning of the Facility (an “</w:t>
      </w:r>
      <w:r>
        <w:rPr>
          <w:b/>
          <w:bCs/>
        </w:rPr>
        <w:t>NOV</w:t>
      </w:r>
      <w:r>
        <w:t>”).</w:t>
      </w:r>
    </w:p>
    <w:p w:rsidRPr="000057B0" w:rsidR="00F25117" w:rsidP="00F25117" w:rsidRDefault="00F25117" w14:paraId="3A765397" w14:textId="60DA04B3">
      <w:pPr>
        <w:pStyle w:val="zGTC03"/>
      </w:pPr>
      <w:r>
        <w:rPr>
          <w:b/>
          <w:bCs/>
        </w:rPr>
        <w:t xml:space="preserve">NOV Remedy Plan. </w:t>
      </w:r>
      <w:r w:rsidR="00F9056A">
        <w:t>If (i) an NOV impacts, or is reasonably expected to impact,</w:t>
      </w:r>
      <w:r w:rsidR="0024352A">
        <w:t xml:space="preserve"> Seller’s performance of its PPA obligations; and (ii) </w:t>
      </w:r>
      <w:r w:rsidR="008B5AAD">
        <w:t xml:space="preserve">GPC requests </w:t>
      </w:r>
      <w:r w:rsidR="001007E0">
        <w:t>a remedy plan from Seller in writing,</w:t>
      </w:r>
      <w:r>
        <w:t xml:space="preserve"> Seller must prepare and submit to GPC an “</w:t>
      </w:r>
      <w:r>
        <w:rPr>
          <w:b/>
          <w:bCs/>
        </w:rPr>
        <w:t xml:space="preserve">NOV </w:t>
      </w:r>
      <w:r>
        <w:rPr>
          <w:b/>
        </w:rPr>
        <w:t>Remedy Plan</w:t>
      </w:r>
      <w:r>
        <w:t>” setting forth Seller’s plan and schedule for mitigation and other remedial measures to cure the NOV as soon as reasonably practicable and in accordance with any requirements of any applicable Governmental Authority. Seller must diligently pursue the performance of the NOV Remedy Plan to completion.</w:t>
      </w:r>
    </w:p>
    <w:p w:rsidR="00F25117" w:rsidP="00F25117" w:rsidRDefault="00F25117" w14:paraId="6871A36B" w14:textId="77777777">
      <w:pPr>
        <w:pStyle w:val="zGTC03"/>
      </w:pPr>
      <w:r>
        <w:rPr>
          <w:b/>
          <w:bCs/>
        </w:rPr>
        <w:t>Monthly Status Reports and Updates to NOV Remedy Plan</w:t>
      </w:r>
      <w:r>
        <w:t>. While an NOV Remedy Plan is in effect, Seller must provide Monthly status reports to GPC, notifying GPC of the implementation of the NOV Remedy Plan, including the steps taken to remedy the NOV, any change to the NOV Remedy Plan, any impact on Seller’s performance of its obligations under this PPA, as well as any additional relevant information as may be reasonably requested by GPC. Seller must modify the NOV Remedy Plan if and as required to comply with any requirement of any applicable law or Governmental Authority.</w:t>
      </w:r>
    </w:p>
    <w:p w:rsidRPr="000057B0" w:rsidR="007C2163" w:rsidP="007C2163" w:rsidRDefault="00C44D6E" w14:paraId="6009B654" w14:textId="2669E8D0">
      <w:pPr>
        <w:pStyle w:val="zGTC01"/>
        <w:rPr>
          <w:rFonts w:ascii="Arial" w:hAnsi="Arial"/>
          <w:szCs w:val="20"/>
        </w:rPr>
      </w:pPr>
      <w:bookmarkStart w:name="_Toc212473054" w:id="262"/>
      <w:bookmarkStart w:name="_Toc227840747" w:id="263"/>
      <w:r>
        <w:rPr>
          <w:rFonts w:ascii="Arial" w:hAnsi="Arial"/>
          <w:szCs w:val="20"/>
        </w:rPr>
        <w:t>Assignment, Transfers, and Changes of Control</w:t>
      </w:r>
      <w:bookmarkEnd w:id="262"/>
      <w:bookmarkEnd w:id="263"/>
    </w:p>
    <w:p w:rsidRPr="000057B0" w:rsidR="007C2163" w:rsidP="00382F9A" w:rsidRDefault="007C2163" w14:paraId="6FA497DE" w14:textId="6E35A9EB">
      <w:pPr>
        <w:pStyle w:val="zGTC02"/>
        <w:rPr>
          <w:rFonts w:eastAsia="PMingLiU"/>
          <w:vanish/>
          <w:specVanish/>
        </w:rPr>
      </w:pPr>
      <w:bookmarkStart w:name="_Toc212473055" w:id="264"/>
      <w:bookmarkStart w:name="_Toc227840748" w:id="265"/>
      <w:r>
        <w:t>Assignment, Transfers, and Changes of Control.</w:t>
      </w:r>
      <w:bookmarkEnd w:id="264"/>
      <w:bookmarkEnd w:id="265"/>
    </w:p>
    <w:p w:rsidRPr="000057B0" w:rsidR="007C2163" w:rsidP="007C2163" w:rsidRDefault="007C2163" w14:paraId="18631A4F" w14:textId="77777777">
      <w:pPr>
        <w:pStyle w:val="zGTC02"/>
        <w:numPr>
          <w:ilvl w:val="0"/>
          <w:numId w:val="0"/>
        </w:numPr>
        <w:rPr>
          <w:rFonts w:ascii="Arial" w:hAnsi="Arial" w:cs="Arial"/>
          <w:szCs w:val="20"/>
        </w:rPr>
      </w:pPr>
    </w:p>
    <w:p w:rsidRPr="004206E0" w:rsidR="004206E0" w:rsidP="00866478" w:rsidRDefault="00006E66" w14:paraId="37CC684F" w14:textId="7E690E1C">
      <w:pPr>
        <w:pStyle w:val="zGTC03"/>
        <w:rPr>
          <w:rFonts w:eastAsia="PMingLiU"/>
          <w:b/>
          <w:bCs/>
          <w:vanish/>
          <w:specVanish/>
        </w:rPr>
      </w:pPr>
      <w:r>
        <w:rPr>
          <w:b/>
          <w:bCs/>
        </w:rPr>
        <w:t>Assignment by Seller.</w:t>
      </w:r>
    </w:p>
    <w:p w:rsidRPr="000057B0" w:rsidR="00C503AF" w:rsidP="002734EC" w:rsidRDefault="00D1325B" w14:paraId="46493589" w14:textId="37CA74A5">
      <w:pPr>
        <w:pStyle w:val="zGTC03"/>
      </w:pPr>
      <w:r>
        <w:rPr>
          <w:b/>
        </w:rPr>
        <w:t xml:space="preserve"> </w:t>
      </w:r>
      <w:r>
        <w:t>Except as expressly provided in Section 18.2 (</w:t>
      </w:r>
      <w:r>
        <w:rPr>
          <w:i/>
          <w:iCs/>
        </w:rPr>
        <w:t>Financing Assignment; Estoppels</w:t>
      </w:r>
      <w:r>
        <w:t xml:space="preserve">), Seller must not assign this PPA in whole or in part to any Person without the prior written consent of GPC. Any proposed assignee of this PPA must: (i) agree to assume Seller’s obligations under this PPA and provide assurances of its ability to perform all PPA obligations; (ii) deliver, on GPC’s reasonable request, assurances of its Creditworthiness and, if applicable, Eligible Collateral; and (iii) cooperate with GPC to comply with any legal requirement that results from such assignment. </w:t>
      </w:r>
    </w:p>
    <w:p w:rsidRPr="004206E0" w:rsidR="00E80F7B" w:rsidP="006D2EC2" w:rsidRDefault="00C503AF" w14:paraId="59FBE0A8" w14:textId="77777777">
      <w:pPr>
        <w:pStyle w:val="zGTC03"/>
        <w:numPr>
          <w:ilvl w:val="2"/>
          <w:numId w:val="37"/>
        </w:numPr>
        <w:rPr>
          <w:rFonts w:eastAsia="PMingLiU"/>
          <w:b/>
          <w:bCs/>
          <w:vanish/>
          <w:specVanish/>
        </w:rPr>
      </w:pPr>
      <w:r>
        <w:rPr>
          <w:b/>
          <w:bCs/>
        </w:rPr>
        <w:lastRenderedPageBreak/>
        <w:t>Release.</w:t>
      </w:r>
    </w:p>
    <w:p w:rsidRPr="000057B0" w:rsidR="007C2163" w:rsidP="002734EC" w:rsidRDefault="00C503AF" w14:paraId="4F7AC500" w14:textId="2EE673C2">
      <w:pPr>
        <w:pStyle w:val="zGTC03"/>
      </w:pPr>
      <w:r>
        <w:rPr>
          <w:b/>
        </w:rPr>
        <w:t xml:space="preserve"> </w:t>
      </w:r>
      <w:r>
        <w:t>Any assignment of this PPA made in compliance with Section 18.1.1 (</w:t>
      </w:r>
      <w:r>
        <w:rPr>
          <w:i/>
        </w:rPr>
        <w:t>Assignment</w:t>
      </w:r>
      <w:r>
        <w:rPr>
          <w:i/>
          <w:iCs/>
        </w:rPr>
        <w:t xml:space="preserve"> by Seller</w:t>
      </w:r>
      <w:r>
        <w:t>) will constitute, as of the effective date of the assignment, an acceptance and assumption by assignee of all obligations under this PPA, and a release and discharge by GPC of Seller from all obligations under this PPA arising after the effective date of the assignment.</w:t>
      </w:r>
    </w:p>
    <w:p w:rsidRPr="004206E0" w:rsidR="004206E0" w:rsidP="006D2EC2" w:rsidRDefault="00375C5E" w14:paraId="7A9FA153" w14:textId="77777777">
      <w:pPr>
        <w:pStyle w:val="zGTC03"/>
        <w:numPr>
          <w:ilvl w:val="2"/>
          <w:numId w:val="39"/>
        </w:numPr>
        <w:rPr>
          <w:rFonts w:eastAsia="PMingLiU"/>
          <w:vanish/>
          <w:specVanish/>
        </w:rPr>
      </w:pPr>
      <w:r>
        <w:rPr>
          <w:b/>
        </w:rPr>
        <w:t>Assignment by GPC.</w:t>
      </w:r>
    </w:p>
    <w:p w:rsidRPr="000057B0" w:rsidR="007C2163" w:rsidP="006D2EC2" w:rsidRDefault="007C2163" w14:paraId="55C20A1E" w14:textId="26F32524">
      <w:pPr>
        <w:pStyle w:val="zGTC03"/>
        <w:numPr>
          <w:ilvl w:val="2"/>
          <w:numId w:val="38"/>
        </w:numPr>
      </w:pPr>
      <w:r>
        <w:t xml:space="preserve"> GPC may not assign this PPA or any portion of this PPA to any Person without the prior written consent of Seller. However, GPC may, without the consent of Seller and with the approval of the Commission, assign this PPA to a</w:t>
      </w:r>
      <w:r w:rsidR="007140F4">
        <w:t xml:space="preserve"> Crediworthy</w:t>
      </w:r>
      <w:r>
        <w:t xml:space="preserve"> Affiliate subject to the jurisdiction of a state regulatory commission.</w:t>
      </w:r>
    </w:p>
    <w:p w:rsidRPr="000057B0" w:rsidR="007C2163" w:rsidP="002734EC" w:rsidRDefault="00831AC3" w14:paraId="100AFC04" w14:textId="65C3A2B5">
      <w:pPr>
        <w:pStyle w:val="zGTC03"/>
        <w:rPr>
          <w:rFonts w:eastAsia="PMingLiU"/>
          <w:vanish/>
          <w:specVanish/>
        </w:rPr>
      </w:pPr>
      <w:r>
        <w:rPr>
          <w:b/>
        </w:rPr>
        <w:t>Transfer; Change of Control.</w:t>
      </w:r>
    </w:p>
    <w:p w:rsidR="0032405C" w:rsidP="00B87248" w:rsidRDefault="007C2163" w14:paraId="5E3E9A12" w14:textId="4683E23C">
      <w:pPr>
        <w:pStyle w:val="zGNormal"/>
        <w:ind w:left="720"/>
      </w:pPr>
      <w:r>
        <w:t xml:space="preserve"> Seller agrees that, without the prior written consent of GPC, there will be no: (i) Change of Control Transaction with respect to Seller; or (ii) delegation by Seller of operational responsibility for the Facility.</w:t>
      </w:r>
      <w:r w:rsidR="00C7754A">
        <w:t xml:space="preserve"> </w:t>
      </w:r>
      <w:r w:rsidRPr="00C7754A" w:rsidR="00C7754A">
        <w:t xml:space="preserve">For the avoidance of doubt, nothing in Section 18.1.4(ii) </w:t>
      </w:r>
      <w:r w:rsidR="006C42CE">
        <w:t>(</w:t>
      </w:r>
      <w:r w:rsidRPr="006C42CE" w:rsidR="006C42CE">
        <w:rPr>
          <w:i/>
          <w:iCs/>
        </w:rPr>
        <w:t>Transfer; Change of Control</w:t>
      </w:r>
      <w:r w:rsidR="006C42CE">
        <w:t xml:space="preserve">) </w:t>
      </w:r>
      <w:r w:rsidRPr="00C7754A" w:rsidR="00C7754A">
        <w:t>will be construed to prohibit Seller from engaging qualified contractors for discrete services related to day-to-day Facility operations without GPC’s prior written consent.</w:t>
      </w:r>
      <w:r w:rsidRPr="00F21356" w:rsidR="00C7754A">
        <w:rPr>
          <w:bCs/>
        </w:rPr>
        <w:t xml:space="preserve"> </w:t>
      </w:r>
      <w:r>
        <w:t xml:space="preserve"> Seller, without GPC’s consent, may enter into a Reorganization Transaction so long as: (a) Seller provides notice to GPC at least 30 Days before the anticipated effective date of the proposed transaction; and (b) the Reorganization Transaction does not: (1) limit GPC’s rights under this PPA; (2) expand the liability, risks, or obligations imposed on GPC under this PPA; (3) release or discharge Seller from any PPA obligation or liability; or (4) require substitution or amendment of (I) Eligible Collateral, (II) insurance, or (III) W-9. A Reorganization Transaction that requires or will result in substitution or amendment of (I) Eligible Collateral, (II) insurance, or (III) W-9, will be documented and treated as if it were an assignment of this PPA and Section 18.1.1 (</w:t>
      </w:r>
      <w:r>
        <w:rPr>
          <w:i/>
          <w:iCs/>
        </w:rPr>
        <w:t>Assignment by Seller</w:t>
      </w:r>
      <w:r>
        <w:t>) will apply.</w:t>
      </w:r>
    </w:p>
    <w:p w:rsidRPr="000057B0" w:rsidR="004206E0" w:rsidP="00866478" w:rsidRDefault="00026C67" w14:paraId="29D8360D" w14:textId="77777777">
      <w:pPr>
        <w:pStyle w:val="zGTC03"/>
        <w:rPr>
          <w:rFonts w:eastAsia="PMingLiU"/>
          <w:vanish/>
          <w:specVanish/>
        </w:rPr>
      </w:pPr>
      <w:r>
        <w:rPr>
          <w:b/>
          <w:bCs/>
        </w:rPr>
        <w:t>Request for Consent.</w:t>
      </w:r>
    </w:p>
    <w:p w:rsidRPr="000057B0" w:rsidR="009439BF" w:rsidP="004206E0" w:rsidRDefault="00026C67" w14:paraId="7236ACBD" w14:textId="4AB4C27D">
      <w:pPr>
        <w:pStyle w:val="zGTC03"/>
      </w:pPr>
      <w:r>
        <w:t xml:space="preserve"> When GPC’s consent is required under Sections 18.1.1 (</w:t>
      </w:r>
      <w:r>
        <w:rPr>
          <w:i/>
          <w:iCs/>
        </w:rPr>
        <w:t>Assignment by Seller</w:t>
      </w:r>
      <w:r>
        <w:t>) or 18.1.4 (</w:t>
      </w:r>
      <w:r>
        <w:rPr>
          <w:i/>
          <w:iCs/>
        </w:rPr>
        <w:t>Transfer; Change of Control</w:t>
      </w:r>
      <w:r>
        <w:t>), Seller must: (i) request GPC’s consent to the transaction by providing notice at least 30 Days before the anticipated effective date of the proposed transaction; and (ii) receive GPC’s written consent. GPC and Seller will cooperate to finalize the form of written consent between the relevant parties. Subject to Seller’s satisfaction of all applicable provisions of Sections 18.1 (</w:t>
      </w:r>
      <w:r>
        <w:rPr>
          <w:i/>
          <w:iCs/>
        </w:rPr>
        <w:t>Assignment, Transfers, and Changes of Control</w:t>
      </w:r>
      <w:r>
        <w:t>) through 18.4 (</w:t>
      </w:r>
      <w:r>
        <w:rPr>
          <w:i/>
          <w:iCs/>
        </w:rPr>
        <w:t>General Requirements</w:t>
      </w:r>
      <w:r>
        <w:t xml:space="preserve">), GPC will seek any required Consent from the Commission after GPC is satisfied that: (a) Seller’s transaction is final but for such Consent; (b) a plan for any replacement of Eligible Collateral is satisfactory and sufficient; and (c) any required accounting determination </w:t>
      </w:r>
      <w:r w:rsidR="00492090">
        <w:t xml:space="preserve">has </w:t>
      </w:r>
      <w:r>
        <w:t xml:space="preserve">been made by GPC and </w:t>
      </w:r>
      <w:r w:rsidR="00492090">
        <w:t xml:space="preserve">is </w:t>
      </w:r>
      <w:r>
        <w:t>acceptable.</w:t>
      </w:r>
    </w:p>
    <w:p w:rsidRPr="004206E0" w:rsidR="00B87248" w:rsidP="006D2EC2" w:rsidRDefault="002E3368" w14:paraId="0A05CBEA" w14:textId="77777777">
      <w:pPr>
        <w:pStyle w:val="zGTC03"/>
        <w:numPr>
          <w:ilvl w:val="2"/>
          <w:numId w:val="40"/>
        </w:numPr>
        <w:rPr>
          <w:rFonts w:eastAsia="PMingLiU"/>
          <w:b/>
          <w:vanish/>
          <w:specVanish/>
        </w:rPr>
      </w:pPr>
      <w:r>
        <w:rPr>
          <w:b/>
        </w:rPr>
        <w:t>Transferee Assurances.</w:t>
      </w:r>
    </w:p>
    <w:p w:rsidR="00907977" w:rsidP="007273E3" w:rsidRDefault="00907977" w14:paraId="7B1CF71A" w14:textId="13962116">
      <w:pPr>
        <w:pStyle w:val="zGNormal"/>
        <w:ind w:left="720"/>
      </w:pPr>
      <w:r>
        <w:t xml:space="preserve"> Before any transaction requiring GPC’s consent under Section 18.1.1 (</w:t>
      </w:r>
      <w:r>
        <w:rPr>
          <w:i/>
          <w:iCs/>
        </w:rPr>
        <w:t>Assignment by Seller</w:t>
      </w:r>
      <w:r>
        <w:t>) or Section 18.1.4 (</w:t>
      </w:r>
      <w:r>
        <w:rPr>
          <w:i/>
          <w:iCs/>
        </w:rPr>
        <w:t>Transfer; Change of Control</w:t>
      </w:r>
      <w:r>
        <w:t>), Seller must obtain for GPC written assurances from the transferee of the limitations of and protections against liability following the proposed transfer at least equivalent to those afforded GPC and its Affiliates under this PPA. Any transfer contrary to the provisions of this Section 18.1.6 (</w:t>
      </w:r>
      <w:r>
        <w:rPr>
          <w:i/>
          <w:iCs/>
        </w:rPr>
        <w:t>Transferee Assurances</w:t>
      </w:r>
      <w:r>
        <w:t xml:space="preserve">), will make Seller the indemnitor of GPC and its Affiliates against any liabilities incurred by GPC </w:t>
      </w:r>
      <w:r w:rsidR="005F7D09">
        <w:t>and</w:t>
      </w:r>
      <w:r>
        <w:t xml:space="preserve"> its Affiliates in excess of those that would have been incurred had no such transfer taken place. If Seller is not the sole owner of the Facility, Seller represents and warrants that it has (and will maintain) written assurances from each other owner of the Facility limitations of and protections against liability of GPC and its Affiliates with respect to each such other owner at least equivalent to that afforded GPC and its Affiliates under this PPA. Any breach of this Section 18.1.6 by Seller will make Seller the indemnitor of GPC and its Affiliates against any liabilities incurred by any of them arising out of any such breach.</w:t>
      </w:r>
    </w:p>
    <w:p w:rsidRPr="004206E0" w:rsidR="00382F9A" w:rsidP="00866478" w:rsidRDefault="00AE78C0" w14:paraId="515BC467" w14:textId="77777777">
      <w:pPr>
        <w:pStyle w:val="zGTC02"/>
        <w:rPr>
          <w:rFonts w:eastAsia="PMingLiU"/>
          <w:vanish/>
          <w:specVanish/>
        </w:rPr>
      </w:pPr>
      <w:bookmarkStart w:name="_Toc212473056" w:id="266"/>
      <w:bookmarkStart w:name="_Toc227840749" w:id="267"/>
      <w:r>
        <w:t>Financing Assignment; Estoppels.</w:t>
      </w:r>
      <w:bookmarkEnd w:id="266"/>
      <w:bookmarkEnd w:id="267"/>
    </w:p>
    <w:p w:rsidRPr="007273E3" w:rsidR="00AE78C0" w:rsidP="00E71ED4" w:rsidRDefault="00292F3F" w14:paraId="2C2E4F11" w14:textId="488A85CC">
      <w:pPr>
        <w:pStyle w:val="Heading7"/>
        <w:rPr>
          <w:rFonts w:cs="Arial"/>
        </w:rPr>
      </w:pPr>
      <w:r>
        <w:t xml:space="preserve"> </w:t>
      </w:r>
      <w:r>
        <w:rPr>
          <w:rFonts w:cs="Arial"/>
        </w:rPr>
        <w:t>Seller, without the consent of GPC, may make a Financing Assignment. GPC agrees to execute a reasonable written consent to the collateral assignment in a form acceptable to GPC if the financing party reasonably requests such consent. Upon reasonable request to GPC in connection with a Financing Assignment or any transaction for which GPC’s consent is required under Sections 18.1 (</w:t>
      </w:r>
      <w:r>
        <w:rPr>
          <w:rFonts w:cs="Arial"/>
          <w:i/>
        </w:rPr>
        <w:t>Assignment, Transfers, and Changes of Control</w:t>
      </w:r>
      <w:r>
        <w:rPr>
          <w:rFonts w:cs="Arial"/>
        </w:rPr>
        <w:t>) through 18.4 (</w:t>
      </w:r>
      <w:r>
        <w:rPr>
          <w:rFonts w:cs="Arial"/>
          <w:i/>
        </w:rPr>
        <w:t>General Requirements</w:t>
      </w:r>
      <w:r>
        <w:rPr>
          <w:rFonts w:cs="Arial"/>
        </w:rPr>
        <w:t>), inclusive, GPC will execute a written confirmation, if true, but without investigation, that to the best of GPC’s knowledge at the time of the request, Seller is not in default of this PPA.</w:t>
      </w:r>
    </w:p>
    <w:p w:rsidRPr="004206E0" w:rsidR="00382F9A" w:rsidP="00866478" w:rsidRDefault="00AE78C0" w14:paraId="3FFAAE16" w14:textId="77777777">
      <w:pPr>
        <w:pStyle w:val="zGTC02"/>
        <w:rPr>
          <w:rFonts w:eastAsia="PMingLiU"/>
          <w:vanish/>
          <w:specVanish/>
        </w:rPr>
      </w:pPr>
      <w:bookmarkStart w:name="_Toc212473057" w:id="268"/>
      <w:bookmarkStart w:name="_Toc227840750" w:id="269"/>
      <w:r>
        <w:t>Reimbursement of GPC’s Costs.</w:t>
      </w:r>
      <w:bookmarkEnd w:id="268"/>
      <w:bookmarkEnd w:id="269"/>
    </w:p>
    <w:p w:rsidRPr="00893DB5" w:rsidR="001F2900" w:rsidP="00E71ED4" w:rsidRDefault="00292F3F" w14:paraId="6896162E" w14:textId="4D75AE48">
      <w:pPr>
        <w:pStyle w:val="zGNormal"/>
        <w:rPr>
          <w:rFonts w:eastAsia="PMingLiU"/>
        </w:rPr>
      </w:pPr>
      <w:r>
        <w:rPr>
          <w:color w:val="881798"/>
          <w:kern w:val="0"/>
          <w:shd w:val="clear" w:color="auto" w:fill="FFFFFF"/>
        </w:rPr>
        <w:t xml:space="preserve"> </w:t>
      </w:r>
      <w:r>
        <w:t>Seller agrees that Seller will pay to GPC a fee of $15,000 per occurrence for each proposed transaction for which Seller requests GPC’s consent under Section 18.1.1 (</w:t>
      </w:r>
      <w:r>
        <w:rPr>
          <w:i/>
          <w:iCs/>
        </w:rPr>
        <w:t>Assignment by Seller</w:t>
      </w:r>
      <w:r>
        <w:t>) or 18.1.4 (</w:t>
      </w:r>
      <w:r>
        <w:rPr>
          <w:i/>
          <w:iCs/>
        </w:rPr>
        <w:t>Transfer; Change of Control</w:t>
      </w:r>
      <w:r>
        <w:t>) and will pay to GPC a fee of $10,000 per occurrence for each request for an estoppel under Section 18.2 (</w:t>
      </w:r>
      <w:r>
        <w:rPr>
          <w:i/>
          <w:iCs/>
        </w:rPr>
        <w:t>Financing Assignment; Estoppels).</w:t>
      </w:r>
      <w:r>
        <w:t xml:space="preserve"> For the avoidance of doubt, if Seller requests GPC’s consent under Sections 18.1.1 or 18.1.4 (</w:t>
      </w:r>
      <w:r>
        <w:rPr>
          <w:i/>
          <w:iCs/>
        </w:rPr>
        <w:t>Transfer; Change of Control</w:t>
      </w:r>
      <w:r>
        <w:t>) or an estoppel under Section 18.2, and GPC undertakes drafting of documents to provide such consent or estoppel, and Seller does not consummate the proposed transaction, GPC reserves the right, in its sole discretion, to require Seller to pay the applicable fee under this Section 18.3 (</w:t>
      </w:r>
      <w:r>
        <w:rPr>
          <w:i/>
          <w:iCs/>
        </w:rPr>
        <w:t>Reimbursement of GPC’s Costs</w:t>
      </w:r>
      <w:r>
        <w:t>).</w:t>
      </w:r>
    </w:p>
    <w:p w:rsidRPr="004206E0" w:rsidR="00382F9A" w:rsidP="00866478" w:rsidRDefault="001F2900" w14:paraId="4B25E511" w14:textId="77777777">
      <w:pPr>
        <w:pStyle w:val="zGTC02"/>
        <w:rPr>
          <w:rFonts w:eastAsia="PMingLiU"/>
          <w:vanish/>
          <w:specVanish/>
        </w:rPr>
      </w:pPr>
      <w:bookmarkStart w:name="_Toc212473058" w:id="270"/>
      <w:bookmarkStart w:name="_Toc227840751" w:id="271"/>
      <w:r>
        <w:lastRenderedPageBreak/>
        <w:t>General Requirements.</w:t>
      </w:r>
      <w:bookmarkEnd w:id="270"/>
      <w:bookmarkEnd w:id="271"/>
    </w:p>
    <w:p w:rsidRPr="00E46089" w:rsidR="00292F3F" w:rsidP="005F78F3" w:rsidRDefault="001F2900" w14:paraId="5899BA42" w14:textId="5A7CF377">
      <w:pPr>
        <w:pStyle w:val="zGNormal"/>
        <w:rPr>
          <w:b/>
        </w:rPr>
      </w:pPr>
      <w:r>
        <w:t xml:space="preserve"> </w:t>
      </w:r>
      <w:bookmarkStart w:name="_Hlk201050793" w:id="272"/>
      <w:bookmarkStart w:name="_Toc206672581" w:id="273"/>
      <w:bookmarkStart w:name="_Toc212476191" w:id="274"/>
      <w:bookmarkStart w:name="_Toc214870294" w:id="275"/>
      <w:r w:rsidRPr="675D43C7" w:rsidR="00E46089">
        <w:t>In connection with any transaction for which GPC’s consent is required under Section 18.1.1 (</w:t>
      </w:r>
      <w:r w:rsidRPr="675D43C7" w:rsidR="00E46089">
        <w:rPr>
          <w:i/>
        </w:rPr>
        <w:t>Assignment by Seller</w:t>
      </w:r>
      <w:r w:rsidRPr="675D43C7" w:rsidR="00E46089">
        <w:t>) or 18.1.4 (</w:t>
      </w:r>
      <w:r w:rsidRPr="675D43C7" w:rsidR="00E46089">
        <w:rPr>
          <w:i/>
        </w:rPr>
        <w:t>Transfer; Change of Control</w:t>
      </w:r>
      <w:r w:rsidRPr="675D43C7" w:rsidR="00E46089">
        <w:t>) or for which Seller’s consent is required under Section 18.1.3 (</w:t>
      </w:r>
      <w:r w:rsidRPr="675D43C7" w:rsidR="00E46089">
        <w:rPr>
          <w:i/>
        </w:rPr>
        <w:t>Assignment by GPC</w:t>
      </w:r>
      <w:r w:rsidRPr="675D43C7" w:rsidR="00E46089">
        <w:t>), it is a condition of the required consent that it will not place any limitation on either Party’s rights under this PPA or expand the PPA liability, risks, or obligations of the other Party (including changes in accounting treatment). It will be reasonable for either Party to condition its consent under Section 18.1 (</w:t>
      </w:r>
      <w:r w:rsidRPr="675D43C7" w:rsidR="00E46089">
        <w:rPr>
          <w:i/>
        </w:rPr>
        <w:t>Assignment, Transfers, and Change of Control</w:t>
      </w:r>
      <w:r w:rsidRPr="675D43C7" w:rsidR="00E46089">
        <w:t>) on the execution of amendments to this PPA that are reasonably determined by such Party to be necessary to preserve the value and protection afforded to such Party under this PPA. It will be a condition of GPC’s consent to any transaction under Sections</w:t>
      </w:r>
      <w:r w:rsidR="00A06103">
        <w:t xml:space="preserve"> </w:t>
      </w:r>
      <w:r w:rsidRPr="675D43C7" w:rsidR="00E46089">
        <w:t>18.1.1 or 18.1.4 or other disposition with respect to this PPA or the Facility</w:t>
      </w:r>
      <w:r w:rsidR="00E46089">
        <w:t>, including those contemplated in Section 2.1.10 (</w:t>
      </w:r>
      <w:r w:rsidRPr="00E82F0F" w:rsidR="00E46089">
        <w:rPr>
          <w:i/>
          <w:iCs/>
        </w:rPr>
        <w:t>Sale, Lease, Transfer, or Other Disposal of Business or Assets Resulting in Material Adverse Effect</w:t>
      </w:r>
      <w:r w:rsidR="00E46089">
        <w:t>)</w:t>
      </w:r>
      <w:r w:rsidRPr="675D43C7" w:rsidR="00E46089">
        <w:t xml:space="preserve">, that all </w:t>
      </w:r>
      <w:r w:rsidR="00E46089">
        <w:t>Performance S</w:t>
      </w:r>
      <w:r w:rsidRPr="675D43C7" w:rsidR="00E46089">
        <w:t>ecurity required under Section 6.1 (</w:t>
      </w:r>
      <w:r w:rsidRPr="675D43C7" w:rsidR="00E46089">
        <w:rPr>
          <w:i/>
        </w:rPr>
        <w:t>Performance Security</w:t>
      </w:r>
      <w:r w:rsidRPr="675D43C7" w:rsidR="00E46089">
        <w:t xml:space="preserve">)  will remain </w:t>
      </w:r>
      <w:r w:rsidR="00E46089">
        <w:t>in full force and effect unless and until GPC has received (i) Commission approval, if applicable, and</w:t>
      </w:r>
      <w:r w:rsidRPr="675D43C7" w:rsidR="00E46089">
        <w:t xml:space="preserve"> </w:t>
      </w:r>
      <w:r w:rsidR="00E46089">
        <w:t xml:space="preserve">(ii) </w:t>
      </w:r>
      <w:r w:rsidRPr="675D43C7" w:rsidR="00E46089">
        <w:t>replacement security in form, substance, and amount in full compliance with this PPA</w:t>
      </w:r>
      <w:r w:rsidR="00E46089">
        <w:t>, if applicable.</w:t>
      </w:r>
      <w:r w:rsidRPr="675D43C7" w:rsidDel="001C2358" w:rsidR="00E46089">
        <w:t>.</w:t>
      </w:r>
      <w:r w:rsidRPr="675D43C7" w:rsidR="00E46089">
        <w:t xml:space="preserve"> </w:t>
      </w:r>
      <w:r w:rsidR="00E46089">
        <w:t xml:space="preserve">Following GPC’s receipt of such applicable Commission approval and replacement security, GPC will return to Seller any unused portion of Seller’s Performance Security. </w:t>
      </w:r>
      <w:r w:rsidRPr="675D43C7" w:rsidR="00E46089">
        <w:t>Any purported assignment, transfer of interest in the Facility or this PPA, or Change of Control Transaction that is not in compliance with the applicable provisions of Sections 18.1 through 18.4, inclusive,</w:t>
      </w:r>
      <w:r w:rsidRPr="675D43C7" w:rsidDel="00CB58AF" w:rsidR="00E46089">
        <w:t xml:space="preserve"> </w:t>
      </w:r>
      <w:r w:rsidRPr="675D43C7" w:rsidR="00E46089">
        <w:t>will be void</w:t>
      </w:r>
      <w:bookmarkEnd w:id="272"/>
      <w:r w:rsidRPr="675D43C7" w:rsidR="00E46089">
        <w:t>.</w:t>
      </w:r>
      <w:bookmarkEnd w:id="273"/>
      <w:bookmarkEnd w:id="274"/>
      <w:bookmarkEnd w:id="275"/>
    </w:p>
    <w:p w:rsidRPr="000057B0" w:rsidR="007C2163" w:rsidP="00BA3BE0" w:rsidRDefault="002B7E3A" w14:paraId="3530D755" w14:textId="166DDBFD">
      <w:pPr>
        <w:pStyle w:val="zGTC01"/>
        <w:spacing w:before="120"/>
      </w:pPr>
      <w:bookmarkStart w:name="_Toc212473059" w:id="276"/>
      <w:bookmarkStart w:name="_Toc227840752" w:id="277"/>
      <w:r>
        <w:t>Dispute Resolution</w:t>
      </w:r>
      <w:bookmarkEnd w:id="276"/>
      <w:bookmarkEnd w:id="277"/>
    </w:p>
    <w:p w:rsidRPr="000057B0" w:rsidR="007C2163" w:rsidP="007C2163" w:rsidRDefault="007C2163" w14:paraId="0A36122B" w14:textId="77777777">
      <w:pPr>
        <w:pStyle w:val="zGTC02"/>
        <w:rPr>
          <w:rFonts w:ascii="Arial" w:hAnsi="Arial" w:eastAsia="PMingLiU" w:cs="Arial"/>
          <w:vanish/>
          <w:szCs w:val="20"/>
          <w:specVanish/>
        </w:rPr>
      </w:pPr>
      <w:bookmarkStart w:name="_Toc212473060" w:id="278"/>
      <w:bookmarkStart w:name="_Toc227840753" w:id="279"/>
      <w:r>
        <w:t>Notice of Dispute; Dispute Resolution Process.</w:t>
      </w:r>
      <w:bookmarkEnd w:id="278"/>
      <w:bookmarkEnd w:id="279"/>
    </w:p>
    <w:p w:rsidRPr="000057B0" w:rsidR="007C2163" w:rsidP="00013012" w:rsidRDefault="007C2163" w14:paraId="78D78804" w14:textId="06950AAE">
      <w:pPr>
        <w:pStyle w:val="zGNormal"/>
        <w:spacing w:before="240"/>
      </w:pPr>
      <w:r>
        <w:t xml:space="preserve"> </w:t>
      </w:r>
      <w:bookmarkStart w:name="_Hlk37507641" w:id="280"/>
      <w:r>
        <w:t>Either Party (“</w:t>
      </w:r>
      <w:r>
        <w:rPr>
          <w:b/>
        </w:rPr>
        <w:t>Disputing Party</w:t>
      </w:r>
      <w:r>
        <w:t>”) has the right to give notice to the other Party (“</w:t>
      </w:r>
      <w:r>
        <w:rPr>
          <w:b/>
        </w:rPr>
        <w:t>Responding Party</w:t>
      </w:r>
      <w:r>
        <w:t>”) that the Responding Party is not performing in accordance with the terms and conditions of this PPA. The notice (“</w:t>
      </w:r>
      <w:r>
        <w:rPr>
          <w:b/>
        </w:rPr>
        <w:t>Notice of Dispute</w:t>
      </w:r>
      <w:r>
        <w:t xml:space="preserve">”) </w:t>
      </w:r>
      <w:bookmarkStart w:name="_Hlk37329422" w:id="281"/>
      <w:r>
        <w:t xml:space="preserve">must describe with specificity the basis for the Disputing Party’s </w:t>
      </w:r>
      <w:bookmarkEnd w:id="281"/>
      <w:r>
        <w:t>belief and may propose a resolution of such dispute. Within 15 Business Days after receiving the Notice of Dispute, the Responding Party must provide the Disputing Party with a written response to the Notice of Dispute, which will describe with specificity the basis for the Responding Party’s position and which may include additional issues (if any) regarding the dispute raised by the Notice of Dispute and may propose a resolution of the dispute (“</w:t>
      </w:r>
      <w:r>
        <w:rPr>
          <w:b/>
        </w:rPr>
        <w:t>Dispute Response</w:t>
      </w:r>
      <w:r>
        <w:t>”).</w:t>
      </w:r>
      <w:r w:rsidR="00C40871">
        <w:t xml:space="preserve"> This Section 19</w:t>
      </w:r>
      <w:r w:rsidR="00D403D9">
        <w:t>.</w:t>
      </w:r>
      <w:r w:rsidR="00C40871">
        <w:t>1</w:t>
      </w:r>
      <w:r w:rsidR="00D403D9">
        <w:t xml:space="preserve"> (</w:t>
      </w:r>
      <w:r w:rsidRPr="000562DF" w:rsidR="000562DF">
        <w:rPr>
          <w:i/>
          <w:iCs/>
        </w:rPr>
        <w:t>Notice of Dispute; Dispute Resolution Process</w:t>
      </w:r>
      <w:r w:rsidR="000562DF">
        <w:t>)</w:t>
      </w:r>
      <w:r w:rsidR="00C40871">
        <w:t xml:space="preserve"> </w:t>
      </w:r>
      <w:r w:rsidR="00D403D9">
        <w:t>will not apply to a Billing Dispute until the completion of the dispute resolution process for Billing Disputes set forth in Section 5.2 (</w:t>
      </w:r>
      <w:r w:rsidRPr="00D403D9" w:rsidR="00D403D9">
        <w:rPr>
          <w:i/>
          <w:iCs/>
        </w:rPr>
        <w:t>Billing Disputes and Financial Accounting</w:t>
      </w:r>
      <w:r w:rsidR="00D403D9">
        <w:t>).</w:t>
      </w:r>
      <w:r>
        <w:t xml:space="preserve"> Within five Business Days after the submission of the Dispute Response, the dispute must be submitted to a Seller designated senior Representative and a GPC designated senior Representative for resolution. If the designated senior Representatives are unable to resolve the dispute to the mutual satisfaction of the Parties within 20 Business Days after the submission to the designated senior Representatives, or any other period as the Parties may agree upon, then: (i) in the case of disputes described in Section 19.2 (</w:t>
      </w:r>
      <w:r>
        <w:rPr>
          <w:i/>
          <w:iCs/>
        </w:rPr>
        <w:t>Expert Arbitration</w:t>
      </w:r>
      <w:r>
        <w:t>), either Party may provide notice to the other Party declaring an impasse (“</w:t>
      </w:r>
      <w:r>
        <w:rPr>
          <w:b/>
          <w:bCs/>
        </w:rPr>
        <w:t>Impasse Notice</w:t>
      </w:r>
      <w:r>
        <w:t>”) and, after notice is given, the Parties must arbitrate the disputes under Section 19.2; (ii) in the case of disputes described in Section 19.3 (</w:t>
      </w:r>
      <w:r>
        <w:rPr>
          <w:i/>
          <w:iCs/>
        </w:rPr>
        <w:t>JAMS Arbitration</w:t>
      </w:r>
      <w:r>
        <w:t xml:space="preserve">), either Party may provide an </w:t>
      </w:r>
      <w:r>
        <w:rPr>
          <w:bCs/>
        </w:rPr>
        <w:t>Impasse Notice</w:t>
      </w:r>
      <w:r>
        <w:t xml:space="preserve"> and then the Parties must arbitrate the disputes under Section 19.3; or (iii) in the case of any dispute that is not described in Section 19.2 or Section 19.3, either Party may pursue rights and remedies as may be available under applicable law or in equity subject to the terms and conditions of this PPA.</w:t>
      </w:r>
      <w:bookmarkEnd w:id="280"/>
    </w:p>
    <w:p w:rsidRPr="000057B0" w:rsidR="007C2163" w:rsidP="007C2163" w:rsidRDefault="007C2163" w14:paraId="7F89F55D" w14:textId="77777777">
      <w:pPr>
        <w:pStyle w:val="zGTC02"/>
        <w:rPr>
          <w:rFonts w:ascii="Arial" w:hAnsi="Arial" w:eastAsia="PMingLiU" w:cs="Arial"/>
          <w:vanish/>
          <w:szCs w:val="20"/>
          <w:specVanish/>
        </w:rPr>
      </w:pPr>
      <w:bookmarkStart w:name="_Toc212473061" w:id="282"/>
      <w:bookmarkStart w:name="_Toc227840754" w:id="283"/>
      <w:r>
        <w:rPr>
          <w:rFonts w:ascii="Arial" w:hAnsi="Arial" w:cs="Arial"/>
          <w:szCs w:val="20"/>
        </w:rPr>
        <w:t>Expert Arbitration.</w:t>
      </w:r>
      <w:bookmarkEnd w:id="282"/>
      <w:bookmarkEnd w:id="283"/>
    </w:p>
    <w:p w:rsidRPr="000057B0" w:rsidR="007C2163" w:rsidP="007C2163" w:rsidRDefault="007C2163" w14:paraId="6A96F0FC" w14:textId="4C9410F3">
      <w:pPr>
        <w:pStyle w:val="zGNormal"/>
      </w:pPr>
      <w:r>
        <w:t xml:space="preserve"> </w:t>
      </w:r>
      <w:bookmarkStart w:name="_Hlk37507694" w:id="284"/>
      <w:r>
        <w:t>Upon the submission of an Impasse Notice, a dispute regarding: (i) the results of a Performance Test (under any provision of this PPA); (ii) a Capacity Shortfall under Section 4.1.7 (</w:t>
      </w:r>
      <w:r>
        <w:rPr>
          <w:i/>
          <w:iCs/>
        </w:rPr>
        <w:t>Capacity Shortfall</w:t>
      </w:r>
      <w:r>
        <w:t>); (iii) Imbalance Charges under Section 11.2.4 (</w:t>
      </w:r>
      <w:r>
        <w:rPr>
          <w:i/>
          <w:iCs/>
        </w:rPr>
        <w:t>Imbalance Charges</w:t>
      </w:r>
      <w:r>
        <w:t>); (iv) Seller Event of Default under Sections 16.1.8 (</w:t>
      </w:r>
      <w:r>
        <w:rPr>
          <w:i/>
          <w:iCs/>
        </w:rPr>
        <w:t>Failure to Maintain Availability Percentage</w:t>
      </w:r>
      <w:r>
        <w:t>) or 16.1.9 (</w:t>
      </w:r>
      <w:r>
        <w:rPr>
          <w:i/>
          <w:iCs/>
        </w:rPr>
        <w:t>Inadequate Tested Reliable Capacity; Curing</w:t>
      </w:r>
      <w:r>
        <w:t>); or (v) the development of Maintenance Schedules under Section 10.2.1 (</w:t>
      </w:r>
      <w:r>
        <w:rPr>
          <w:i/>
          <w:iCs/>
        </w:rPr>
        <w:t>Maintenance Schedule Reporting and Approvals</w:t>
      </w:r>
      <w:r>
        <w:t>) will be resolved by arbitration as set forth in this Section 19.2</w:t>
      </w:r>
      <w:bookmarkEnd w:id="284"/>
      <w:r>
        <w:t xml:space="preserve"> (</w:t>
      </w:r>
      <w:r>
        <w:rPr>
          <w:i/>
          <w:iCs/>
        </w:rPr>
        <w:t>Expert Arbitration</w:t>
      </w:r>
      <w:r>
        <w:t>).</w:t>
      </w:r>
    </w:p>
    <w:p w:rsidRPr="000057B0" w:rsidR="007C2163" w:rsidP="007C2163" w:rsidRDefault="007C2163" w14:paraId="3BA7EBA8" w14:textId="4C16E857">
      <w:pPr>
        <w:pStyle w:val="zGTC03"/>
      </w:pPr>
      <w:bookmarkStart w:name="_Hlk37507748" w:id="285"/>
      <w:r>
        <w:rPr>
          <w:b/>
        </w:rPr>
        <w:t>Selection of Expert.</w:t>
      </w:r>
      <w:r>
        <w:t xml:space="preserve"> </w:t>
      </w:r>
      <w:bookmarkStart w:name="_Hlk37507781" w:id="286"/>
      <w:bookmarkEnd w:id="285"/>
      <w:r>
        <w:t>The Parties will attempt to agree upon the selection of an independent third-party expert to make a determination concerning any dispute described in this Section 19.2 (</w:t>
      </w:r>
      <w:r>
        <w:rPr>
          <w:i/>
          <w:iCs/>
        </w:rPr>
        <w:t>Expert Arbitration</w:t>
      </w:r>
      <w:r>
        <w:t xml:space="preserve">). If the Parties cannot mutually agree on the selection of an expert within 15 Days after the submission of the Impasse Notice, GPC will provide Seller with a list of three qualified experts, and Seller will select one expert from the list. As a condition to appointment as a qualified expert, the expert must: (i) be competent and experienced in matters involving the electric energy business in the United States, with at least 10 years of experience in the electric industry; (ii) have no interest, financial or otherwise, in either Party or this PPA beyond payment of the fees and expenses for serving as the expert under this Section 19.2; and (iii) </w:t>
      </w:r>
      <w:bookmarkStart w:name="_Hlk37490342" w:id="287"/>
      <w:r>
        <w:t xml:space="preserve">have not performed, or been employed by a firm that has provided services for either Party, and otherwise have not been previously or currently employed or engaged in any capacity by, and not have a personal or professional relationship with, either Party </w:t>
      </w:r>
      <w:bookmarkEnd w:id="287"/>
      <w:r>
        <w:t xml:space="preserve">other than as the expert under this Section 19.2, unless the employment, engagement, or relationship has been disclosed in writing to the Parties before the appointment as an expert under this Section 19.2 without objection by either Party. </w:t>
      </w:r>
      <w:r>
        <w:lastRenderedPageBreak/>
        <w:t xml:space="preserve">The expert must not advise or otherwise communicate ex parte in any way with either Party following their appointment as an expert under this Section 19.2. </w:t>
      </w:r>
      <w:bookmarkEnd w:id="286"/>
      <w:r w:rsidR="00D94D2C">
        <w:t>The expert must also treat all information relating to the PPA or the arbitration, including the dispute, as confidential and must not disclose any such information (other than to the Parties jointly) without the prior written consent of both Parties.</w:t>
      </w:r>
    </w:p>
    <w:p w:rsidRPr="000057B0" w:rsidR="007C2163" w:rsidP="007C2163" w:rsidRDefault="007C2163" w14:paraId="34086C64" w14:textId="25DC31BE">
      <w:pPr>
        <w:pStyle w:val="zGTC03"/>
      </w:pPr>
      <w:bookmarkStart w:name="_Hlk37507813" w:id="288"/>
      <w:r>
        <w:rPr>
          <w:b/>
        </w:rPr>
        <w:t>Expert Decision.</w:t>
      </w:r>
      <w:r>
        <w:t xml:space="preserve"> </w:t>
      </w:r>
      <w:bookmarkStart w:name="_Hlk37507839" w:id="289"/>
      <w:bookmarkEnd w:id="288"/>
      <w:r>
        <w:t>No later than 15 Days after the selection of the expert, each Party must file with the expert written positions (with supporting documentation) concerning the dispute. The expert may request additional filings and will render a decision within 15 Days of receipt of all filings. In the case of any dispute resolved under this Section 19.2 (</w:t>
      </w:r>
      <w:r>
        <w:rPr>
          <w:i/>
          <w:iCs/>
        </w:rPr>
        <w:t>Expert Arbitration</w:t>
      </w:r>
      <w:r>
        <w:t>), the decision rendered by the independent expert will be final and binding upon Seller and GPC. Following the resolution of a dispute under this Section 19.2 regarding the Declared Capacity, Monthly Capacity Payment(s) will (if necessary and as soon as practicable) be adjusted retroactively (with interest at the Interest Rate) to reflect Declared Capacity equal to the expert’s determination.</w:t>
      </w:r>
      <w:bookmarkEnd w:id="289"/>
      <w:r>
        <w:t xml:space="preserve"> </w:t>
      </w:r>
    </w:p>
    <w:p w:rsidRPr="000057B0" w:rsidR="007C2163" w:rsidP="007C2163" w:rsidRDefault="007C2163" w14:paraId="4233026F" w14:textId="71FD6ADD">
      <w:pPr>
        <w:pStyle w:val="zGTC03"/>
      </w:pPr>
      <w:bookmarkStart w:name="_Hlk37507881" w:id="290"/>
      <w:r>
        <w:rPr>
          <w:b/>
        </w:rPr>
        <w:t>Costs.</w:t>
      </w:r>
      <w:bookmarkEnd w:id="290"/>
      <w:r>
        <w:t xml:space="preserve"> </w:t>
      </w:r>
      <w:bookmarkStart w:name="_Hlk37507912" w:id="291"/>
      <w:r>
        <w:t>If the independent expert adopts the position of one of the Parties, then the other Party will pay the fees and expenses of the expert. Otherwise, the Parties will share equally the fees and expenses.</w:t>
      </w:r>
      <w:bookmarkEnd w:id="291"/>
    </w:p>
    <w:p w:rsidRPr="000057B0" w:rsidR="007C2163" w:rsidP="007C2163" w:rsidRDefault="007C2163" w14:paraId="39F12874" w14:textId="77777777">
      <w:pPr>
        <w:pStyle w:val="zGTC02"/>
        <w:rPr>
          <w:rFonts w:ascii="Arial" w:hAnsi="Arial" w:eastAsia="PMingLiU" w:cs="Arial"/>
          <w:vanish/>
          <w:szCs w:val="20"/>
          <w:specVanish/>
        </w:rPr>
      </w:pPr>
      <w:bookmarkStart w:name="_Toc212473062" w:id="292"/>
      <w:bookmarkStart w:name="_Toc227840755" w:id="293"/>
      <w:r>
        <w:rPr>
          <w:rFonts w:ascii="Arial" w:hAnsi="Arial" w:cs="Arial"/>
          <w:szCs w:val="20"/>
        </w:rPr>
        <w:t>JAMS Arbitration.</w:t>
      </w:r>
      <w:bookmarkEnd w:id="292"/>
      <w:bookmarkEnd w:id="293"/>
    </w:p>
    <w:p w:rsidRPr="000057B0" w:rsidR="007C2163" w:rsidP="007C2163" w:rsidRDefault="007C2163" w14:paraId="73A9B298" w14:textId="79A0106C">
      <w:pPr>
        <w:pStyle w:val="zGNormal"/>
      </w:pPr>
      <w:r>
        <w:t xml:space="preserve"> </w:t>
      </w:r>
      <w:bookmarkStart w:name="_Hlk37507959" w:id="294"/>
      <w:r>
        <w:t>Upon the submission of an Impasse Notice, the following disputes will be resolved by arbitration as set forth in this Section 19.3: (</w:t>
      </w:r>
      <w:r>
        <w:rPr>
          <w:i/>
          <w:iCs/>
        </w:rPr>
        <w:t>JAMS Arbitration</w:t>
      </w:r>
      <w:r>
        <w:t xml:space="preserve">) (i) a dispute regarding the calculation of a Termination Payment </w:t>
      </w:r>
      <w:r>
        <w:rPr>
          <w:rFonts w:eastAsia="Times New Roman"/>
        </w:rPr>
        <w:t>in accordance with</w:t>
      </w:r>
      <w:r>
        <w:t xml:space="preserve"> Section 16.3.3 (</w:t>
      </w:r>
      <w:r>
        <w:rPr>
          <w:i/>
          <w:iCs/>
        </w:rPr>
        <w:t>Determining Gains, Losses, and Costs</w:t>
      </w:r>
      <w:r>
        <w:t>); or (ii) a billing dispute under Section 5.2 (</w:t>
      </w:r>
      <w:r>
        <w:rPr>
          <w:i/>
          <w:iCs/>
        </w:rPr>
        <w:t>Billing Disputes and Final Accounting</w:t>
      </w:r>
      <w:r>
        <w:t xml:space="preserve">), including a dispute concerning the calculation of: (a) a </w:t>
      </w:r>
      <w:bookmarkStart w:name="_Hlk37074926" w:id="295"/>
      <w:r>
        <w:t xml:space="preserve">Monthly Capacity Payment in accordance with </w:t>
      </w:r>
      <w:r>
        <w:rPr>
          <w:bCs/>
        </w:rPr>
        <w:t xml:space="preserve">Exhibit </w:t>
      </w:r>
      <w:bookmarkEnd w:id="295"/>
      <w:r>
        <w:rPr>
          <w:bCs/>
        </w:rPr>
        <w:t>B (</w:t>
      </w:r>
      <w:r>
        <w:rPr>
          <w:bCs/>
          <w:i/>
          <w:iCs/>
        </w:rPr>
        <w:t>Capacity; Capacity Payments and Payment Reductions; Buydown</w:t>
      </w:r>
      <w:r>
        <w:rPr>
          <w:bCs/>
        </w:rPr>
        <w:t>)</w:t>
      </w:r>
      <w:r>
        <w:t>, Part 2 (</w:t>
      </w:r>
      <w:r>
        <w:rPr>
          <w:i/>
          <w:iCs/>
        </w:rPr>
        <w:t>Monthly Capacity Payment</w:t>
      </w:r>
      <w:r>
        <w:t>), Part 3 (</w:t>
      </w:r>
      <w:r>
        <w:rPr>
          <w:i/>
          <w:iCs/>
        </w:rPr>
        <w:t>Monthly Availability Adjustment</w:t>
      </w:r>
      <w:r>
        <w:t>), or Part 4 (</w:t>
      </w:r>
      <w:r>
        <w:rPr>
          <w:i/>
          <w:iCs/>
        </w:rPr>
        <w:t>Calculation of Replacement Costs</w:t>
      </w:r>
      <w:r>
        <w:t>)</w:t>
      </w:r>
      <w:r>
        <w:rPr>
          <w:i/>
          <w:iCs/>
        </w:rPr>
        <w:t xml:space="preserve">; </w:t>
      </w:r>
      <w:r>
        <w:t xml:space="preserve">or (b) a Monthly Energy Payment in accordance with </w:t>
      </w:r>
      <w:r>
        <w:rPr>
          <w:bCs/>
        </w:rPr>
        <w:t>Exhibit C</w:t>
      </w:r>
      <w:r>
        <w:t xml:space="preserve"> (</w:t>
      </w:r>
      <w:r>
        <w:rPr>
          <w:i/>
          <w:iCs/>
        </w:rPr>
        <w:t>Energy Payment Calculation</w:t>
      </w:r>
      <w:r>
        <w:t>) (each, a “</w:t>
      </w:r>
      <w:bookmarkEnd w:id="294"/>
      <w:r>
        <w:rPr>
          <w:b/>
          <w:bCs/>
        </w:rPr>
        <w:t>Billing Dispute</w:t>
      </w:r>
      <w:r>
        <w:t>”).</w:t>
      </w:r>
    </w:p>
    <w:p w:rsidRPr="000057B0" w:rsidR="007C2163" w:rsidP="009149B2" w:rsidRDefault="007C2163" w14:paraId="503563DC" w14:textId="07EFB401">
      <w:pPr>
        <w:pStyle w:val="zGTC03"/>
      </w:pPr>
      <w:bookmarkStart w:name="_Hlk37508021" w:id="296"/>
      <w:r>
        <w:rPr>
          <w:b/>
        </w:rPr>
        <w:t>JAMS.</w:t>
      </w:r>
      <w:r>
        <w:t xml:space="preserve"> The Billing Dispute will be resolved under the Federal Arbitration Act by binding arbitration following the JAMS Comprehensive Arbitration Rules and Procedures (“</w:t>
      </w:r>
      <w:r>
        <w:rPr>
          <w:b/>
        </w:rPr>
        <w:t>Rules</w:t>
      </w:r>
      <w:r>
        <w:t>”) of Judicial Arbitration and Mediation Services (“</w:t>
      </w:r>
      <w:r>
        <w:rPr>
          <w:b/>
        </w:rPr>
        <w:t>JAMS</w:t>
      </w:r>
      <w:r>
        <w:t xml:space="preserve">”) then in effect, including its evidentiary and procedural rules, except as modified in this PPA. It is the Parties’ intent that the arbitration, including the selection and qualification of arbitrators, will be conducted in accordance with the Rules, as amended and supplemented, except where specifically modified by this PPA, and not by the terms of any state arbitration act or other </w:t>
      </w:r>
      <w:bookmarkEnd w:id="296"/>
      <w:r>
        <w:t>applicable law.</w:t>
      </w:r>
    </w:p>
    <w:p w:rsidRPr="002904A8" w:rsidR="007C2163" w:rsidP="007C2163" w:rsidRDefault="007C2163" w14:paraId="2B44C577" w14:textId="77777777">
      <w:pPr>
        <w:pStyle w:val="zGTC03"/>
        <w:rPr>
          <w:b/>
        </w:rPr>
      </w:pPr>
      <w:bookmarkStart w:name="_Hlk37508045" w:id="297"/>
      <w:r>
        <w:rPr>
          <w:b/>
        </w:rPr>
        <w:t>Initiation of Arbitration; Selection of Arbitrators.</w:t>
      </w:r>
      <w:bookmarkEnd w:id="297"/>
    </w:p>
    <w:p w:rsidRPr="000057B0" w:rsidR="007C2163" w:rsidP="007C2163" w:rsidRDefault="00751406" w14:paraId="08583835" w14:textId="1FF8C120">
      <w:pPr>
        <w:pStyle w:val="zGTC04"/>
        <w:rPr>
          <w:szCs w:val="20"/>
        </w:rPr>
      </w:pPr>
      <w:bookmarkStart w:name="_Hlk37508079" w:id="298"/>
      <w:r>
        <w:rPr>
          <w:b/>
          <w:szCs w:val="20"/>
        </w:rPr>
        <w:t xml:space="preserve">Initiation of Arbitration; Selection of Party-Appointed Arbitrators. </w:t>
      </w:r>
      <w:r>
        <w:rPr>
          <w:szCs w:val="20"/>
        </w:rPr>
        <w:t xml:space="preserve">Within 10 Business Days after delivering an Impasse Notice, the delivering Party must contact JAMS to commence arbitration and must provide notice to the other Party. Arbitration will be deemed to be commenced when JAMS issues a Commencement Letter (as defined in the Rules) in accordance with the Rules. The Party initiating arbitration will nominate one arbitrator at the same time it initiates arbitration. The other Party will nominate one arbitrator within 10 Business Days </w:t>
      </w:r>
      <w:r w:rsidR="00A62243">
        <w:rPr>
          <w:szCs w:val="20"/>
        </w:rPr>
        <w:t xml:space="preserve">after </w:t>
      </w:r>
      <w:r>
        <w:rPr>
          <w:szCs w:val="20"/>
        </w:rPr>
        <w:t>receiving the Commencement Letter. The two Party-nominated arbitrators will be deemed neutrals and not the representative of the appointing Party. The two arbitrators (“</w:t>
      </w:r>
      <w:r>
        <w:rPr>
          <w:b/>
          <w:szCs w:val="20"/>
        </w:rPr>
        <w:t>Party-Appointed Arbitrators</w:t>
      </w:r>
      <w:r>
        <w:rPr>
          <w:szCs w:val="20"/>
        </w:rPr>
        <w:t>”) will appoint a third arbitrator (“</w:t>
      </w:r>
      <w:r>
        <w:rPr>
          <w:b/>
          <w:szCs w:val="20"/>
        </w:rPr>
        <w:t>Third Arbitrator</w:t>
      </w:r>
      <w:r>
        <w:rPr>
          <w:szCs w:val="20"/>
        </w:rPr>
        <w:t>”). The “</w:t>
      </w:r>
      <w:r>
        <w:rPr>
          <w:b/>
          <w:szCs w:val="20"/>
        </w:rPr>
        <w:t>Arbitration Panel</w:t>
      </w:r>
      <w:r>
        <w:rPr>
          <w:szCs w:val="20"/>
        </w:rPr>
        <w:t>” will include the two Party-Appointed Arbitrators and the Third Arbitrator. All arbitrators must: (i) be competent and experienced in matters involving the electric energy business in the United States, with at least 10 years of legal, engineering, or business experience in the electric industry; (ii) have no interest, financial or otherwise, in the Parties or this PPA beyond payment of their fees and expenses for serving on the Arbitration Panel; and (iii) have not performed, or been employed by a firm that has provided, services for either Party, and otherwise have not been previously or currently employed or engaged in any capacity by, and not have a personal or professional relationship with, either Party other than as a member of the Arbitration Panel, unless the employment, engagement, or relationship has been disclosed in writing to all Parties prior to the selection of the Arbitration Panel</w:t>
      </w:r>
      <w:r w:rsidR="00BA2CC0">
        <w:rPr>
          <w:szCs w:val="20"/>
        </w:rPr>
        <w:t xml:space="preserve"> without </w:t>
      </w:r>
      <w:r w:rsidR="00B130DE">
        <w:rPr>
          <w:szCs w:val="20"/>
        </w:rPr>
        <w:t>any unresolved</w:t>
      </w:r>
      <w:r w:rsidR="00930FB4">
        <w:rPr>
          <w:szCs w:val="20"/>
        </w:rPr>
        <w:t xml:space="preserve"> </w:t>
      </w:r>
      <w:r w:rsidR="00BA2CC0">
        <w:rPr>
          <w:szCs w:val="20"/>
        </w:rPr>
        <w:t>objection by either Party</w:t>
      </w:r>
      <w:r>
        <w:rPr>
          <w:szCs w:val="20"/>
        </w:rPr>
        <w:t>. Arbitrators must not advise or otherwise communicate ex parte in any way with either Party following appointment to the Arbitration Panel and must treat the details of this PPA and all Arbitration Panel activity as private and confidential, and not publish or disclose any information related to the arbitration without the prior written consent of both Parties. Further, the Third Arbitrator will be independent of the Parties and the Party-Appointed Arbitrators. Each Party will pay the fees and expenses incurred by its Party-Appointed Arbitrator and the fees and expenses of the Third Arbitrator will be divided equally between the Parties.</w:t>
      </w:r>
      <w:bookmarkEnd w:id="298"/>
    </w:p>
    <w:p w:rsidRPr="000057B0" w:rsidR="007C2163" w:rsidP="00C66481" w:rsidRDefault="00751406" w14:paraId="76F8B67C" w14:textId="2E13A4B1">
      <w:pPr>
        <w:pStyle w:val="zGTC04"/>
      </w:pPr>
      <w:bookmarkStart w:name="_Hlk37508126" w:id="299"/>
      <w:r>
        <w:rPr>
          <w:b/>
          <w:bCs/>
        </w:rPr>
        <w:lastRenderedPageBreak/>
        <w:t>Appointment of Third Arbitrator.</w:t>
      </w:r>
      <w:r>
        <w:t xml:space="preserve"> If the Party-Appointed Arbitrators are unable to agree on the Third Arbitrator within 10 Business Days </w:t>
      </w:r>
      <w:r w:rsidR="00C02EC3">
        <w:t xml:space="preserve">after the </w:t>
      </w:r>
      <w:r>
        <w:t>initiation of arbitration, then the Third Arbitrator will be selected by JAMS with due regard given to the selection criteria in Section 19.3.2(i) (</w:t>
      </w:r>
      <w:r>
        <w:rPr>
          <w:i/>
          <w:iCs/>
        </w:rPr>
        <w:t xml:space="preserve">Initiation of Arbitration; Selection of </w:t>
      </w:r>
      <w:r>
        <w:rPr>
          <w:i/>
        </w:rPr>
        <w:t>Party-Appointed Arbitrators</w:t>
      </w:r>
      <w:r>
        <w:t>) and input from the Parties and the Party-Appointed Arbitrators. Parties will undertake to request JAMS to complete selection of the Third Arbitrator no later than 60 Days after initiation of arbitration. Costs charged by JAMS for this service will be borne by the Parties equally.</w:t>
      </w:r>
      <w:r>
        <w:rPr>
          <w:rFonts w:eastAsiaTheme="minorHAnsi"/>
        </w:rPr>
        <w:t xml:space="preserve"> </w:t>
      </w:r>
      <w:r>
        <w:t>If JAMS should fail to select the Third Arbitrator within 60 Days after initiation of arbitration, then either Party may petition a court of competent jurisdiction in Atlanta, Fulton County, Georgia to select the Third Arbitrator. Due regard will be given to the selection criteria in Section 19.3.2(i) and input from the Parties and the Party-Appointed Arbitrators.</w:t>
      </w:r>
      <w:bookmarkStart w:name="_Hlk37508157" w:id="300"/>
      <w:bookmarkEnd w:id="299"/>
      <w:r>
        <w:t xml:space="preserve"> If, before the conclusion of the arbitration, any member of the Arbitration Panel becomes incapacitated or otherwise unable to serve, then a replacement arbitrator will be appointed in the manner set forth in this Section 19.3.2</w:t>
      </w:r>
      <w:bookmarkEnd w:id="300"/>
      <w:r>
        <w:t xml:space="preserve"> (</w:t>
      </w:r>
      <w:r>
        <w:rPr>
          <w:i/>
          <w:iCs/>
        </w:rPr>
        <w:t>Initiation of Arbitration; Selection of Arbitrators</w:t>
      </w:r>
      <w:r>
        <w:t>).</w:t>
      </w:r>
    </w:p>
    <w:p w:rsidRPr="000057B0" w:rsidR="007C2163" w:rsidP="000738D7" w:rsidRDefault="007C2163" w14:paraId="3E7DA6A9" w14:textId="5D5E5481">
      <w:pPr>
        <w:pStyle w:val="zGTC03"/>
      </w:pPr>
      <w:bookmarkStart w:name="_Hlk37508192" w:id="301"/>
      <w:r>
        <w:rPr>
          <w:b/>
        </w:rPr>
        <w:t>Discovery; Hearing.</w:t>
      </w:r>
      <w:r>
        <w:tab/>
        <w:t xml:space="preserve">Discovery and other pre-hearing procedures will be conducted as agreed by the Parties, including at least one corporate </w:t>
      </w:r>
      <w:r w:rsidR="00FE6BD0">
        <w:t>r</w:t>
      </w:r>
      <w:r>
        <w:t>epresentative deposition, or if they cannot agree, as determined by a majority of the Arbitration Panel</w:t>
      </w:r>
      <w:r w:rsidR="00FE6BD0">
        <w:t xml:space="preserve"> so long as all</w:t>
      </w:r>
      <w:r>
        <w:t xml:space="preserve"> pre-hearing discovery </w:t>
      </w:r>
      <w:r w:rsidR="00FE6BD0">
        <w:t>is</w:t>
      </w:r>
      <w:r w:rsidDel="00FE6BD0">
        <w:t xml:space="preserve"> </w:t>
      </w:r>
      <w:r>
        <w:t xml:space="preserve">completed within 90 Days after selection of the Third Arbitrator. Within 15 Business Days after completion of the pre-hearing discovery, </w:t>
      </w:r>
      <w:bookmarkStart w:name="_DV_M243" w:id="302"/>
      <w:bookmarkStart w:name="_DV_C66" w:id="303"/>
      <w:bookmarkEnd w:id="302"/>
      <w:r>
        <w:t>each Party</w:t>
      </w:r>
      <w:bookmarkStart w:name="_DV_M244" w:id="304"/>
      <w:bookmarkEnd w:id="303"/>
      <w:bookmarkEnd w:id="304"/>
      <w:r>
        <w:t xml:space="preserve"> will submit, either individually or jointly, by overnight delivery to </w:t>
      </w:r>
      <w:bookmarkStart w:name="_DV_C68" w:id="305"/>
      <w:r>
        <w:t>the</w:t>
      </w:r>
      <w:bookmarkStart w:name="_DV_M245" w:id="306"/>
      <w:bookmarkEnd w:id="305"/>
      <w:bookmarkEnd w:id="306"/>
      <w:r>
        <w:t xml:space="preserve"> other </w:t>
      </w:r>
      <w:bookmarkStart w:name="_DV_M246" w:id="307"/>
      <w:bookmarkStart w:name="_DV_C70" w:id="308"/>
      <w:bookmarkEnd w:id="307"/>
      <w:r>
        <w:t>Party</w:t>
      </w:r>
      <w:bookmarkStart w:name="_DV_M247" w:id="309"/>
      <w:bookmarkEnd w:id="308"/>
      <w:bookmarkEnd w:id="309"/>
      <w:r>
        <w:t xml:space="preserve"> and the Arbitration Panel a separate, precise statement for each issue in dispute, that Party’s proposed means of resolving each issue, and the factual or legal support for such proposal (“</w:t>
      </w:r>
      <w:r>
        <w:rPr>
          <w:b/>
        </w:rPr>
        <w:t>Proposed Resolutions</w:t>
      </w:r>
      <w:r>
        <w:t>”). No later than 30 Business Days after all pre-hearing discovery has been completed, a hearing will be conducted at which Seller and GPC will each present evidence and witnesses as it may choose. Arbitration will be conducted in accordance with the Rules, as amended and supplemented, except where specifically modified by this PPA.</w:t>
      </w:r>
      <w:bookmarkEnd w:id="301"/>
    </w:p>
    <w:p w:rsidRPr="000057B0" w:rsidR="007C2163" w:rsidP="007C2163" w:rsidRDefault="007C2163" w14:paraId="756F85B8" w14:textId="5C780534">
      <w:pPr>
        <w:pStyle w:val="zGTC03"/>
      </w:pPr>
      <w:bookmarkStart w:name="_Hlk37508226" w:id="310"/>
      <w:r>
        <w:rPr>
          <w:b/>
        </w:rPr>
        <w:t>Confidential Proceeding.</w:t>
      </w:r>
      <w:r>
        <w:t xml:space="preserve"> Each Party must maintain the confidentiality of the arbitration proceedings, except as reasonably necessary to effectively represent itself in the proceeding to enforce the arbitration award or determination, or as otherwise required by law. All discovery materials will remain confidential in accordance with Section 20.16 (</w:t>
      </w:r>
      <w:r>
        <w:rPr>
          <w:i/>
        </w:rPr>
        <w:t>Confidentiality</w:t>
      </w:r>
      <w:r>
        <w:t>).</w:t>
      </w:r>
      <w:bookmarkEnd w:id="310"/>
    </w:p>
    <w:p w:rsidRPr="000057B0" w:rsidR="007C2163" w:rsidP="007C2163" w:rsidRDefault="007C2163" w14:paraId="5269EC5D" w14:textId="096E6DC2">
      <w:pPr>
        <w:pStyle w:val="zGTC03"/>
      </w:pPr>
      <w:bookmarkStart w:name="_Hlk37506695" w:id="311"/>
      <w:bookmarkStart w:name="_Hlk37508245" w:id="312"/>
      <w:r>
        <w:rPr>
          <w:b/>
        </w:rPr>
        <w:t>Arbitration Cost.</w:t>
      </w:r>
      <w:r>
        <w:t xml:space="preserve"> </w:t>
      </w:r>
      <w:bookmarkStart w:name="_Hlk37506714" w:id="313"/>
      <w:bookmarkEnd w:id="311"/>
      <w:r>
        <w:t>Each Party will be responsible for its own legal and arbitration expenses incurred in connection with the arbitration proceeding, including attorneys’ fees, investigation, or discovery (including e-discovery) costs, and expert, consultant or arbitrator fees and expenses.</w:t>
      </w:r>
      <w:bookmarkEnd w:id="312"/>
      <w:bookmarkEnd w:id="313"/>
    </w:p>
    <w:p w:rsidRPr="002734EC" w:rsidR="007C2163" w:rsidP="007C2163" w:rsidRDefault="007C2163" w14:paraId="449D83D3" w14:textId="77777777">
      <w:pPr>
        <w:pStyle w:val="zGTC03"/>
        <w:rPr>
          <w:b/>
        </w:rPr>
      </w:pPr>
      <w:bookmarkStart w:name="_Toc379477327" w:id="314"/>
      <w:r>
        <w:rPr>
          <w:b/>
        </w:rPr>
        <w:t>Arbitrator Decisions</w:t>
      </w:r>
      <w:bookmarkStart w:name="_DV_M249" w:id="315"/>
      <w:bookmarkEnd w:id="315"/>
      <w:r>
        <w:rPr>
          <w:b/>
        </w:rPr>
        <w:t>.</w:t>
      </w:r>
      <w:bookmarkEnd w:id="314"/>
    </w:p>
    <w:p w:rsidRPr="000057B0" w:rsidR="007C2163" w:rsidP="007C2163" w:rsidRDefault="008E19E6" w14:paraId="69D71FE6" w14:textId="5BAC2614">
      <w:pPr>
        <w:pStyle w:val="zGTC04"/>
        <w:rPr>
          <w:szCs w:val="20"/>
        </w:rPr>
      </w:pPr>
      <w:bookmarkStart w:name="_Hlk37506777" w:id="316"/>
      <w:r>
        <w:rPr>
          <w:b/>
          <w:szCs w:val="20"/>
        </w:rPr>
        <w:t xml:space="preserve">Considerations. </w:t>
      </w:r>
      <w:r>
        <w:rPr>
          <w:szCs w:val="20"/>
        </w:rPr>
        <w:t>The Arbitration Panel will consider the terms and conditions of this PPA, including all relevant evidence and testimony, and will render its decision</w:t>
      </w:r>
      <w:r w:rsidR="00895FC5">
        <w:rPr>
          <w:szCs w:val="20"/>
        </w:rPr>
        <w:t xml:space="preserve"> (by means of a written reasoned decision)</w:t>
      </w:r>
      <w:r>
        <w:rPr>
          <w:szCs w:val="20"/>
        </w:rPr>
        <w:t xml:space="preserve"> within 30 Days following conclusion of the hearing. However, the Arbitration Panel is expressly and specifically limited to selecting one of the Proposed Resolutions provided by </w:t>
      </w:r>
      <w:r w:rsidR="007F0628">
        <w:rPr>
          <w:szCs w:val="20"/>
        </w:rPr>
        <w:t xml:space="preserve">either </w:t>
      </w:r>
      <w:r>
        <w:rPr>
          <w:szCs w:val="20"/>
        </w:rPr>
        <w:t xml:space="preserve">Seller </w:t>
      </w:r>
      <w:r w:rsidR="007F0628">
        <w:rPr>
          <w:szCs w:val="20"/>
        </w:rPr>
        <w:t xml:space="preserve">or </w:t>
      </w:r>
      <w:r>
        <w:t>GPC</w:t>
      </w:r>
      <w:r>
        <w:rPr>
          <w:szCs w:val="20"/>
        </w:rPr>
        <w:t xml:space="preserve"> for each issue in dispute. The Arbitration Panel will have no authority to award consequential, special, indirect, treble, exemplary, incidental, or punitive damages of any type under any circumstance, regardless of whether such damages may be available under applicable state law, federal law, the Federal Arbitration Act, or any other applicable law.</w:t>
      </w:r>
      <w:bookmarkEnd w:id="316"/>
    </w:p>
    <w:p w:rsidRPr="000057B0" w:rsidR="007C2163" w:rsidP="007C2163" w:rsidRDefault="00983524" w14:paraId="7CEFAA1F" w14:textId="3783032C">
      <w:pPr>
        <w:pStyle w:val="zGTC04"/>
        <w:rPr>
          <w:szCs w:val="20"/>
        </w:rPr>
      </w:pPr>
      <w:bookmarkStart w:name="_Hlk37506808" w:id="317"/>
      <w:r>
        <w:rPr>
          <w:b/>
          <w:szCs w:val="20"/>
        </w:rPr>
        <w:t xml:space="preserve">Decision of Arbitration Panel. </w:t>
      </w:r>
      <w:r>
        <w:rPr>
          <w:szCs w:val="20"/>
        </w:rPr>
        <w:t>The written decision rendered by a majority of the Arbitration Panel will be provided to the Parties.</w:t>
      </w:r>
      <w:r>
        <w:t xml:space="preserve"> </w:t>
      </w:r>
      <w:r>
        <w:rPr>
          <w:szCs w:val="20"/>
        </w:rPr>
        <w:t>The decision may be filed in a court of competent jurisdiction and may be enforced by Seller or GPC as a final judgment in such court.</w:t>
      </w:r>
      <w:bookmarkEnd w:id="317"/>
    </w:p>
    <w:p w:rsidRPr="000057B0" w:rsidR="007C2163" w:rsidP="007C2163" w:rsidRDefault="007C2163" w14:paraId="115E52DD" w14:textId="77777777">
      <w:pPr>
        <w:pStyle w:val="zGTC02"/>
        <w:rPr>
          <w:rFonts w:ascii="Arial" w:hAnsi="Arial" w:eastAsia="PMingLiU" w:cs="Arial"/>
          <w:vanish/>
          <w:szCs w:val="20"/>
          <w:specVanish/>
        </w:rPr>
      </w:pPr>
      <w:bookmarkStart w:name="_Toc212473063" w:id="318"/>
      <w:bookmarkStart w:name="_Toc227840756" w:id="319"/>
      <w:r>
        <w:rPr>
          <w:rFonts w:ascii="Arial" w:hAnsi="Arial" w:cs="Arial"/>
          <w:szCs w:val="20"/>
        </w:rPr>
        <w:t>Location of Arbitration.</w:t>
      </w:r>
      <w:bookmarkEnd w:id="318"/>
      <w:bookmarkEnd w:id="319"/>
    </w:p>
    <w:p w:rsidRPr="000057B0" w:rsidR="007C2163" w:rsidP="00454CB4" w:rsidRDefault="007C2163" w14:paraId="6A9D9577" w14:textId="3422391B">
      <w:pPr>
        <w:pStyle w:val="zGNormal"/>
        <w:spacing w:before="240"/>
      </w:pPr>
      <w:r>
        <w:t xml:space="preserve"> </w:t>
      </w:r>
      <w:bookmarkStart w:name="_Hlk37506861" w:id="320"/>
      <w:r>
        <w:t>Any arbitration under Section 19.2 (</w:t>
      </w:r>
      <w:r>
        <w:rPr>
          <w:i/>
          <w:iCs/>
        </w:rPr>
        <w:t>Expert Arbitration</w:t>
      </w:r>
      <w:r>
        <w:t>) or Section 19.3 (</w:t>
      </w:r>
      <w:r>
        <w:rPr>
          <w:i/>
          <w:iCs/>
        </w:rPr>
        <w:t>JAMS Arbitration</w:t>
      </w:r>
      <w:r>
        <w:t>) will take place in Atlanta, Fulton County, Georgia.</w:t>
      </w:r>
      <w:bookmarkEnd w:id="320"/>
    </w:p>
    <w:p w:rsidRPr="000057B0" w:rsidR="007C2163" w:rsidP="007C2163" w:rsidRDefault="007C2163" w14:paraId="3A7BE460" w14:textId="77777777">
      <w:pPr>
        <w:pStyle w:val="zGTC02"/>
        <w:rPr>
          <w:rFonts w:ascii="Arial" w:hAnsi="Arial" w:eastAsia="PMingLiU" w:cs="Arial"/>
          <w:vanish/>
          <w:szCs w:val="20"/>
          <w:specVanish/>
        </w:rPr>
      </w:pPr>
      <w:bookmarkStart w:name="_Toc212473064" w:id="321"/>
      <w:bookmarkStart w:name="_Toc227840757" w:id="322"/>
      <w:r>
        <w:rPr>
          <w:rFonts w:ascii="Arial" w:hAnsi="Arial" w:cs="Arial"/>
          <w:szCs w:val="20"/>
        </w:rPr>
        <w:t>Mandatory Arbitration.</w:t>
      </w:r>
      <w:bookmarkEnd w:id="321"/>
      <w:bookmarkEnd w:id="322"/>
    </w:p>
    <w:p w:rsidRPr="000057B0" w:rsidR="007C2163" w:rsidP="007C2163" w:rsidRDefault="007C2163" w14:paraId="3DF5112A" w14:textId="07D2D098">
      <w:pPr>
        <w:pStyle w:val="zGNormal"/>
        <w:rPr>
          <w:b/>
          <w:u w:val="single"/>
        </w:rPr>
      </w:pPr>
      <w:r>
        <w:t xml:space="preserve"> </w:t>
      </w:r>
      <w:bookmarkStart w:name="_Hlk37506919" w:id="323"/>
      <w:r>
        <w:rPr>
          <w:b/>
          <w:bCs/>
          <w:u w:val="single"/>
        </w:rPr>
        <w:t>Subject to Section 19.3</w:t>
      </w:r>
      <w:r w:rsidR="004258D4">
        <w:rPr>
          <w:b/>
          <w:u w:val="single"/>
        </w:rPr>
        <w:t xml:space="preserve">.6 </w:t>
      </w:r>
      <w:r>
        <w:rPr>
          <w:b/>
          <w:u w:val="single"/>
        </w:rPr>
        <w:t>(</w:t>
      </w:r>
      <w:r w:rsidR="004258D4">
        <w:rPr>
          <w:b/>
          <w:bCs/>
          <w:i/>
          <w:iCs/>
          <w:u w:val="single"/>
        </w:rPr>
        <w:t>Arbitrator Decisions</w:t>
      </w:r>
      <w:r>
        <w:rPr>
          <w:b/>
          <w:bCs/>
          <w:u w:val="single"/>
        </w:rPr>
        <w:t>), each Party understands and agrees that when arbitration is required under this Part 19, arbitration is mandatory and each party waives any right to seek judicial relief or file court proceedings to determine the specified matters under Section 19.2 (</w:t>
      </w:r>
      <w:r>
        <w:rPr>
          <w:b/>
          <w:bCs/>
          <w:i/>
          <w:iCs/>
          <w:u w:val="single"/>
        </w:rPr>
        <w:t>Expert Arbitration</w:t>
      </w:r>
      <w:r>
        <w:rPr>
          <w:b/>
          <w:bCs/>
          <w:u w:val="single"/>
        </w:rPr>
        <w:t>) or Section 19.3</w:t>
      </w:r>
      <w:r w:rsidR="00D32509">
        <w:rPr>
          <w:b/>
          <w:bCs/>
          <w:u w:val="single"/>
        </w:rPr>
        <w:t xml:space="preserve"> (</w:t>
      </w:r>
      <w:r w:rsidRPr="00D32509" w:rsidR="00D32509">
        <w:rPr>
          <w:b/>
          <w:bCs/>
          <w:i/>
          <w:iCs/>
          <w:u w:val="single"/>
        </w:rPr>
        <w:t>JAMS Arbitration</w:t>
      </w:r>
      <w:r w:rsidR="00D32509">
        <w:rPr>
          <w:b/>
          <w:bCs/>
          <w:u w:val="single"/>
        </w:rPr>
        <w:t>)</w:t>
      </w:r>
      <w:r>
        <w:rPr>
          <w:b/>
          <w:bCs/>
          <w:u w:val="single"/>
        </w:rPr>
        <w:t>, other than the right to seek judicial relief to compel arbitration, to confirm an arbitration award, or to seek injunctive relief under Section 19.6 (</w:t>
      </w:r>
      <w:r>
        <w:rPr>
          <w:b/>
          <w:bCs/>
          <w:i/>
          <w:iCs/>
          <w:u w:val="single"/>
        </w:rPr>
        <w:t>Injunctive Relief</w:t>
      </w:r>
      <w:r>
        <w:rPr>
          <w:b/>
          <w:bCs/>
          <w:u w:val="single"/>
        </w:rPr>
        <w:t>) in accordance with this PPA.</w:t>
      </w:r>
      <w:bookmarkEnd w:id="323"/>
    </w:p>
    <w:p w:rsidRPr="000057B0" w:rsidR="007C2163" w:rsidP="007C2163" w:rsidRDefault="007C2163" w14:paraId="7DA04D5F" w14:textId="77777777">
      <w:pPr>
        <w:pStyle w:val="zGTC02"/>
        <w:rPr>
          <w:rFonts w:ascii="Arial" w:hAnsi="Arial" w:eastAsia="PMingLiU" w:cs="Arial"/>
          <w:vanish/>
          <w:szCs w:val="20"/>
          <w:specVanish/>
        </w:rPr>
      </w:pPr>
      <w:bookmarkStart w:name="_Toc212473065" w:id="324"/>
      <w:bookmarkStart w:name="_Toc227840758" w:id="325"/>
      <w:r>
        <w:rPr>
          <w:rFonts w:ascii="Arial" w:hAnsi="Arial" w:cs="Arial"/>
          <w:szCs w:val="20"/>
        </w:rPr>
        <w:t>Injunctive Relief.</w:t>
      </w:r>
      <w:bookmarkEnd w:id="324"/>
      <w:bookmarkEnd w:id="325"/>
    </w:p>
    <w:p w:rsidRPr="000057B0" w:rsidR="007C2163" w:rsidP="007C2163" w:rsidRDefault="007C2163" w14:paraId="09C542E8" w14:textId="09F506E6">
      <w:pPr>
        <w:pStyle w:val="zGNormal"/>
      </w:pPr>
      <w:r>
        <w:t xml:space="preserve"> Despite </w:t>
      </w:r>
      <w:bookmarkStart w:name="_Hlk37506964" w:id="326"/>
      <w:r>
        <w:t>any other provision of this Part 19 (</w:t>
      </w:r>
      <w:r>
        <w:rPr>
          <w:i/>
          <w:iCs/>
        </w:rPr>
        <w:t>Dispute Resolution</w:t>
      </w:r>
      <w:r>
        <w:t xml:space="preserve">), the Parties acknowledge that an award of damages may not afford complete relief or furnish an adequate legal remedy as between them (such as when Seller’s Event of Default arises from Seller’s actions designed to achieve an </w:t>
      </w:r>
      <w:r>
        <w:lastRenderedPageBreak/>
        <w:t>economic gain by selling energy, capacity, or Ancillary Services to a third party in violation of this PPA). Accordingly, the Parties agree that a Party will be permitted to seek at any time, in accordance with applicable laws, procedures, and the terms of this PPA, injunctive relief relating to the performance of this PPA from an arbitrator, a Governmental Authority of appropriate jurisdiction, or a court of competent jurisdiction located in Atlanta, Fulton County, Georgia. The Parties expressly agree that this Section 19.6 (</w:t>
      </w:r>
      <w:r>
        <w:rPr>
          <w:i/>
          <w:iCs/>
        </w:rPr>
        <w:t>Injunctive Relief</w:t>
      </w:r>
      <w:r>
        <w:t>) does not present a question of substantive arbitrability and waive any right to have an arbitrator decide whether preliminary injunctive relief is available in court. In the event of entry of any interlocutory injunctive relief, the Party against whom such relief is entered waives the right to have a bond or security posted pending resolution of the dispute giving rise to the issuance of the injunction.</w:t>
      </w:r>
      <w:bookmarkEnd w:id="326"/>
    </w:p>
    <w:p w:rsidRPr="000057B0" w:rsidR="007C2163" w:rsidP="007C2163" w:rsidRDefault="007C2163" w14:paraId="6FA46877" w14:textId="77777777">
      <w:pPr>
        <w:pStyle w:val="zGTC02"/>
        <w:rPr>
          <w:rFonts w:ascii="Arial" w:hAnsi="Arial" w:eastAsia="PMingLiU" w:cs="Arial"/>
          <w:vanish/>
          <w:szCs w:val="20"/>
          <w:specVanish/>
        </w:rPr>
      </w:pPr>
      <w:bookmarkStart w:name="_Toc212473066" w:id="327"/>
      <w:bookmarkStart w:name="_Toc227840759" w:id="328"/>
      <w:r>
        <w:rPr>
          <w:rFonts w:ascii="Arial" w:hAnsi="Arial" w:cs="Arial"/>
          <w:szCs w:val="20"/>
        </w:rPr>
        <w:t>Continued Performance.</w:t>
      </w:r>
      <w:bookmarkEnd w:id="327"/>
      <w:bookmarkEnd w:id="328"/>
    </w:p>
    <w:p w:rsidRPr="000057B0" w:rsidR="007C2163" w:rsidP="007C2163" w:rsidRDefault="007C2163" w14:paraId="11488130" w14:textId="7A49953F">
      <w:pPr>
        <w:pStyle w:val="zGNormal"/>
      </w:pPr>
      <w:r>
        <w:t xml:space="preserve"> </w:t>
      </w:r>
      <w:bookmarkStart w:name="_Hlk37507003" w:id="329"/>
      <w:r>
        <w:t>The Parties agree to continue performing their respective obligations under this PPA while the dispute is being resolved, unless and until such obligations are terminated or expire in accordance with this PPA.</w:t>
      </w:r>
      <w:bookmarkEnd w:id="329"/>
    </w:p>
    <w:p w:rsidRPr="000057B0" w:rsidR="007C2163" w:rsidP="007C2163" w:rsidRDefault="002B7E3A" w14:paraId="2590CDE7" w14:textId="4010A233">
      <w:pPr>
        <w:pStyle w:val="zGTC01"/>
        <w:rPr>
          <w:rFonts w:ascii="Arial" w:hAnsi="Arial"/>
          <w:szCs w:val="20"/>
        </w:rPr>
      </w:pPr>
      <w:bookmarkStart w:name="_Toc212473067" w:id="330"/>
      <w:bookmarkStart w:name="_Toc227840760" w:id="331"/>
      <w:r>
        <w:rPr>
          <w:rFonts w:ascii="Arial" w:hAnsi="Arial"/>
          <w:szCs w:val="20"/>
        </w:rPr>
        <w:t>Miscellaneous Provisions</w:t>
      </w:r>
      <w:bookmarkEnd w:id="330"/>
      <w:bookmarkEnd w:id="331"/>
    </w:p>
    <w:p w:rsidRPr="000057B0" w:rsidR="007C2163" w:rsidP="007C2163" w:rsidRDefault="007C2163" w14:paraId="3F37EAFD" w14:textId="77777777">
      <w:pPr>
        <w:pStyle w:val="zGTC02"/>
        <w:rPr>
          <w:rFonts w:ascii="Arial" w:hAnsi="Arial" w:eastAsia="PMingLiU" w:cs="Arial"/>
          <w:vanish/>
          <w:szCs w:val="20"/>
          <w:specVanish/>
        </w:rPr>
      </w:pPr>
      <w:bookmarkStart w:name="_Toc212473068" w:id="332"/>
      <w:bookmarkStart w:name="_Toc227840761" w:id="333"/>
      <w:r>
        <w:rPr>
          <w:rFonts w:ascii="Arial" w:hAnsi="Arial" w:cs="Arial"/>
          <w:szCs w:val="20"/>
        </w:rPr>
        <w:t>Amendments.</w:t>
      </w:r>
      <w:bookmarkEnd w:id="332"/>
      <w:bookmarkEnd w:id="333"/>
    </w:p>
    <w:p w:rsidRPr="000057B0" w:rsidR="007C2163" w:rsidP="007C2163" w:rsidRDefault="007C2163" w14:paraId="5F3EBE1B" w14:textId="1AECE263">
      <w:pPr>
        <w:pStyle w:val="zGNormal"/>
      </w:pPr>
      <w:r>
        <w:t xml:space="preserve"> This PPA may be amended only by a written document duly executed by authorized representatives of GPC and Seller, each of GPC and Seller having received all approvals of Governmental Authorities necessary for the effectiveness of the Amendment.</w:t>
      </w:r>
    </w:p>
    <w:p w:rsidRPr="000057B0" w:rsidR="007C2163" w:rsidP="007C2163" w:rsidRDefault="007C2163" w14:paraId="050FF59E" w14:textId="0C57E12E">
      <w:pPr>
        <w:pStyle w:val="zGTC02"/>
        <w:rPr>
          <w:rFonts w:ascii="Arial" w:hAnsi="Arial" w:eastAsia="PMingLiU" w:cs="Arial"/>
          <w:i/>
          <w:iCs/>
          <w:vanish/>
          <w:szCs w:val="20"/>
          <w:specVanish/>
        </w:rPr>
      </w:pPr>
      <w:bookmarkStart w:name="_Toc212473069" w:id="334"/>
      <w:bookmarkStart w:name="_Toc227840762" w:id="335"/>
      <w:r>
        <w:rPr>
          <w:rFonts w:ascii="Arial" w:hAnsi="Arial" w:cs="Arial"/>
          <w:szCs w:val="20"/>
        </w:rPr>
        <w:t>Binding Effect</w:t>
      </w:r>
      <w:r>
        <w:rPr>
          <w:rFonts w:ascii="Arial" w:hAnsi="Arial" w:cs="Arial"/>
          <w:i/>
          <w:iCs/>
          <w:szCs w:val="20"/>
        </w:rPr>
        <w:t>.</w:t>
      </w:r>
      <w:bookmarkEnd w:id="334"/>
      <w:bookmarkEnd w:id="335"/>
    </w:p>
    <w:p w:rsidRPr="000057B0" w:rsidR="007C2163" w:rsidP="007C2163" w:rsidRDefault="007C2163" w14:paraId="504E5FC7" w14:textId="779BB7AE">
      <w:pPr>
        <w:pStyle w:val="zGNormal"/>
      </w:pPr>
      <w:r>
        <w:t xml:space="preserve"> This PPA and any extension will inure to the benefit of and will be binding upon the Parties and their respective permitted successors and permitted assigns.</w:t>
      </w:r>
    </w:p>
    <w:p w:rsidRPr="000057B0" w:rsidR="007C2163" w:rsidP="007C2163" w:rsidRDefault="007C2163" w14:paraId="69BD23AA" w14:textId="3DD9F080">
      <w:pPr>
        <w:pStyle w:val="zGTC02"/>
        <w:rPr>
          <w:rFonts w:ascii="Arial" w:hAnsi="Arial" w:eastAsia="PMingLiU" w:cs="Arial"/>
          <w:vanish/>
          <w:szCs w:val="20"/>
          <w:specVanish/>
        </w:rPr>
      </w:pPr>
      <w:bookmarkStart w:name="_Toc212473070" w:id="336"/>
      <w:bookmarkStart w:name="_Toc227840763" w:id="337"/>
      <w:r>
        <w:rPr>
          <w:rFonts w:ascii="Arial" w:hAnsi="Arial" w:cs="Arial"/>
          <w:szCs w:val="20"/>
        </w:rPr>
        <w:t>Counterparts.</w:t>
      </w:r>
      <w:bookmarkEnd w:id="336"/>
      <w:bookmarkEnd w:id="337"/>
    </w:p>
    <w:p w:rsidRPr="000057B0" w:rsidR="007C2163" w:rsidP="007C2163" w:rsidRDefault="007C2163" w14:paraId="180E30D0" w14:textId="6C956732">
      <w:pPr>
        <w:pStyle w:val="zGNormal"/>
      </w:pPr>
      <w:r>
        <w:t xml:space="preserve"> This PPA may be executed in two or more counterparts and by electronic transmission of signatures in portable document format (PDF) or another electronic format, each of which will be deemed an original but all of which together will constitute one and the same agreement.</w:t>
      </w:r>
    </w:p>
    <w:p w:rsidRPr="000057B0" w:rsidR="007C2163" w:rsidP="007C2163" w:rsidRDefault="007C2163" w14:paraId="73735F4B" w14:textId="21F12CF1">
      <w:pPr>
        <w:pStyle w:val="zGTC02"/>
        <w:rPr>
          <w:rFonts w:ascii="Arial" w:hAnsi="Arial" w:eastAsia="PMingLiU" w:cs="Arial"/>
          <w:vanish/>
          <w:szCs w:val="20"/>
          <w:specVanish/>
        </w:rPr>
      </w:pPr>
      <w:bookmarkStart w:name="_Toc212473071" w:id="338"/>
      <w:bookmarkStart w:name="_Toc227840764" w:id="339"/>
      <w:r>
        <w:rPr>
          <w:rFonts w:ascii="Arial" w:hAnsi="Arial" w:cs="Arial"/>
          <w:szCs w:val="20"/>
        </w:rPr>
        <w:t>Notice.</w:t>
      </w:r>
      <w:bookmarkEnd w:id="338"/>
      <w:bookmarkEnd w:id="339"/>
    </w:p>
    <w:p w:rsidRPr="000057B0" w:rsidR="007C2163" w:rsidP="007C2163" w:rsidRDefault="007C2163" w14:paraId="255CCE2E" w14:textId="5E049F50">
      <w:pPr>
        <w:pStyle w:val="zGNormal"/>
      </w:pPr>
      <w:r>
        <w:t xml:space="preserve"> </w:t>
      </w:r>
      <w:r w:rsidR="005A2AD7">
        <w:t xml:space="preserve">Except as otherwise provided in this PPA, </w:t>
      </w:r>
      <w:r w:rsidR="005A2AD7">
        <w:rPr>
          <w:rFonts w:eastAsia="PMingLiU"/>
        </w:rPr>
        <w:t>a</w:t>
      </w:r>
      <w:r>
        <w:rPr>
          <w:rFonts w:eastAsia="PMingLiU"/>
        </w:rPr>
        <w:t>ll notices, requests, consents, claims, demands, waivers, and other communications under this PPA must be in writing</w:t>
      </w:r>
      <w:r w:rsidR="006C69D4">
        <w:rPr>
          <w:rFonts w:eastAsia="PMingLiU"/>
        </w:rPr>
        <w:t xml:space="preserve"> (email being sufficient if</w:t>
      </w:r>
      <w:r>
        <w:rPr>
          <w:rFonts w:eastAsia="PMingLiU"/>
        </w:rPr>
        <w:t xml:space="preserve"> </w:t>
      </w:r>
      <w:r>
        <w:rPr>
          <w:rFonts w:eastAsia="Times New Roman"/>
        </w:rPr>
        <w:t>Exhibit M (</w:t>
      </w:r>
      <w:r>
        <w:rPr>
          <w:rFonts w:eastAsia="Times New Roman"/>
          <w:i/>
          <w:iCs/>
        </w:rPr>
        <w:t>Notices</w:t>
      </w:r>
      <w:r>
        <w:rPr>
          <w:rFonts w:eastAsia="Times New Roman"/>
        </w:rPr>
        <w:t xml:space="preserve">) </w:t>
      </w:r>
      <w:r w:rsidR="006C69D4">
        <w:rPr>
          <w:rFonts w:eastAsia="Times New Roman"/>
        </w:rPr>
        <w:t>includes an email address for the receiving Party),</w:t>
      </w:r>
      <w:r>
        <w:rPr>
          <w:rFonts w:eastAsia="Times New Roman"/>
        </w:rPr>
        <w:t xml:space="preserve"> must include this PPA’s title</w:t>
      </w:r>
      <w:r>
        <w:t xml:space="preserve"> and </w:t>
      </w:r>
      <w:r w:rsidR="002965F7">
        <w:t xml:space="preserve">the </w:t>
      </w:r>
      <w:r>
        <w:t>Facility name</w:t>
      </w:r>
      <w:r w:rsidR="00A629EA">
        <w:t>,</w:t>
      </w:r>
      <w:r>
        <w:t xml:space="preserve"> </w:t>
      </w:r>
      <w:r w:rsidR="00A629EA">
        <w:t>must be addressed to the receiving Party’s point-of-contact specified on Exhibit M,</w:t>
      </w:r>
      <w:r>
        <w:t xml:space="preserve"> and </w:t>
      </w:r>
      <w:r w:rsidR="00A629EA">
        <w:t>will be deemed to have been given when sent</w:t>
      </w:r>
      <w:r>
        <w:t xml:space="preserve"> by: (i) personal delivery (effective the date of delivery); (ii) if </w:t>
      </w:r>
      <w:r w:rsidR="00137EE2">
        <w:t>Exhibit M includes an</w:t>
      </w:r>
      <w:r>
        <w:t xml:space="preserve"> email address for </w:t>
      </w:r>
      <w:r w:rsidR="00137EE2">
        <w:t>the receiving Party</w:t>
      </w:r>
      <w:r>
        <w:t>, email delivery (effective that date if sent by 5:00 p.m. (recipient’s time); otherwise, the next Business Day</w:t>
      </w:r>
      <w:r w:rsidR="00137EE2">
        <w:t>)</w:t>
      </w:r>
      <w:r>
        <w:t>; (iii) p</w:t>
      </w:r>
      <w:r>
        <w:rPr>
          <w:rFonts w:eastAsia="Times New Roman"/>
        </w:rPr>
        <w:t xml:space="preserve">repaid nationally- or internationally- recognized commercial overnight courier (receipt requested; effective the next Business Day); or (iv) </w:t>
      </w:r>
      <w:r>
        <w:t>registered or certified U.S. mail, with proper postage (effective after the fourth Business Day).</w:t>
      </w:r>
    </w:p>
    <w:p w:rsidRPr="000057B0" w:rsidR="007C2163" w:rsidP="007C2163" w:rsidRDefault="007C2163" w14:paraId="745E80D7" w14:textId="6861F794">
      <w:pPr>
        <w:pStyle w:val="zGTC02"/>
        <w:rPr>
          <w:rFonts w:ascii="Arial" w:hAnsi="Arial" w:eastAsia="PMingLiU" w:cs="Arial"/>
          <w:vanish/>
          <w:szCs w:val="20"/>
          <w:specVanish/>
        </w:rPr>
      </w:pPr>
      <w:bookmarkStart w:name="_Toc212473072" w:id="340"/>
      <w:bookmarkStart w:name="_Toc227840765" w:id="341"/>
      <w:r>
        <w:rPr>
          <w:rFonts w:ascii="Arial" w:hAnsi="Arial" w:cs="Arial"/>
          <w:szCs w:val="20"/>
        </w:rPr>
        <w:t>Entire Agreement</w:t>
      </w:r>
      <w:bookmarkEnd w:id="340"/>
      <w:bookmarkEnd w:id="341"/>
    </w:p>
    <w:p w:rsidRPr="000057B0" w:rsidR="007C2163" w:rsidP="007C2163" w:rsidRDefault="007C2163" w14:paraId="6881B8E8" w14:textId="55F064AC">
      <w:pPr>
        <w:pStyle w:val="zGNormal"/>
      </w:pPr>
      <w:r>
        <w:t xml:space="preserve"> This PPA constitutes the entire understanding between the Parties and replaces any previous or contemporaneous oral or written discussion, representation, promise, arrangement, understanding, or agreement between the Parties related to the subject matter of this PPA. The Parties have entered into this PPA in reliance upon the representations and mutual undertakings contained in this PPA and not in reliance upon any oral or written representations or information provided by one Party to the other Party not contained or incorporated in this PPA.</w:t>
      </w:r>
    </w:p>
    <w:p w:rsidRPr="000057B0" w:rsidR="007C2163" w:rsidP="007C2163" w:rsidRDefault="007C2163" w14:paraId="539F7F69" w14:textId="77777777">
      <w:pPr>
        <w:pStyle w:val="zGTC02"/>
        <w:rPr>
          <w:rFonts w:ascii="Arial" w:hAnsi="Arial" w:eastAsia="PMingLiU" w:cs="Arial"/>
          <w:vanish/>
          <w:szCs w:val="20"/>
          <w:specVanish/>
        </w:rPr>
      </w:pPr>
      <w:bookmarkStart w:name="_Toc212473073" w:id="342"/>
      <w:bookmarkStart w:name="_Toc227840766" w:id="343"/>
      <w:r>
        <w:rPr>
          <w:rFonts w:ascii="Arial" w:hAnsi="Arial" w:cs="Arial"/>
          <w:szCs w:val="20"/>
        </w:rPr>
        <w:t>Governing Law.</w:t>
      </w:r>
      <w:bookmarkEnd w:id="342"/>
      <w:bookmarkEnd w:id="343"/>
    </w:p>
    <w:p w:rsidRPr="000057B0" w:rsidR="007C2163" w:rsidP="007C2163" w:rsidRDefault="007C2163" w14:paraId="28E7C4E6" w14:textId="0291FB57">
      <w:pPr>
        <w:pStyle w:val="zGNormal"/>
      </w:pPr>
      <w:r>
        <w:t xml:space="preserve"> The validity, interpretation, and performance of this PPA will be governed by the laws of the state of Georgia, without giving effect to any conflict of law principles that would require the application of the laws of another jurisdiction</w:t>
      </w:r>
      <w:r w:rsidR="00791F0E">
        <w:t xml:space="preserve">, except that the Federal Arbitration Act, 9 U.S.C. </w:t>
      </w:r>
      <w:r w:rsidRPr="00F67040" w:rsidR="00791F0E">
        <w:t>§§</w:t>
      </w:r>
      <w:r w:rsidR="00791F0E">
        <w:t xml:space="preserve"> 1 et seq. will govern the Parties’ agreement to arbitrate certain disputes as described in Part 19 (</w:t>
      </w:r>
      <w:r w:rsidR="00791F0E">
        <w:rPr>
          <w:i/>
        </w:rPr>
        <w:t>Dispute Resolution</w:t>
      </w:r>
      <w:r w:rsidR="00791F0E">
        <w:t>)</w:t>
      </w:r>
      <w:r>
        <w:t xml:space="preserve">. Subject to Part 19 regarding arbitration, each Party agrees that the state and federal courts, as applicable, of the state of Georgia will have exclusive jurisdiction for resolution of disputes under this PPA and each Party irrevocably consents to the jurisdiction of and venue in those courts. </w:t>
      </w:r>
    </w:p>
    <w:p w:rsidRPr="000057B0" w:rsidR="00D24CF1" w:rsidP="00D24CF1" w:rsidRDefault="00D24CF1" w14:paraId="05D20706" w14:textId="77777777">
      <w:pPr>
        <w:pStyle w:val="zGTC02"/>
        <w:widowControl w:val="0"/>
        <w:spacing w:after="120"/>
        <w:rPr>
          <w:vanish/>
          <w:specVanish/>
        </w:rPr>
      </w:pPr>
      <w:bookmarkStart w:name="_Toc227840767" w:id="344"/>
      <w:bookmarkStart w:name="_Toc227840768" w:id="345"/>
      <w:bookmarkStart w:name="_Toc137409374" w:id="346"/>
      <w:bookmarkStart w:name="_Toc153987158" w:id="347"/>
      <w:bookmarkStart w:name="_Toc212473075" w:id="348"/>
      <w:bookmarkStart w:name="_Toc227840769" w:id="349"/>
      <w:bookmarkStart w:name="_Toc379477350" w:id="350"/>
      <w:bookmarkEnd w:id="344"/>
      <w:bookmarkEnd w:id="345"/>
      <w:r>
        <w:t>Liability.</w:t>
      </w:r>
      <w:bookmarkEnd w:id="346"/>
      <w:bookmarkEnd w:id="347"/>
      <w:bookmarkEnd w:id="348"/>
      <w:bookmarkEnd w:id="349"/>
    </w:p>
    <w:p w:rsidRPr="000057B0" w:rsidR="00D24CF1" w:rsidP="00D24CF1" w:rsidRDefault="00D24CF1" w14:paraId="5635E61E" w14:textId="0509FBEC">
      <w:pPr>
        <w:pStyle w:val="zGNormal"/>
        <w:widowControl w:val="0"/>
      </w:pPr>
      <w:r>
        <w:t xml:space="preserve"> Neither Party will be responsible for the other Party’s performance, non-performance, or delay in performance under this PPA.</w:t>
      </w:r>
      <w:bookmarkEnd w:id="350"/>
    </w:p>
    <w:p w:rsidRPr="000057B0" w:rsidR="00B15964" w:rsidP="00B15964" w:rsidRDefault="00B15964" w14:paraId="4FB0F962" w14:textId="77777777">
      <w:pPr>
        <w:pStyle w:val="zGTC02"/>
        <w:widowControl w:val="0"/>
        <w:spacing w:after="120"/>
        <w:rPr>
          <w:vanish/>
          <w:specVanish/>
        </w:rPr>
      </w:pPr>
      <w:bookmarkStart w:name="_Toc137409375" w:id="351"/>
      <w:bookmarkStart w:name="_Toc153987159" w:id="352"/>
      <w:bookmarkStart w:name="_Toc212473076" w:id="353"/>
      <w:bookmarkStart w:name="_Toc227840770" w:id="354"/>
      <w:bookmarkStart w:name="_Toc379477351" w:id="355"/>
      <w:r>
        <w:t>GPC’s Agent.</w:t>
      </w:r>
      <w:bookmarkEnd w:id="351"/>
      <w:bookmarkEnd w:id="352"/>
      <w:bookmarkEnd w:id="353"/>
      <w:bookmarkEnd w:id="354"/>
    </w:p>
    <w:p w:rsidRPr="000057B0" w:rsidR="00B15964" w:rsidP="00CB03BD" w:rsidRDefault="00B15964" w14:paraId="2F1ECAD5" w14:textId="78A474C6">
      <w:pPr>
        <w:pStyle w:val="zGNormal"/>
        <w:widowControl w:val="0"/>
      </w:pPr>
      <w:r>
        <w:t xml:space="preserve"> Wherever this PPA requires Seller to provide information, schedules, notice or the like to, or to take direction from, GPC, Seller will provide information, schedules, notice, or the like to, or receive from, GPC or such agent of GPC as GPC may direct from time to time pursuant to a notice given to Seller.</w:t>
      </w:r>
      <w:bookmarkEnd w:id="355"/>
    </w:p>
    <w:p w:rsidRPr="000057B0" w:rsidR="00E179E1" w:rsidP="00E179E1" w:rsidRDefault="00E179E1" w14:paraId="7ACD7447" w14:textId="77777777">
      <w:pPr>
        <w:pStyle w:val="zGTC02"/>
        <w:widowControl w:val="0"/>
        <w:spacing w:after="120"/>
        <w:rPr>
          <w:vanish/>
          <w:specVanish/>
        </w:rPr>
      </w:pPr>
      <w:bookmarkStart w:name="_Toc137409364" w:id="356"/>
      <w:bookmarkStart w:name="_Toc140068897" w:id="357"/>
      <w:bookmarkStart w:name="_Toc153987147" w:id="358"/>
      <w:bookmarkStart w:name="_Toc212473077" w:id="359"/>
      <w:bookmarkStart w:name="_Toc227840771" w:id="360"/>
      <w:bookmarkStart w:name="_Toc379477339" w:id="361"/>
      <w:r>
        <w:t>No GPC Affiliate Liability.</w:t>
      </w:r>
      <w:bookmarkEnd w:id="356"/>
      <w:bookmarkEnd w:id="357"/>
      <w:bookmarkEnd w:id="358"/>
      <w:bookmarkEnd w:id="359"/>
      <w:bookmarkEnd w:id="360"/>
    </w:p>
    <w:p w:rsidR="00B84C49" w:rsidP="00E179E1" w:rsidRDefault="00E179E1" w14:paraId="3355BB1D" w14:textId="312329E7">
      <w:pPr>
        <w:pStyle w:val="zGNormal"/>
        <w:widowControl w:val="0"/>
      </w:pPr>
      <w:r>
        <w:t xml:space="preserve"> Notwithstanding any other provision of this PPA, no Affiliate of GPC (including any Affiliate of GPC acting as GPC’s agent where GPC’s agent is given certain authorities) will have any liability whatsoever for any performance, nonperformance, or delay in performance under this PPA, except in the event of an assignment of this PPA to an Affiliate of GPC pursuant to Section 18.1.3 (</w:t>
      </w:r>
      <w:r>
        <w:rPr>
          <w:i/>
          <w:iCs/>
        </w:rPr>
        <w:t>Assignment by GPC</w:t>
      </w:r>
      <w:r>
        <w:t xml:space="preserve">), in which </w:t>
      </w:r>
      <w:r>
        <w:lastRenderedPageBreak/>
        <w:t xml:space="preserve">case, such assignee will be liable for GPCs obligations arising under this PPA from and after the date of assignment. </w:t>
      </w:r>
      <w:bookmarkEnd w:id="361"/>
    </w:p>
    <w:p w:rsidRPr="00B84C49" w:rsidR="00B84C49" w:rsidP="00B84C49" w:rsidRDefault="00B84C49" w14:paraId="7A1258F8" w14:textId="77777777">
      <w:pPr>
        <w:pStyle w:val="zGTC02"/>
        <w:rPr>
          <w:rFonts w:ascii="Arial" w:hAnsi="Arial" w:eastAsia="PMingLiU" w:cs="Arial"/>
          <w:vanish/>
          <w:szCs w:val="20"/>
          <w:specVanish/>
        </w:rPr>
      </w:pPr>
      <w:bookmarkStart w:name="_Toc227840772" w:id="362"/>
      <w:r w:rsidRPr="00B84C49">
        <w:rPr>
          <w:rFonts w:ascii="Arial" w:hAnsi="Arial" w:cs="Arial"/>
        </w:rPr>
        <w:t>Time of Essence; No Waiver.</w:t>
      </w:r>
      <w:bookmarkEnd w:id="362"/>
    </w:p>
    <w:p w:rsidRPr="00691627" w:rsidR="00B84C49" w:rsidP="00691627" w:rsidRDefault="00B84C49" w14:paraId="581D3801" w14:textId="682CDFCB">
      <w:pPr>
        <w:pStyle w:val="zGTC02"/>
        <w:numPr>
          <w:ilvl w:val="0"/>
          <w:numId w:val="0"/>
        </w:numPr>
        <w:rPr>
          <w:rFonts w:ascii="Arial" w:hAnsi="Arial" w:cs="Arial"/>
          <w:b w:val="0"/>
          <w:bCs/>
        </w:rPr>
      </w:pPr>
      <w:r>
        <w:t xml:space="preserve"> </w:t>
      </w:r>
      <w:bookmarkStart w:name="_Toc227840773" w:id="363"/>
      <w:r w:rsidRPr="00B84C49">
        <w:rPr>
          <w:rFonts w:ascii="Arial" w:hAnsi="Arial" w:cs="Arial"/>
          <w:b w:val="0"/>
          <w:bCs/>
        </w:rPr>
        <w:t xml:space="preserve">Time is of the essence with respect to performance under this PPA. A Party’s failure to enforce a PPA </w:t>
      </w:r>
      <w:r w:rsidRPr="00B84C49">
        <w:rPr>
          <w:rStyle w:val="zGTC02Char"/>
          <w:rFonts w:ascii="Arial" w:hAnsi="Arial" w:cs="Arial"/>
          <w:b/>
          <w:bCs/>
        </w:rPr>
        <w:t>provision</w:t>
      </w:r>
      <w:r w:rsidRPr="00B84C49">
        <w:rPr>
          <w:rFonts w:ascii="Arial" w:hAnsi="Arial" w:cs="Arial"/>
          <w:b w:val="0"/>
          <w:bCs/>
        </w:rPr>
        <w:t>, or to require at any time performance by the other Party of any of the provisions under this PPA, does not constitute a waiver of that, or any other PPA provision or any right or remedy in the future. Acquiescence to or acceptance of late performance, with or without reservation does not waive a future right to require timely performance. No modification or waiver of all or any part of this PPA will be valid unless it is reduced to a writing, signed by both Parties, that expressly states that the Parties agree to a waiver or modification, as applicable.</w:t>
      </w:r>
      <w:bookmarkEnd w:id="363"/>
    </w:p>
    <w:p w:rsidRPr="000057B0" w:rsidR="007C2163" w:rsidP="007C2163" w:rsidRDefault="007C2163" w14:paraId="1689B460" w14:textId="77777777">
      <w:pPr>
        <w:pStyle w:val="zGTC02"/>
        <w:rPr>
          <w:rFonts w:ascii="Arial" w:hAnsi="Arial" w:eastAsia="PMingLiU" w:cs="Arial"/>
          <w:vanish/>
          <w:szCs w:val="20"/>
          <w:specVanish/>
        </w:rPr>
      </w:pPr>
      <w:bookmarkStart w:name="_Toc212473078" w:id="364"/>
      <w:bookmarkStart w:name="_Toc227840774" w:id="365"/>
      <w:r>
        <w:rPr>
          <w:rFonts w:ascii="Arial" w:hAnsi="Arial" w:cs="Arial"/>
          <w:szCs w:val="20"/>
        </w:rPr>
        <w:t>Headings.</w:t>
      </w:r>
      <w:bookmarkEnd w:id="364"/>
      <w:bookmarkEnd w:id="365"/>
    </w:p>
    <w:p w:rsidRPr="000057B0" w:rsidR="007C2163" w:rsidP="007C2163" w:rsidRDefault="007C2163" w14:paraId="3BD97B2D" w14:textId="4DE9B4A4">
      <w:pPr>
        <w:pStyle w:val="zGNormal"/>
      </w:pPr>
      <w:r>
        <w:t xml:space="preserve"> The headings contained in this PPA are used solely for convenience and do not constitute a part of this PPA between the Parties, nor should they be used to aid in any manner in the construction of this PPA.</w:t>
      </w:r>
    </w:p>
    <w:p w:rsidRPr="000057B0" w:rsidR="007C2163" w:rsidP="007C2163" w:rsidRDefault="007C2163" w14:paraId="21573EF2" w14:textId="77777777">
      <w:pPr>
        <w:pStyle w:val="zGTC02"/>
        <w:rPr>
          <w:rFonts w:ascii="Arial" w:hAnsi="Arial" w:eastAsia="PMingLiU" w:cs="Arial"/>
          <w:vanish/>
          <w:szCs w:val="20"/>
          <w:specVanish/>
        </w:rPr>
      </w:pPr>
      <w:bookmarkStart w:name="_Toc212473079" w:id="366"/>
      <w:bookmarkStart w:name="_Toc227840775" w:id="367"/>
      <w:r>
        <w:rPr>
          <w:rFonts w:ascii="Arial" w:hAnsi="Arial" w:cs="Arial"/>
          <w:szCs w:val="20"/>
        </w:rPr>
        <w:t>Third Parties.</w:t>
      </w:r>
      <w:bookmarkEnd w:id="366"/>
      <w:bookmarkEnd w:id="367"/>
    </w:p>
    <w:p w:rsidRPr="000057B0" w:rsidR="007C2163" w:rsidP="00D07DD2" w:rsidRDefault="007C2163" w14:paraId="2B169C56" w14:textId="2270ED71">
      <w:pPr>
        <w:pStyle w:val="zGNormal"/>
        <w:widowControl w:val="0"/>
      </w:pPr>
      <w:r>
        <w:t xml:space="preserve"> Except as provided in Section 14.3 (</w:t>
      </w:r>
      <w:r>
        <w:rPr>
          <w:i/>
          <w:iCs/>
        </w:rPr>
        <w:t>Scope of</w:t>
      </w:r>
      <w:r>
        <w:t xml:space="preserve"> </w:t>
      </w:r>
      <w:r>
        <w:rPr>
          <w:i/>
        </w:rPr>
        <w:t>Indemnity</w:t>
      </w:r>
      <w:r>
        <w:t>), nothing in this PPA will be construed to create any duty, obligation or liability of GPC or Seller to any Person not a party to this PPA.</w:t>
      </w:r>
    </w:p>
    <w:p w:rsidRPr="000057B0" w:rsidR="007C2163" w:rsidP="007C2163" w:rsidRDefault="007C2163" w14:paraId="1D786197" w14:textId="77777777">
      <w:pPr>
        <w:pStyle w:val="zGTC02"/>
        <w:rPr>
          <w:rFonts w:ascii="Arial" w:hAnsi="Arial" w:eastAsia="PMingLiU" w:cs="Arial"/>
          <w:vanish/>
          <w:szCs w:val="20"/>
          <w:specVanish/>
        </w:rPr>
      </w:pPr>
      <w:bookmarkStart w:name="_Toc212473080" w:id="368"/>
      <w:bookmarkStart w:name="_Toc227840776" w:id="369"/>
      <w:r>
        <w:rPr>
          <w:rFonts w:ascii="Arial" w:hAnsi="Arial" w:cs="Arial"/>
          <w:szCs w:val="20"/>
        </w:rPr>
        <w:t>Agency.</w:t>
      </w:r>
      <w:bookmarkEnd w:id="368"/>
      <w:bookmarkEnd w:id="369"/>
    </w:p>
    <w:p w:rsidRPr="000057B0" w:rsidR="007C2163" w:rsidP="007C2163" w:rsidRDefault="007C2163" w14:paraId="2E44A93C" w14:textId="632367C8">
      <w:pPr>
        <w:pStyle w:val="zGNormal"/>
      </w:pPr>
      <w:r>
        <w:t xml:space="preserve"> This PPA will not be interpreted or construed to create an association, joint venture, or partnership between the Parties or to impose any partnership obligation or liability upon either Party. Neither Party will have any right, power, or authority to enter into any agreement or undertaking for, or act on behalf of, or to act as or be an agent or representative of, or to otherwise bind, the other Party.</w:t>
      </w:r>
    </w:p>
    <w:p w:rsidRPr="000057B0" w:rsidR="007C2163" w:rsidP="007C2163" w:rsidRDefault="007C2163" w14:paraId="1B1D324C" w14:textId="77777777">
      <w:pPr>
        <w:pStyle w:val="zGTC02"/>
        <w:rPr>
          <w:rFonts w:ascii="Arial" w:hAnsi="Arial" w:eastAsia="PMingLiU" w:cs="Arial"/>
          <w:vanish/>
          <w:szCs w:val="20"/>
          <w:specVanish/>
        </w:rPr>
      </w:pPr>
      <w:bookmarkStart w:name="_Toc212473081" w:id="370"/>
      <w:bookmarkStart w:name="_Toc227840777" w:id="371"/>
      <w:r>
        <w:rPr>
          <w:rFonts w:ascii="Arial" w:hAnsi="Arial" w:cs="Arial"/>
          <w:szCs w:val="20"/>
        </w:rPr>
        <w:t>Severability.</w:t>
      </w:r>
      <w:bookmarkEnd w:id="370"/>
      <w:bookmarkEnd w:id="371"/>
    </w:p>
    <w:p w:rsidRPr="000057B0" w:rsidR="007C2163" w:rsidP="007C2163" w:rsidRDefault="007C2163" w14:paraId="4A1F5CBC" w14:textId="3FD91923">
      <w:pPr>
        <w:pStyle w:val="zGNormal"/>
      </w:pPr>
      <w:r>
        <w:t xml:space="preserve"> If any term or provision of this PPA or its application to any Person or circumstance is determined to any extent to be invalid or unenforceable, the remainder of this PPA, or the application of such term or provision to Persons or circumstances other than those as to which it is invalid or unenforceable, will not be affected by such determination, and each term and provision of this PPA will be valid and enforceable to the fullest extent permitted by law. The Parties agree to negotiate in good faith</w:t>
      </w:r>
      <w:r>
        <w:rPr>
          <w:color w:val="000000"/>
        </w:rPr>
        <w:t xml:space="preserve"> to modify this PPA to replace </w:t>
      </w:r>
      <w:r>
        <w:t xml:space="preserve">or modify such </w:t>
      </w:r>
      <w:r>
        <w:rPr>
          <w:color w:val="000000"/>
        </w:rPr>
        <w:t>term or provision so as to effect the original intent of the parties as closely as possible.</w:t>
      </w:r>
    </w:p>
    <w:p w:rsidRPr="000057B0" w:rsidR="007C2163" w:rsidP="007C2163" w:rsidRDefault="007C2163" w14:paraId="30356AF2" w14:textId="77777777">
      <w:pPr>
        <w:pStyle w:val="zGTC02"/>
        <w:rPr>
          <w:rFonts w:ascii="Arial" w:hAnsi="Arial" w:eastAsia="PMingLiU" w:cs="Arial"/>
          <w:vanish/>
          <w:szCs w:val="20"/>
          <w:specVanish/>
        </w:rPr>
      </w:pPr>
      <w:bookmarkStart w:name="_Toc212473082" w:id="372"/>
      <w:bookmarkStart w:name="_Toc227840778" w:id="373"/>
      <w:r>
        <w:rPr>
          <w:rFonts w:ascii="Arial" w:hAnsi="Arial" w:cs="Arial"/>
          <w:szCs w:val="20"/>
        </w:rPr>
        <w:t>Negotiated Agreement.</w:t>
      </w:r>
      <w:bookmarkEnd w:id="372"/>
      <w:bookmarkEnd w:id="373"/>
    </w:p>
    <w:p w:rsidRPr="000057B0" w:rsidR="007C2163" w:rsidP="007C2163" w:rsidRDefault="007C2163" w14:paraId="0C5486CE" w14:textId="18198A88">
      <w:pPr>
        <w:pStyle w:val="zGNormal"/>
      </w:pPr>
      <w:r>
        <w:t xml:space="preserve"> This PPA will be considered for all purposes as prepared through the joint efforts of the Parties and will not be construed against one Party or the other because of the preparation, substitution, or other event of negotiation, drafting or execution of this PPA.</w:t>
      </w:r>
    </w:p>
    <w:p w:rsidRPr="000057B0" w:rsidR="007C2163" w:rsidP="007C2163" w:rsidRDefault="007C2163" w14:paraId="21C44BDA" w14:textId="77777777">
      <w:pPr>
        <w:pStyle w:val="zGTC02"/>
        <w:rPr>
          <w:rFonts w:ascii="Arial" w:hAnsi="Arial" w:eastAsia="PMingLiU" w:cs="Arial"/>
          <w:vanish/>
          <w:szCs w:val="20"/>
          <w:specVanish/>
        </w:rPr>
      </w:pPr>
      <w:bookmarkStart w:name="_Toc212473083" w:id="374"/>
      <w:bookmarkStart w:name="_Toc227840779" w:id="375"/>
      <w:r>
        <w:rPr>
          <w:rFonts w:ascii="Arial" w:hAnsi="Arial" w:cs="Arial"/>
          <w:szCs w:val="20"/>
        </w:rPr>
        <w:t>Confidentiality.</w:t>
      </w:r>
      <w:bookmarkEnd w:id="374"/>
      <w:bookmarkEnd w:id="375"/>
    </w:p>
    <w:p w:rsidRPr="000057B0" w:rsidR="007C2163" w:rsidP="007C2163" w:rsidRDefault="007C2163" w14:paraId="029EBAD2" w14:textId="77777777">
      <w:pPr>
        <w:pStyle w:val="zGTC02"/>
        <w:numPr>
          <w:ilvl w:val="0"/>
          <w:numId w:val="0"/>
        </w:numPr>
        <w:rPr>
          <w:rFonts w:ascii="Arial" w:hAnsi="Arial" w:cs="Arial"/>
          <w:szCs w:val="20"/>
        </w:rPr>
      </w:pPr>
    </w:p>
    <w:p w:rsidRPr="000057B0" w:rsidR="007C2163" w:rsidP="002734EC" w:rsidRDefault="00606298" w14:paraId="1E71CEDA" w14:textId="32BB269F">
      <w:pPr>
        <w:pStyle w:val="zGTC03"/>
      </w:pPr>
      <w:r>
        <w:rPr>
          <w:b/>
        </w:rPr>
        <w:t xml:space="preserve">Confidentiality Obligations. </w:t>
      </w:r>
      <w:r>
        <w:t xml:space="preserve">Each Party acknowledges that portions of this PPA contain Confidential Information and may require the Parties to disclose additional Confidential Information to one another. Each Party agrees that it will not, without the written consent of the other Party or as otherwise provided in this PPA, disclose a disclosing Party’s Confidential Information to any third party, except that receiving Party may disclose Confidential Information: (i) to its Affiliates, consultants, agents, advisors or actual and potential funding sources who: (a) need to know or have a contractual right to the information concerning the receiving Party’s performance of its obligations under this PPA; and (b) are subject to an obligation in writing or pursuant to a legally recognized fiduciary or professional duty to maintain confidentiality of Confidential Information; (ii) to its contractors, vendors, and </w:t>
      </w:r>
      <w:r w:rsidR="001B03E2">
        <w:t>purchasers</w:t>
      </w:r>
      <w:r>
        <w:t xml:space="preserve"> who require access to the Confidential Information and are subject to legally binding confidentiality obligations that are at least as protective of the Confidential Information as those set forth in this PPA; and (iii) to the extent required by applicable law. Seller acknowledges and agrees that all price and payment information provided by GPC to Seller is Confidential Information.</w:t>
      </w:r>
    </w:p>
    <w:p w:rsidRPr="000057B0" w:rsidR="007C2163" w:rsidP="002734EC" w:rsidRDefault="00CE3E40" w14:paraId="0F193C65" w14:textId="7EC3E732">
      <w:pPr>
        <w:pStyle w:val="zGTC03"/>
      </w:pPr>
      <w:r>
        <w:rPr>
          <w:b/>
        </w:rPr>
        <w:t xml:space="preserve">Disclosure of Confidential Information to </w:t>
      </w:r>
      <w:r w:rsidR="00011F09">
        <w:rPr>
          <w:b/>
        </w:rPr>
        <w:t>a Governmental Authority</w:t>
      </w:r>
      <w:r>
        <w:rPr>
          <w:b/>
        </w:rPr>
        <w:t>.</w:t>
      </w:r>
      <w:r>
        <w:t xml:space="preserve"> </w:t>
      </w:r>
      <w:r w:rsidR="002F0789">
        <w:t xml:space="preserve">Each Party agrees that if applicable law requires the disclosure of Confidential Information to a Governmental Authority, including the Commission or FERC, the disclosing Party will take reasonable efforts to obtain protection from disclosure of such Confidential Information under the trade secret </w:t>
      </w:r>
      <w:r w:rsidR="004911CF">
        <w:t>rules or other rules concerning confidentiality</w:t>
      </w:r>
      <w:r w:rsidR="002F0789">
        <w:t xml:space="preserve"> of the applicable Governmental Authority; provided that nothing in this Section 20.16.2 (</w:t>
      </w:r>
      <w:r w:rsidRPr="00665B82" w:rsidR="002F0789">
        <w:rPr>
          <w:i/>
          <w:iCs/>
        </w:rPr>
        <w:t>Disclosure of Confidential Information to a Governmental Authority</w:t>
      </w:r>
      <w:r w:rsidR="002F0789">
        <w:t xml:space="preserve">) will require GPC to take any legal action against any Governmental Authority, including any requirement to appeal a determination concerning Confidential Information. </w:t>
      </w:r>
      <w:r w:rsidRPr="00C22425" w:rsidR="002F0789">
        <w:t xml:space="preserve">Seller understands and acknowledges that certain terms, conditions, and provisions of this PPA </w:t>
      </w:r>
      <w:r w:rsidR="002F0789">
        <w:t>must</w:t>
      </w:r>
      <w:r w:rsidRPr="00C22425" w:rsidR="002F0789">
        <w:t xml:space="preserve"> be disclosed in connection with GPC’s regulatory obligations before the Commission, including the application for the Commission Certificate. </w:t>
      </w:r>
      <w:r w:rsidR="002F0789">
        <w:t>GPC makes no</w:t>
      </w:r>
      <w:r w:rsidRPr="00C22425" w:rsidR="002F0789">
        <w:t xml:space="preserve"> assurance or commitment regarding GPC’s ability to obtain requested confidential treatment from </w:t>
      </w:r>
      <w:r w:rsidR="002F0789">
        <w:t>any Governmental Authority, including the</w:t>
      </w:r>
      <w:r w:rsidRPr="00C22425" w:rsidR="002F0789">
        <w:t xml:space="preserve"> Commission</w:t>
      </w:r>
      <w:r w:rsidR="002F0789">
        <w:t xml:space="preserve"> or FERC</w:t>
      </w:r>
      <w:r w:rsidRPr="00C22425" w:rsidR="002F0789">
        <w:t>.</w:t>
      </w:r>
      <w:r w:rsidR="002F0789">
        <w:t xml:space="preserve"> </w:t>
      </w:r>
    </w:p>
    <w:p w:rsidRPr="000057B0" w:rsidR="007C2163" w:rsidP="002734EC" w:rsidRDefault="00336B51" w14:paraId="569CF6F4" w14:textId="6124C100">
      <w:pPr>
        <w:pStyle w:val="zGTC03"/>
      </w:pPr>
      <w:r>
        <w:rPr>
          <w:b/>
          <w:bCs/>
        </w:rPr>
        <w:t>Public Statements.</w:t>
      </w:r>
      <w:r>
        <w:t xml:space="preserve"> Any public statement or other announcement by a Party concerning the transaction described in this PPA will be reviewed and agreed upon by the Parties before </w:t>
      </w:r>
      <w:r>
        <w:lastRenderedPageBreak/>
        <w:t xml:space="preserve">release, which agreement will not be unreasonably withheld, conditioned, or delayed. Seller and its Affiliates must not issue any public statement (including any news release, internet, website, social media posting, or other publication) concerning: (i) this PPA or the transactions described in this PPA; (ii) the Facility </w:t>
      </w:r>
      <w:r w:rsidR="00721631">
        <w:t xml:space="preserve">with respect to </w:t>
      </w:r>
      <w:r>
        <w:t>this PPA; or (iii) Seller’s relationship with GPC without the communication first being reviewed and agreed upon by the Parties before release to the public. In addition, Seller is responsible for ensuring that its contractors, Affiliates, and contractual counterparties, and each of their respective employees, contractors, and agents, fully comply with this Section 20.16.</w:t>
      </w:r>
      <w:r w:rsidR="003E16B5">
        <w:t>3</w:t>
      </w:r>
      <w:r>
        <w:t>. (</w:t>
      </w:r>
      <w:r>
        <w:rPr>
          <w:i/>
          <w:iCs/>
        </w:rPr>
        <w:t>Public Statements</w:t>
      </w:r>
      <w:r>
        <w:t>)</w:t>
      </w:r>
    </w:p>
    <w:p w:rsidRPr="000057B0" w:rsidR="00BB4A15" w:rsidP="002734EC" w:rsidRDefault="00BB4A15" w14:paraId="44205556" w14:textId="484E01F9">
      <w:pPr>
        <w:pStyle w:val="zGTC03"/>
      </w:pPr>
      <w:r>
        <w:rPr>
          <w:b/>
        </w:rPr>
        <w:t xml:space="preserve"> Designation of Confidential Information. </w:t>
      </w:r>
      <w:r>
        <w:rPr>
          <w:rFonts w:eastAsia="Arial"/>
        </w:rPr>
        <w:t>Confidential Information not designated by this PPA as Confidential Information must be designated in writing as confidential by the disclosing Party to the receiving Party contemporaneously with the supply of the information to the receiving Party. In addition to information designated as Confidential Information in other sections of this PPA, the Parties designate the following information as Confidential Information: (i) PPA pricing and payment information; (ii) non-public Electric System information; and (iii) GPC technical requirements.</w:t>
      </w:r>
    </w:p>
    <w:p w:rsidRPr="000057B0" w:rsidR="00BB4A15" w:rsidP="002734EC" w:rsidRDefault="00B862B3" w14:paraId="38BC6C2A" w14:textId="03722DBE">
      <w:pPr>
        <w:pStyle w:val="zGTC03"/>
      </w:pPr>
      <w:r>
        <w:rPr>
          <w:rFonts w:eastAsia="Arial"/>
          <w:b/>
        </w:rPr>
        <w:t>GPC’s Use of Facility Operational Data</w:t>
      </w:r>
      <w:r>
        <w:rPr>
          <w:rFonts w:eastAsia="Arial"/>
        </w:rPr>
        <w:t>. Despite any other provision in this PPA, GPC may share Facility operational data (but not pricing information) including actual generation data, generation forecast data, weather station data, and loss and efficiency data with third parties for the purpose of analysis, modeling, model development and validation, and forecasting.</w:t>
      </w:r>
    </w:p>
    <w:p w:rsidRPr="000057B0" w:rsidR="00BB4A15" w:rsidP="002734EC" w:rsidRDefault="00085904" w14:paraId="5C61F99A" w14:textId="1BAC1AAE">
      <w:pPr>
        <w:pStyle w:val="zGTC03"/>
      </w:pPr>
      <w:r>
        <w:rPr>
          <w:b/>
        </w:rPr>
        <w:t xml:space="preserve">Survival of Confidentiality Obligations. </w:t>
      </w:r>
      <w:r>
        <w:rPr>
          <w:rFonts w:eastAsia="PMingLiU"/>
        </w:rPr>
        <w:t>Despite any other PPA provision, the terms of this Section 20.16 (</w:t>
      </w:r>
      <w:r>
        <w:rPr>
          <w:rFonts w:eastAsia="PMingLiU"/>
          <w:i/>
          <w:iCs/>
        </w:rPr>
        <w:t>Confidentiality</w:t>
      </w:r>
      <w:r>
        <w:rPr>
          <w:rFonts w:eastAsia="PMingLiU"/>
        </w:rPr>
        <w:t>)</w:t>
      </w:r>
      <w:r w:rsidR="00324110">
        <w:rPr>
          <w:rFonts w:eastAsia="PMingLiU"/>
        </w:rPr>
        <w:t xml:space="preserve"> </w:t>
      </w:r>
      <w:r>
        <w:rPr>
          <w:rFonts w:eastAsia="PMingLiU"/>
        </w:rPr>
        <w:t>will survive for a period of three years after the termination or expiration of this PPA, except that, to the extent any Confidential Information constitutes a “</w:t>
      </w:r>
      <w:r>
        <w:rPr>
          <w:rFonts w:eastAsia="PMingLiU"/>
          <w:b/>
          <w:bCs/>
        </w:rPr>
        <w:t>trade</w:t>
      </w:r>
      <w:r>
        <w:rPr>
          <w:rFonts w:eastAsia="PMingLiU"/>
        </w:rPr>
        <w:t xml:space="preserve"> </w:t>
      </w:r>
      <w:r>
        <w:rPr>
          <w:rFonts w:eastAsia="PMingLiU"/>
          <w:b/>
          <w:bCs/>
        </w:rPr>
        <w:t>secret</w:t>
      </w:r>
      <w:r>
        <w:rPr>
          <w:rFonts w:eastAsia="PMingLiU"/>
        </w:rPr>
        <w:t>” under any applicable law, the receiving Party’s obligations under Section 20.16 will apply for the life of such trade secret.</w:t>
      </w:r>
    </w:p>
    <w:p w:rsidRPr="000057B0" w:rsidR="007C2163" w:rsidP="007C2163" w:rsidRDefault="00560D6C" w14:paraId="5EBAE447" w14:textId="105D0339">
      <w:pPr>
        <w:pStyle w:val="zGTC02"/>
        <w:rPr>
          <w:rFonts w:ascii="Arial" w:hAnsi="Arial" w:eastAsia="PMingLiU" w:cs="Arial"/>
          <w:vanish/>
          <w:szCs w:val="20"/>
          <w:specVanish/>
        </w:rPr>
      </w:pPr>
      <w:bookmarkStart w:name="_Toc212473084" w:id="376"/>
      <w:bookmarkStart w:name="_Toc227840780" w:id="377"/>
      <w:r>
        <w:rPr>
          <w:rFonts w:ascii="Arial" w:hAnsi="Arial" w:cs="Arial"/>
          <w:szCs w:val="20"/>
        </w:rPr>
        <w:t>Contract Interpretation.</w:t>
      </w:r>
      <w:bookmarkEnd w:id="376"/>
      <w:bookmarkEnd w:id="377"/>
    </w:p>
    <w:p w:rsidRPr="000057B0" w:rsidR="007C2163" w:rsidP="007C2163" w:rsidRDefault="007C2163" w14:paraId="42D45860" w14:textId="118EBFF6">
      <w:pPr>
        <w:pStyle w:val="zGNormal"/>
        <w:rPr>
          <w:rFonts w:eastAsia="Times New Roman"/>
        </w:rPr>
      </w:pPr>
      <w:r>
        <w:t xml:space="preserve"> </w:t>
      </w:r>
      <w:r>
        <w:rPr>
          <w:rFonts w:eastAsia="Times New Roman"/>
        </w:rPr>
        <w:t xml:space="preserve">Each exhibit, attachment, appendix, schedule, regulatory requirement, policy, procedure, standard, or other document attached to or referenced in this PPA (expressly including the </w:t>
      </w:r>
      <w:r>
        <w:rPr>
          <w:rFonts w:eastAsia="Times New Roman"/>
          <w:i/>
        </w:rPr>
        <w:t>Schedule of Defined Terms</w:t>
      </w:r>
      <w:r>
        <w:rPr>
          <w:rFonts w:eastAsia="Times New Roman"/>
        </w:rPr>
        <w:t>) is incorporated into, and is integral to, this PPA as if included in the main body. In this PPA and in all attached or incorporated documents: (i) whenever the term “</w:t>
      </w:r>
      <w:r>
        <w:rPr>
          <w:rFonts w:eastAsia="Times New Roman"/>
          <w:b/>
        </w:rPr>
        <w:t>include</w:t>
      </w:r>
      <w:r>
        <w:rPr>
          <w:rFonts w:eastAsia="Times New Roman"/>
        </w:rPr>
        <w:t>,” “</w:t>
      </w:r>
      <w:r>
        <w:rPr>
          <w:rFonts w:eastAsia="Times New Roman"/>
          <w:b/>
        </w:rPr>
        <w:t>including</w:t>
      </w:r>
      <w:r>
        <w:rPr>
          <w:rFonts w:eastAsia="Times New Roman"/>
        </w:rPr>
        <w:t>,” or “</w:t>
      </w:r>
      <w:r>
        <w:rPr>
          <w:rFonts w:eastAsia="Times New Roman"/>
          <w:b/>
        </w:rPr>
        <w:t>e.g.</w:t>
      </w:r>
      <w:r>
        <w:rPr>
          <w:rFonts w:eastAsia="Times New Roman"/>
        </w:rPr>
        <w:t>” is used in connection with a listing of items included within or an example of the prior reference, the listing will be interpreted to be illustrative only, and will not be interpreted as a limitation on or exclusive listing of the items included in the prior reference; and (ii) “</w:t>
      </w:r>
      <w:r>
        <w:rPr>
          <w:rFonts w:eastAsia="Times New Roman"/>
          <w:b/>
        </w:rPr>
        <w:t>or</w:t>
      </w:r>
      <w:r>
        <w:rPr>
          <w:rFonts w:eastAsia="Times New Roman"/>
        </w:rPr>
        <w:t>” means either or all (i.e., “A or B” means “A or B or both A and B”).</w:t>
      </w:r>
    </w:p>
    <w:p w:rsidRPr="000057B0" w:rsidR="007C2163" w:rsidP="007E2EBB" w:rsidRDefault="007C2163" w14:paraId="674F39E2" w14:textId="77777777">
      <w:pPr>
        <w:pStyle w:val="zGNormal"/>
        <w:spacing w:before="120" w:after="120"/>
        <w:rPr>
          <w:rFonts w:eastAsia="Times New Roman"/>
        </w:rPr>
      </w:pPr>
      <w:r>
        <w:rPr>
          <w:rFonts w:eastAsia="Times New Roman"/>
        </w:rPr>
        <w:t>Unless otherwise specified, a reference to a given agreement or document, and all the schedules, exhibits, appendices, and attachments to the agreement or document, will be a reference to that agreement or document as modified, amended, supplemented, or restated, and in effect from time to time. Whenever the term “</w:t>
      </w:r>
      <w:r>
        <w:rPr>
          <w:rFonts w:eastAsia="Times New Roman"/>
          <w:b/>
        </w:rPr>
        <w:t>consent</w:t>
      </w:r>
      <w:r>
        <w:rPr>
          <w:rFonts w:eastAsia="Times New Roman"/>
        </w:rPr>
        <w:t>” or “</w:t>
      </w:r>
      <w:r>
        <w:rPr>
          <w:rFonts w:eastAsia="Times New Roman"/>
          <w:b/>
        </w:rPr>
        <w:t>approval</w:t>
      </w:r>
      <w:r>
        <w:rPr>
          <w:rFonts w:eastAsia="Times New Roman"/>
        </w:rPr>
        <w:t>” is used, the consent or approval will not be unreasonably withheld, conditioned, or delayed by the consenting or approving Party, unless this PPA provides that the consent or approval is in the sole discretion of the consenting Party. If the Party has provided email contact information, “</w:t>
      </w:r>
      <w:r>
        <w:rPr>
          <w:rFonts w:eastAsia="Times New Roman"/>
          <w:b/>
        </w:rPr>
        <w:t>written</w:t>
      </w:r>
      <w:r>
        <w:rPr>
          <w:rFonts w:eastAsia="Times New Roman"/>
        </w:rPr>
        <w:t>” or “</w:t>
      </w:r>
      <w:r>
        <w:rPr>
          <w:rFonts w:eastAsia="Times New Roman"/>
          <w:b/>
        </w:rPr>
        <w:t>in writing</w:t>
      </w:r>
      <w:r>
        <w:rPr>
          <w:rFonts w:eastAsia="Times New Roman"/>
        </w:rPr>
        <w:t xml:space="preserve">” includes email communication, absent express statement otherwise. </w:t>
      </w:r>
    </w:p>
    <w:p w:rsidRPr="000057B0" w:rsidR="007C2163" w:rsidP="007E2EBB" w:rsidRDefault="007C2163" w14:paraId="656C793A" w14:textId="348839BD">
      <w:pPr>
        <w:pStyle w:val="zGNormal"/>
        <w:spacing w:before="120" w:after="120"/>
        <w:rPr>
          <w:rFonts w:eastAsia="Times New Roman"/>
        </w:rPr>
      </w:pPr>
      <w:r>
        <w:rPr>
          <w:rFonts w:eastAsia="Times New Roman"/>
        </w:rPr>
        <w:t xml:space="preserve">Reference to: (i) a Party or Person includes any allowed successor or assign; (ii) a regulatory authority includes an authority succeeding to the same function; and (iii) an applicable law is to the law as modified or amended and then effective. </w:t>
      </w:r>
      <w:r>
        <w:rPr>
          <w:rFonts w:eastAsia="PMingLiU"/>
        </w:rPr>
        <w:t>Reference to a PPA part by caption</w:t>
      </w:r>
      <w:r w:rsidR="003606FA">
        <w:rPr>
          <w:rFonts w:eastAsia="PMingLiU"/>
        </w:rPr>
        <w:t xml:space="preserve"> (e.g., </w:t>
      </w:r>
      <w:r w:rsidRPr="003606FA" w:rsidR="003606FA">
        <w:rPr>
          <w:rFonts w:eastAsia="PMingLiU"/>
          <w:i/>
          <w:iCs/>
        </w:rPr>
        <w:t>Facility Operations</w:t>
      </w:r>
      <w:r w:rsidR="003606FA">
        <w:rPr>
          <w:rFonts w:eastAsia="PMingLiU"/>
        </w:rPr>
        <w:t>)</w:t>
      </w:r>
      <w:r>
        <w:rPr>
          <w:rFonts w:eastAsia="PMingLiU"/>
        </w:rPr>
        <w:t xml:space="preserve"> or number</w:t>
      </w:r>
      <w:r w:rsidR="003606FA">
        <w:rPr>
          <w:rFonts w:eastAsia="PMingLiU"/>
        </w:rPr>
        <w:t xml:space="preserve"> (e.g., Section 6.2</w:t>
      </w:r>
      <w:r w:rsidR="006A4ED1">
        <w:rPr>
          <w:rFonts w:eastAsia="PMingLiU"/>
        </w:rPr>
        <w:t xml:space="preserve"> (</w:t>
      </w:r>
      <w:r w:rsidRPr="006A4ED1" w:rsidR="006A4ED1">
        <w:rPr>
          <w:rFonts w:eastAsia="PMingLiU"/>
          <w:i/>
          <w:iCs/>
        </w:rPr>
        <w:t>Replacement Collateral</w:t>
      </w:r>
      <w:r w:rsidR="006A4ED1">
        <w:rPr>
          <w:rFonts w:eastAsia="PMingLiU"/>
        </w:rPr>
        <w:t>))</w:t>
      </w:r>
      <w:r>
        <w:rPr>
          <w:rFonts w:eastAsia="PMingLiU"/>
        </w:rPr>
        <w:t xml:space="preserve"> includes all separate sections</w:t>
      </w:r>
      <w:r w:rsidR="006A4ED1">
        <w:rPr>
          <w:rFonts w:eastAsia="PMingLiU"/>
        </w:rPr>
        <w:t xml:space="preserve"> (e.g., Section 6.2 (</w:t>
      </w:r>
      <w:r w:rsidRPr="00667EF8" w:rsidR="006A4ED1">
        <w:rPr>
          <w:rFonts w:eastAsia="PMingLiU"/>
          <w:i/>
          <w:iCs/>
        </w:rPr>
        <w:t xml:space="preserve">Replacement Collateral; </w:t>
      </w:r>
      <w:r w:rsidRPr="00667EF8" w:rsidR="00636EDC">
        <w:rPr>
          <w:rFonts w:eastAsia="PMingLiU"/>
          <w:i/>
          <w:iCs/>
        </w:rPr>
        <w:t>Substituted Collateral</w:t>
      </w:r>
      <w:r w:rsidRPr="00667EF8" w:rsidR="00D87127">
        <w:rPr>
          <w:rFonts w:eastAsia="PMingLiU"/>
          <w:i/>
          <w:iCs/>
        </w:rPr>
        <w:t>; Release of Collateral</w:t>
      </w:r>
      <w:r w:rsidR="00D87127">
        <w:rPr>
          <w:rFonts w:eastAsia="PMingLiU"/>
        </w:rPr>
        <w:t>) and subsections (e.g., Section 6.2.1 (</w:t>
      </w:r>
      <w:r w:rsidRPr="000F29CA" w:rsidR="00D87127">
        <w:rPr>
          <w:rFonts w:eastAsia="PMingLiU"/>
          <w:i/>
          <w:iCs/>
        </w:rPr>
        <w:t xml:space="preserve">Replacement </w:t>
      </w:r>
      <w:r w:rsidRPr="000F29CA" w:rsidR="000F29CA">
        <w:rPr>
          <w:rFonts w:eastAsia="PMingLiU"/>
          <w:i/>
          <w:iCs/>
        </w:rPr>
        <w:t>Collateral</w:t>
      </w:r>
      <w:r w:rsidR="00D87127">
        <w:rPr>
          <w:rFonts w:eastAsia="PMingLiU"/>
        </w:rPr>
        <w:t>)</w:t>
      </w:r>
      <w:r w:rsidR="00BE4A21">
        <w:rPr>
          <w:rFonts w:eastAsia="PMingLiU"/>
        </w:rPr>
        <w:t xml:space="preserve"> within </w:t>
      </w:r>
      <w:r w:rsidR="000F29CA">
        <w:rPr>
          <w:rFonts w:eastAsia="PMingLiU"/>
        </w:rPr>
        <w:t>that</w:t>
      </w:r>
      <w:r>
        <w:rPr>
          <w:rFonts w:eastAsia="PMingLiU"/>
        </w:rPr>
        <w:t xml:space="preserve"> part and reference to a section by caption or number includes all separate clauses within that section.</w:t>
      </w:r>
      <w:r>
        <w:rPr>
          <w:rFonts w:eastAsia="Times New Roman"/>
        </w:rPr>
        <w:t xml:space="preserve"> To the extent there is a conflict between CPT and ET, CPT will prevail. </w:t>
      </w:r>
    </w:p>
    <w:p w:rsidRPr="000057B0" w:rsidR="007C2163" w:rsidP="007E2EBB" w:rsidRDefault="007C2163" w14:paraId="0D739604" w14:textId="54469DF1">
      <w:pPr>
        <w:pStyle w:val="zGNormal"/>
        <w:spacing w:before="120" w:after="120"/>
      </w:pPr>
      <w:r>
        <w:rPr>
          <w:rFonts w:eastAsia="Times New Roman"/>
        </w:rPr>
        <w:t>A defined term may be singular or plural, as the context requires, and, absent an express statement otherwise, each defined term has the same meaning in all PPA documents. Captions are for convenience only and do not affect PPA interpretation.</w:t>
      </w:r>
    </w:p>
    <w:p w:rsidRPr="000057B0" w:rsidR="007C2163" w:rsidP="007C2163" w:rsidRDefault="007C2163" w14:paraId="264ED92B" w14:textId="77777777">
      <w:pPr>
        <w:pStyle w:val="zGTC02"/>
        <w:rPr>
          <w:rFonts w:ascii="Arial" w:hAnsi="Arial" w:eastAsia="PMingLiU" w:cs="Arial"/>
          <w:vanish/>
          <w:szCs w:val="20"/>
          <w:specVanish/>
        </w:rPr>
      </w:pPr>
      <w:bookmarkStart w:name="_Toc212473085" w:id="378"/>
      <w:bookmarkStart w:name="_Toc227840781" w:id="379"/>
      <w:r>
        <w:rPr>
          <w:rFonts w:ascii="Arial" w:hAnsi="Arial" w:cs="Arial"/>
          <w:szCs w:val="20"/>
        </w:rPr>
        <w:t>Replacement Index.</w:t>
      </w:r>
      <w:bookmarkEnd w:id="378"/>
      <w:bookmarkEnd w:id="379"/>
    </w:p>
    <w:p w:rsidRPr="000057B0" w:rsidR="007C2163" w:rsidP="007C2163" w:rsidRDefault="007C2163" w14:paraId="39EE0590" w14:textId="31285FEF">
      <w:pPr>
        <w:pStyle w:val="zGNormal"/>
        <w:rPr>
          <w:w w:val="0"/>
        </w:rPr>
      </w:pPr>
      <w:r>
        <w:t xml:space="preserve"> </w:t>
      </w:r>
      <w:r>
        <w:rPr>
          <w:w w:val="0"/>
        </w:rPr>
        <w:t>Should any index or tariff referenced in this PPA be discontinued, no longer published, or deemed unrepresentative, the Parties will cooperate in establishing substitute benchmarks through reference to equivalent indices or tariffs</w:t>
      </w:r>
      <w:r>
        <w:t>.</w:t>
      </w:r>
    </w:p>
    <w:p w:rsidRPr="000057B0" w:rsidR="007C2163" w:rsidP="007C2163" w:rsidRDefault="007C2163" w14:paraId="7B582EF7" w14:textId="77777777">
      <w:pPr>
        <w:pStyle w:val="zGTC02"/>
        <w:rPr>
          <w:rFonts w:ascii="Arial" w:hAnsi="Arial" w:eastAsia="PMingLiU" w:cs="Arial"/>
          <w:vanish/>
          <w:szCs w:val="20"/>
          <w:specVanish/>
        </w:rPr>
      </w:pPr>
      <w:bookmarkStart w:name="_Toc212473086" w:id="380"/>
      <w:bookmarkStart w:name="_Toc227840782" w:id="381"/>
      <w:r>
        <w:rPr>
          <w:rFonts w:ascii="Arial" w:hAnsi="Arial" w:cs="Arial"/>
          <w:szCs w:val="20"/>
        </w:rPr>
        <w:t>Recording.</w:t>
      </w:r>
      <w:bookmarkEnd w:id="380"/>
      <w:bookmarkEnd w:id="381"/>
    </w:p>
    <w:p w:rsidRPr="000057B0" w:rsidR="007C2163" w:rsidP="007C2163" w:rsidRDefault="007C2163" w14:paraId="010EA8C7" w14:textId="3A0C0F0D">
      <w:pPr>
        <w:pStyle w:val="zGNormal"/>
      </w:pPr>
      <w:r>
        <w:t xml:space="preserve"> Each Party acknowledges and consents to the tape or electronic recording of all telephone conversations between the Parties, and that any recordings will be retained in confidence, secured from improper access, and may be submitted in evidence in any proceeding or action relating to this PPA. Each Party waives any further notice of such monitoring or recording and agrees to notify its officers and employees of any monitoring or recording and to obtain any necessary consent of such officers and employees.</w:t>
      </w:r>
    </w:p>
    <w:p w:rsidRPr="000057B0" w:rsidR="007C2163" w:rsidP="007C2163" w:rsidRDefault="007C2163" w14:paraId="2A6D9543" w14:textId="77777777">
      <w:pPr>
        <w:pStyle w:val="zGTC02"/>
        <w:rPr>
          <w:rFonts w:ascii="Arial" w:hAnsi="Arial" w:eastAsia="PMingLiU" w:cs="Arial"/>
          <w:vanish/>
          <w:szCs w:val="20"/>
          <w:specVanish/>
        </w:rPr>
      </w:pPr>
      <w:bookmarkStart w:name="_Toc212473087" w:id="382"/>
      <w:bookmarkStart w:name="_Toc227840783" w:id="383"/>
      <w:r>
        <w:rPr>
          <w:rFonts w:ascii="Arial" w:hAnsi="Arial" w:cs="Arial"/>
          <w:szCs w:val="20"/>
        </w:rPr>
        <w:lastRenderedPageBreak/>
        <w:t>Further Assurances.</w:t>
      </w:r>
      <w:bookmarkEnd w:id="382"/>
      <w:bookmarkEnd w:id="383"/>
    </w:p>
    <w:p w:rsidRPr="000057B0" w:rsidR="007C2163" w:rsidP="007C2163" w:rsidRDefault="007C2163" w14:paraId="4904034E" w14:textId="1C86834B">
      <w:pPr>
        <w:pStyle w:val="zGNormal"/>
      </w:pPr>
      <w:r>
        <w:t xml:space="preserve"> Each Party agrees to provide reasonable cooperation to the other Party as necessary to give effect to the terms of this PPA.</w:t>
      </w:r>
    </w:p>
    <w:p w:rsidRPr="000057B0" w:rsidR="007C2163" w:rsidP="007C2163" w:rsidRDefault="007C2163" w14:paraId="39FFB61E" w14:textId="77777777">
      <w:pPr>
        <w:pStyle w:val="zGTC02"/>
        <w:rPr>
          <w:rFonts w:ascii="Arial" w:hAnsi="Arial" w:eastAsia="PMingLiU" w:cs="Arial"/>
          <w:vanish/>
          <w:szCs w:val="20"/>
          <w:specVanish/>
        </w:rPr>
      </w:pPr>
      <w:bookmarkStart w:name="_Toc212473088" w:id="384"/>
      <w:bookmarkStart w:name="_Toc227840784" w:id="385"/>
      <w:r>
        <w:rPr>
          <w:rFonts w:ascii="Arial" w:hAnsi="Arial" w:cs="Arial"/>
          <w:szCs w:val="20"/>
        </w:rPr>
        <w:t>Transfer of Information Acknowledgement.</w:t>
      </w:r>
      <w:bookmarkEnd w:id="384"/>
      <w:bookmarkEnd w:id="385"/>
    </w:p>
    <w:p w:rsidR="00F646A8" w:rsidP="00F646A8" w:rsidRDefault="007C2163" w14:paraId="2F224594" w14:textId="4F22B171">
      <w:pPr>
        <w:pStyle w:val="zGNormal"/>
      </w:pPr>
      <w:r>
        <w:t xml:space="preserve"> Seller agrees to execute contemporaneous with the execution of this PPA, the Transfer of Information Acknowledgement attached as Exhibit </w:t>
      </w:r>
      <w:r>
        <w:rPr>
          <w:bCs/>
        </w:rPr>
        <w:t>K</w:t>
      </w:r>
      <w:r>
        <w:t xml:space="preserve"> (</w:t>
      </w:r>
      <w:r>
        <w:rPr>
          <w:i/>
        </w:rPr>
        <w:t>Transfer of Information Acknowledgement</w:t>
      </w:r>
      <w:r>
        <w:t xml:space="preserve">), and GPC agrees to the limited use and confidential treatment of the information </w:t>
      </w:r>
      <w:r w:rsidR="00E44DF4">
        <w:t xml:space="preserve">as </w:t>
      </w:r>
      <w:r>
        <w:t>set forth in</w:t>
      </w:r>
      <w:r>
        <w:rPr>
          <w:b/>
        </w:rPr>
        <w:t xml:space="preserve"> </w:t>
      </w:r>
      <w:r>
        <w:t>Exhibit K.</w:t>
      </w:r>
      <w:bookmarkStart w:name="_Toc202369353" w:id="386"/>
    </w:p>
    <w:p w:rsidRPr="00F646A8" w:rsidR="00F646A8" w:rsidP="00F646A8" w:rsidRDefault="00585878" w14:paraId="1E783624" w14:textId="77777777">
      <w:pPr>
        <w:pStyle w:val="zGTC02"/>
        <w:rPr>
          <w:rFonts w:eastAsiaTheme="minorEastAsia"/>
          <w:vanish/>
          <w:specVanish/>
        </w:rPr>
      </w:pPr>
      <w:bookmarkStart w:name="_Toc212473089" w:id="387"/>
      <w:bookmarkStart w:name="_Toc227840785" w:id="388"/>
      <w:r>
        <w:rPr>
          <w:kern w:val="2"/>
          <w14:ligatures w14:val="standardContextual"/>
        </w:rPr>
        <w:t>Service Contract.</w:t>
      </w:r>
      <w:bookmarkEnd w:id="386"/>
      <w:bookmarkEnd w:id="387"/>
      <w:bookmarkEnd w:id="388"/>
      <w:r>
        <w:rPr>
          <w:kern w:val="2"/>
          <w14:ligatures w14:val="standardContextual"/>
        </w:rPr>
        <w:t xml:space="preserve"> </w:t>
      </w:r>
    </w:p>
    <w:p w:rsidRPr="00585878" w:rsidR="00585878" w:rsidP="00F646A8" w:rsidRDefault="00F646A8" w14:paraId="110C0A43" w14:textId="34AFAD47">
      <w:pPr>
        <w:pStyle w:val="zGNormal"/>
        <w:rPr>
          <w:b/>
        </w:rPr>
      </w:pPr>
      <w:r>
        <w:t xml:space="preserve"> Each Party intends this </w:t>
      </w:r>
      <w:r>
        <w:rPr>
          <w:bCs/>
        </w:rPr>
        <w:t>PPA</w:t>
      </w:r>
      <w:r>
        <w:t xml:space="preserve"> to be a “service contract” within the meaning of Section 7701(e) of the Internal Revenue Code of 1986</w:t>
      </w:r>
      <w:r>
        <w:rPr>
          <w:b/>
        </w:rPr>
        <w:t xml:space="preserve">. </w:t>
      </w:r>
    </w:p>
    <w:p w:rsidRPr="00F10071" w:rsidR="00585878" w:rsidP="007C2163" w:rsidRDefault="00585878" w14:paraId="3B48FC6B" w14:textId="77777777">
      <w:pPr>
        <w:pStyle w:val="zGNormal"/>
      </w:pPr>
    </w:p>
    <w:p w:rsidR="007C2163" w:rsidP="007C2163" w:rsidRDefault="007C2163" w14:paraId="20FD5E95" w14:textId="170103B3">
      <w:pPr>
        <w:pStyle w:val="zGNormal6"/>
        <w:jc w:val="center"/>
        <w:rPr>
          <w:b/>
          <w:bCs/>
        </w:rPr>
      </w:pPr>
      <w:r>
        <w:rPr>
          <w:b/>
          <w:bCs/>
          <w:highlight w:val="yellow"/>
        </w:rPr>
        <w:t>[Signature Page Follows]</w:t>
      </w:r>
    </w:p>
    <w:p w:rsidR="00F47C9F" w:rsidP="007C2163" w:rsidRDefault="00F47C9F" w14:paraId="7A3330C3" w14:textId="77777777">
      <w:pPr>
        <w:pStyle w:val="zGNormal6"/>
        <w:jc w:val="center"/>
        <w:sectPr w:rsidR="00F47C9F" w:rsidSect="005B310E">
          <w:headerReference w:type="default" r:id="rId23"/>
          <w:footerReference w:type="default" r:id="rId24"/>
          <w:pgSz w:w="12240" w:h="15840" w:code="1"/>
          <w:pgMar w:top="1080" w:right="1080" w:bottom="936" w:left="1224" w:header="432" w:footer="576" w:gutter="0"/>
          <w:cols w:space="720"/>
          <w:docGrid w:linePitch="360"/>
        </w:sectPr>
      </w:pPr>
    </w:p>
    <w:p w:rsidRPr="004B3A6B" w:rsidR="007C2163" w:rsidP="007C2163" w:rsidRDefault="007C2163" w14:paraId="33224F19" w14:textId="040E3A47">
      <w:pPr>
        <w:keepNext/>
        <w:keepLines/>
        <w:autoSpaceDE w:val="0"/>
        <w:autoSpaceDN w:val="0"/>
        <w:adjustRightInd w:val="0"/>
        <w:spacing w:before="240" w:after="240"/>
        <w:rPr>
          <w:rFonts w:cs="Arial" w:eastAsiaTheme="minorEastAsia"/>
          <w:kern w:val="14"/>
        </w:rPr>
      </w:pPr>
      <w:r>
        <w:rPr>
          <w:rFonts w:cs="Arial" w:eastAsiaTheme="minorEastAsia"/>
          <w:bCs/>
          <w:kern w:val="14"/>
        </w:rPr>
        <w:lastRenderedPageBreak/>
        <w:t>Each Party agrees</w:t>
      </w:r>
      <w:r>
        <w:rPr>
          <w:rFonts w:cs="Arial" w:eastAsiaTheme="minorEastAsia"/>
          <w:kern w:val="14"/>
        </w:rPr>
        <w:t xml:space="preserve"> to all terms and conditions of this </w:t>
      </w:r>
      <w:r>
        <w:rPr>
          <w:rFonts w:eastAsia="Batang" w:cs="Arial"/>
          <w:kern w:val="14"/>
        </w:rPr>
        <w:t>PPA as of the Effective Date</w:t>
      </w:r>
      <w:r w:rsidR="003825EA">
        <w:rPr>
          <w:rFonts w:eastAsia="Batang" w:cs="Arial"/>
          <w:kern w:val="14"/>
        </w:rPr>
        <w:t xml:space="preserve"> (the date on which GPC signs, as shown below)</w:t>
      </w:r>
      <w:r>
        <w:rPr>
          <w:rFonts w:cs="Arial" w:eastAsiaTheme="minorEastAsia"/>
          <w:kern w:val="14"/>
        </w:rPr>
        <w:t xml:space="preserve">. The Parties may exchange counterparts of this </w:t>
      </w:r>
      <w:r>
        <w:rPr>
          <w:rFonts w:eastAsia="Batang" w:cs="Arial"/>
          <w:kern w:val="14"/>
        </w:rPr>
        <w:t>PPA</w:t>
      </w:r>
      <w:r>
        <w:rPr>
          <w:rFonts w:cs="Arial" w:eastAsiaTheme="minorEastAsia"/>
          <w:kern w:val="14"/>
        </w:rPr>
        <w:t xml:space="preserve"> as a scanned image (e.g., .pdf or .tiff file extension) as an attachment to email. An electronic or scanned signature is an original signature for all purposes.</w:t>
      </w:r>
    </w:p>
    <w:tbl>
      <w:tblPr>
        <w:tblW w:w="9936" w:type="dxa"/>
        <w:tblInd w:w="-29" w:type="dxa"/>
        <w:tblLayout w:type="fixed"/>
        <w:tblCellMar>
          <w:left w:w="29" w:type="dxa"/>
          <w:right w:w="29" w:type="dxa"/>
        </w:tblCellMar>
        <w:tblLook w:val="0000" w:firstRow="0" w:lastRow="0" w:firstColumn="0" w:lastColumn="0" w:noHBand="0" w:noVBand="0"/>
      </w:tblPr>
      <w:tblGrid>
        <w:gridCol w:w="647"/>
        <w:gridCol w:w="4020"/>
        <w:gridCol w:w="362"/>
        <w:gridCol w:w="700"/>
        <w:gridCol w:w="4207"/>
      </w:tblGrid>
      <w:tr w:rsidRPr="004B3A6B" w:rsidR="00723D56" w14:paraId="093D820B" w14:textId="77777777">
        <w:trPr>
          <w:trHeight w:val="432"/>
        </w:trPr>
        <w:tc>
          <w:tcPr>
            <w:tcW w:w="4667" w:type="dxa"/>
            <w:gridSpan w:val="2"/>
            <w:tcBorders>
              <w:top w:val="nil"/>
              <w:left w:val="nil"/>
              <w:bottom w:val="nil"/>
              <w:right w:val="nil"/>
            </w:tcBorders>
            <w:tcMar>
              <w:top w:w="0" w:type="dxa"/>
              <w:left w:w="29" w:type="dxa"/>
              <w:bottom w:w="0" w:type="dxa"/>
              <w:right w:w="29" w:type="dxa"/>
            </w:tcMar>
          </w:tcPr>
          <w:p w:rsidRPr="004B3A6B" w:rsidR="004B3A6B" w:rsidP="004B3A6B" w:rsidRDefault="004B3A6B" w14:paraId="47032FF4" w14:textId="77777777">
            <w:pPr>
              <w:keepNext/>
              <w:spacing w:before="0" w:after="0"/>
              <w:jc w:val="left"/>
              <w:rPr>
                <w:rFonts w:cs="Arial"/>
                <w:b/>
                <w:w w:val="0"/>
                <w:sz w:val="24"/>
                <w:szCs w:val="24"/>
              </w:rPr>
            </w:pPr>
            <w:r>
              <w:rPr>
                <w:rFonts w:cs="Arial"/>
                <w:b/>
                <w:w w:val="0"/>
                <w:sz w:val="24"/>
                <w:szCs w:val="24"/>
              </w:rPr>
              <w:t>Georgia Power Company</w:t>
            </w:r>
          </w:p>
        </w:tc>
        <w:tc>
          <w:tcPr>
            <w:tcW w:w="362" w:type="dxa"/>
            <w:tcBorders>
              <w:top w:val="nil"/>
              <w:left w:val="nil"/>
              <w:bottom w:val="nil"/>
              <w:right w:val="nil"/>
            </w:tcBorders>
            <w:tcMar>
              <w:top w:w="0" w:type="dxa"/>
              <w:left w:w="29" w:type="dxa"/>
              <w:bottom w:w="0" w:type="dxa"/>
              <w:right w:w="29" w:type="dxa"/>
            </w:tcMar>
          </w:tcPr>
          <w:p w:rsidRPr="004B3A6B" w:rsidR="004B3A6B" w:rsidP="004B3A6B" w:rsidRDefault="004B3A6B" w14:paraId="60537A55" w14:textId="77777777">
            <w:pPr>
              <w:keepNext/>
              <w:spacing w:before="0" w:after="0"/>
              <w:jc w:val="left"/>
              <w:rPr>
                <w:rFonts w:cs="Arial"/>
                <w:b/>
                <w:w w:val="0"/>
                <w:sz w:val="24"/>
                <w:szCs w:val="24"/>
              </w:rPr>
            </w:pPr>
          </w:p>
        </w:tc>
        <w:tc>
          <w:tcPr>
            <w:tcW w:w="4907" w:type="dxa"/>
            <w:gridSpan w:val="2"/>
            <w:tcBorders>
              <w:top w:val="nil"/>
              <w:left w:val="nil"/>
              <w:bottom w:val="nil"/>
              <w:right w:val="nil"/>
            </w:tcBorders>
            <w:tcMar>
              <w:top w:w="0" w:type="dxa"/>
              <w:left w:w="29" w:type="dxa"/>
              <w:bottom w:w="0" w:type="dxa"/>
              <w:right w:w="29" w:type="dxa"/>
            </w:tcMar>
          </w:tcPr>
          <w:p w:rsidRPr="004B3A6B" w:rsidR="004B3A6B" w:rsidP="004B3A6B" w:rsidRDefault="004B3A6B" w14:paraId="7D88EEC9" w14:textId="1B1860D0">
            <w:pPr>
              <w:keepNext/>
              <w:spacing w:before="0" w:after="0"/>
              <w:jc w:val="left"/>
              <w:rPr>
                <w:rFonts w:cs="Arial"/>
                <w:b/>
                <w:w w:val="0"/>
                <w:sz w:val="24"/>
                <w:szCs w:val="24"/>
                <w:highlight w:val="yellow"/>
              </w:rPr>
            </w:pPr>
            <w:r>
              <w:rPr>
                <w:rFonts w:cs="Arial"/>
                <w:b/>
                <w:w w:val="0"/>
                <w:sz w:val="24"/>
                <w:szCs w:val="24"/>
                <w:highlight w:val="yellow"/>
              </w:rPr>
              <w:t>#SellerLegalName#</w:t>
            </w:r>
          </w:p>
        </w:tc>
      </w:tr>
      <w:tr w:rsidRPr="004B3A6B" w:rsidR="00D44B25" w14:paraId="42580641" w14:textId="77777777">
        <w:trPr>
          <w:trHeight w:val="432"/>
        </w:trPr>
        <w:tc>
          <w:tcPr>
            <w:tcW w:w="647" w:type="dxa"/>
            <w:tcBorders>
              <w:top w:val="nil"/>
              <w:left w:val="nil"/>
              <w:bottom w:val="nil"/>
              <w:right w:val="nil"/>
            </w:tcBorders>
            <w:tcMar>
              <w:top w:w="0" w:type="dxa"/>
              <w:left w:w="29" w:type="dxa"/>
              <w:bottom w:w="0" w:type="dxa"/>
              <w:right w:w="29" w:type="dxa"/>
            </w:tcMar>
            <w:vAlign w:val="bottom"/>
          </w:tcPr>
          <w:p w:rsidRPr="004B3A6B" w:rsidR="004B3A6B" w:rsidP="004B3A6B" w:rsidRDefault="004B3A6B" w14:paraId="17B29E90" w14:textId="77777777">
            <w:pPr>
              <w:spacing w:before="0" w:after="0"/>
              <w:jc w:val="right"/>
              <w:rPr>
                <w:rFonts w:cs="Arial"/>
                <w:w w:val="0"/>
                <w:szCs w:val="24"/>
              </w:rPr>
            </w:pPr>
            <w:r>
              <w:rPr>
                <w:rFonts w:cs="Arial"/>
                <w:w w:val="0"/>
                <w:szCs w:val="24"/>
              </w:rPr>
              <w:t>By:</w:t>
            </w:r>
          </w:p>
        </w:tc>
        <w:tc>
          <w:tcPr>
            <w:tcW w:w="4020" w:type="dxa"/>
            <w:tcBorders>
              <w:top w:val="nil"/>
              <w:left w:val="nil"/>
              <w:bottom w:val="single" w:color="auto" w:sz="4" w:space="0"/>
              <w:right w:val="nil"/>
            </w:tcBorders>
            <w:tcMar>
              <w:top w:w="0" w:type="dxa"/>
              <w:left w:w="29" w:type="dxa"/>
              <w:bottom w:w="0" w:type="dxa"/>
              <w:right w:w="29" w:type="dxa"/>
            </w:tcMar>
            <w:vAlign w:val="bottom"/>
          </w:tcPr>
          <w:p w:rsidRPr="004B3A6B" w:rsidR="004B3A6B" w:rsidP="004B3A6B" w:rsidRDefault="004B3A6B" w14:paraId="3A79C77D" w14:textId="77777777">
            <w:pPr>
              <w:spacing w:before="0" w:after="0"/>
              <w:jc w:val="right"/>
              <w:rPr>
                <w:rFonts w:cs="Arial"/>
                <w:w w:val="0"/>
                <w:szCs w:val="24"/>
              </w:rPr>
            </w:pPr>
          </w:p>
        </w:tc>
        <w:tc>
          <w:tcPr>
            <w:tcW w:w="362" w:type="dxa"/>
            <w:tcBorders>
              <w:top w:val="nil"/>
              <w:left w:val="nil"/>
              <w:bottom w:val="nil"/>
              <w:right w:val="nil"/>
            </w:tcBorders>
            <w:tcMar>
              <w:top w:w="0" w:type="dxa"/>
              <w:left w:w="29" w:type="dxa"/>
              <w:bottom w:w="0" w:type="dxa"/>
              <w:right w:w="29" w:type="dxa"/>
            </w:tcMar>
            <w:vAlign w:val="bottom"/>
          </w:tcPr>
          <w:p w:rsidRPr="004B3A6B" w:rsidR="004B3A6B" w:rsidP="004B3A6B" w:rsidRDefault="004B3A6B" w14:paraId="6CE6E3B2" w14:textId="77777777">
            <w:pPr>
              <w:spacing w:before="0" w:after="0"/>
              <w:jc w:val="right"/>
              <w:rPr>
                <w:rFonts w:cs="Arial"/>
                <w:w w:val="0"/>
                <w:szCs w:val="24"/>
              </w:rPr>
            </w:pPr>
          </w:p>
        </w:tc>
        <w:tc>
          <w:tcPr>
            <w:tcW w:w="700" w:type="dxa"/>
            <w:tcBorders>
              <w:top w:val="nil"/>
              <w:left w:val="nil"/>
              <w:bottom w:val="nil"/>
              <w:right w:val="nil"/>
            </w:tcBorders>
            <w:tcMar>
              <w:top w:w="0" w:type="dxa"/>
              <w:left w:w="29" w:type="dxa"/>
              <w:bottom w:w="0" w:type="dxa"/>
              <w:right w:w="29" w:type="dxa"/>
            </w:tcMar>
            <w:vAlign w:val="bottom"/>
          </w:tcPr>
          <w:p w:rsidRPr="004B3A6B" w:rsidR="004B3A6B" w:rsidP="004B3A6B" w:rsidRDefault="004B3A6B" w14:paraId="70BA02F8" w14:textId="77777777">
            <w:pPr>
              <w:spacing w:before="0" w:after="0"/>
              <w:jc w:val="right"/>
              <w:rPr>
                <w:rFonts w:cs="Arial"/>
                <w:w w:val="0"/>
                <w:szCs w:val="24"/>
              </w:rPr>
            </w:pPr>
            <w:r>
              <w:rPr>
                <w:rFonts w:cs="Arial"/>
                <w:w w:val="0"/>
                <w:szCs w:val="24"/>
              </w:rPr>
              <w:t>By:</w:t>
            </w:r>
          </w:p>
        </w:tc>
        <w:tc>
          <w:tcPr>
            <w:tcW w:w="4207" w:type="dxa"/>
            <w:tcBorders>
              <w:top w:val="nil"/>
              <w:left w:val="nil"/>
              <w:bottom w:val="single" w:color="auto" w:sz="8" w:space="0"/>
              <w:right w:val="nil"/>
            </w:tcBorders>
            <w:tcMar>
              <w:top w:w="0" w:type="dxa"/>
              <w:left w:w="29" w:type="dxa"/>
              <w:bottom w:w="0" w:type="dxa"/>
              <w:right w:w="29" w:type="dxa"/>
            </w:tcMar>
            <w:vAlign w:val="bottom"/>
          </w:tcPr>
          <w:p w:rsidRPr="004B3A6B" w:rsidR="004B3A6B" w:rsidP="004B3A6B" w:rsidRDefault="004B3A6B" w14:paraId="2B10E619" w14:textId="77777777">
            <w:pPr>
              <w:spacing w:before="0" w:after="0"/>
              <w:jc w:val="right"/>
              <w:rPr>
                <w:rFonts w:cs="Arial"/>
                <w:b/>
                <w:w w:val="0"/>
                <w:szCs w:val="24"/>
                <w:u w:val="single"/>
              </w:rPr>
            </w:pPr>
          </w:p>
        </w:tc>
      </w:tr>
      <w:tr w:rsidRPr="004B3A6B" w:rsidR="004557DD" w14:paraId="6F535219" w14:textId="77777777">
        <w:tc>
          <w:tcPr>
            <w:tcW w:w="647" w:type="dxa"/>
            <w:tcBorders>
              <w:top w:val="nil"/>
              <w:left w:val="nil"/>
              <w:bottom w:val="nil"/>
              <w:right w:val="nil"/>
            </w:tcBorders>
            <w:tcMar>
              <w:top w:w="0" w:type="dxa"/>
              <w:left w:w="29" w:type="dxa"/>
              <w:bottom w:w="0" w:type="dxa"/>
              <w:right w:w="29" w:type="dxa"/>
            </w:tcMar>
            <w:vAlign w:val="bottom"/>
          </w:tcPr>
          <w:p w:rsidRPr="004B3A6B" w:rsidR="004B3A6B" w:rsidP="004B3A6B" w:rsidRDefault="004B3A6B" w14:paraId="45F4B5CB" w14:textId="77777777">
            <w:pPr>
              <w:spacing w:before="0" w:after="0"/>
              <w:jc w:val="right"/>
              <w:rPr>
                <w:rFonts w:cs="Arial"/>
                <w:w w:val="0"/>
                <w:szCs w:val="24"/>
              </w:rPr>
            </w:pPr>
          </w:p>
        </w:tc>
        <w:tc>
          <w:tcPr>
            <w:tcW w:w="4020" w:type="dxa"/>
            <w:tcBorders>
              <w:top w:val="nil"/>
              <w:left w:val="nil"/>
              <w:bottom w:val="nil"/>
              <w:right w:val="nil"/>
            </w:tcBorders>
            <w:tcMar>
              <w:top w:w="0" w:type="dxa"/>
              <w:left w:w="29" w:type="dxa"/>
              <w:bottom w:w="0" w:type="dxa"/>
              <w:right w:w="29" w:type="dxa"/>
            </w:tcMar>
            <w:vAlign w:val="bottom"/>
          </w:tcPr>
          <w:p w:rsidRPr="004B3A6B" w:rsidR="004B3A6B" w:rsidP="004B3A6B" w:rsidRDefault="004B3A6B" w14:paraId="57EEFFD7" w14:textId="77777777">
            <w:pPr>
              <w:spacing w:before="0" w:after="0"/>
              <w:jc w:val="left"/>
              <w:rPr>
                <w:rFonts w:cs="Arial"/>
                <w:w w:val="0"/>
                <w:szCs w:val="24"/>
                <w:highlight w:val="yellow"/>
              </w:rPr>
            </w:pPr>
            <w:r>
              <w:rPr>
                <w:rFonts w:cs="Arial"/>
                <w:w w:val="0"/>
                <w:szCs w:val="24"/>
                <w:highlight w:val="yellow"/>
              </w:rPr>
              <w:t>#Name</w:t>
            </w:r>
          </w:p>
        </w:tc>
        <w:tc>
          <w:tcPr>
            <w:tcW w:w="362" w:type="dxa"/>
            <w:tcBorders>
              <w:top w:val="nil"/>
              <w:left w:val="nil"/>
              <w:bottom w:val="nil"/>
              <w:right w:val="nil"/>
            </w:tcBorders>
            <w:tcMar>
              <w:top w:w="0" w:type="dxa"/>
              <w:left w:w="29" w:type="dxa"/>
              <w:bottom w:w="0" w:type="dxa"/>
              <w:right w:w="29" w:type="dxa"/>
            </w:tcMar>
            <w:vAlign w:val="bottom"/>
          </w:tcPr>
          <w:p w:rsidRPr="004B3A6B" w:rsidR="004B3A6B" w:rsidP="004B3A6B" w:rsidRDefault="004B3A6B" w14:paraId="06D9C5CF" w14:textId="77777777">
            <w:pPr>
              <w:spacing w:before="0" w:after="0"/>
              <w:jc w:val="left"/>
              <w:rPr>
                <w:rFonts w:cs="Arial"/>
                <w:w w:val="0"/>
                <w:szCs w:val="24"/>
                <w:highlight w:val="yellow"/>
              </w:rPr>
            </w:pPr>
          </w:p>
        </w:tc>
        <w:tc>
          <w:tcPr>
            <w:tcW w:w="700" w:type="dxa"/>
            <w:tcBorders>
              <w:top w:val="nil"/>
              <w:left w:val="nil"/>
              <w:bottom w:val="nil"/>
              <w:right w:val="nil"/>
            </w:tcBorders>
            <w:tcMar>
              <w:top w:w="0" w:type="dxa"/>
              <w:left w:w="29" w:type="dxa"/>
              <w:bottom w:w="0" w:type="dxa"/>
              <w:right w:w="29" w:type="dxa"/>
            </w:tcMar>
            <w:vAlign w:val="bottom"/>
          </w:tcPr>
          <w:p w:rsidRPr="004B3A6B" w:rsidR="004B3A6B" w:rsidP="004B3A6B" w:rsidRDefault="004B3A6B" w14:paraId="6B863C7C" w14:textId="77777777">
            <w:pPr>
              <w:spacing w:before="0" w:after="0"/>
              <w:jc w:val="left"/>
              <w:rPr>
                <w:rFonts w:cs="Arial"/>
                <w:w w:val="0"/>
                <w:szCs w:val="24"/>
              </w:rPr>
            </w:pPr>
          </w:p>
        </w:tc>
        <w:tc>
          <w:tcPr>
            <w:tcW w:w="4207" w:type="dxa"/>
            <w:tcBorders>
              <w:top w:val="nil"/>
              <w:left w:val="nil"/>
              <w:bottom w:val="nil"/>
              <w:right w:val="nil"/>
            </w:tcBorders>
            <w:tcMar>
              <w:top w:w="0" w:type="dxa"/>
              <w:left w:w="29" w:type="dxa"/>
              <w:bottom w:w="0" w:type="dxa"/>
              <w:right w:w="29" w:type="dxa"/>
            </w:tcMar>
            <w:vAlign w:val="bottom"/>
          </w:tcPr>
          <w:p w:rsidRPr="004B3A6B" w:rsidR="004B3A6B" w:rsidP="004B3A6B" w:rsidRDefault="004B3A6B" w14:paraId="17CB5A49" w14:textId="5444BB68">
            <w:pPr>
              <w:spacing w:before="0" w:after="0"/>
              <w:jc w:val="left"/>
              <w:rPr>
                <w:rFonts w:cs="Arial"/>
                <w:w w:val="0"/>
                <w:szCs w:val="24"/>
                <w:highlight w:val="yellow"/>
              </w:rPr>
            </w:pPr>
            <w:r>
              <w:rPr>
                <w:rFonts w:cs="Arial"/>
                <w:w w:val="0"/>
                <w:szCs w:val="24"/>
                <w:highlight w:val="yellow"/>
              </w:rPr>
              <w:t>#SellerSignatureName</w:t>
            </w:r>
          </w:p>
        </w:tc>
      </w:tr>
      <w:tr w:rsidRPr="004B3A6B" w:rsidR="004557DD" w14:paraId="32CDBD27" w14:textId="77777777">
        <w:tc>
          <w:tcPr>
            <w:tcW w:w="647" w:type="dxa"/>
            <w:tcBorders>
              <w:top w:val="nil"/>
              <w:left w:val="nil"/>
              <w:bottom w:val="nil"/>
              <w:right w:val="nil"/>
            </w:tcBorders>
            <w:tcMar>
              <w:top w:w="0" w:type="dxa"/>
              <w:left w:w="29" w:type="dxa"/>
              <w:bottom w:w="0" w:type="dxa"/>
              <w:right w:w="29" w:type="dxa"/>
            </w:tcMar>
            <w:vAlign w:val="bottom"/>
          </w:tcPr>
          <w:p w:rsidRPr="004B3A6B" w:rsidR="004B3A6B" w:rsidP="004B3A6B" w:rsidRDefault="004B3A6B" w14:paraId="6A817008" w14:textId="77777777">
            <w:pPr>
              <w:spacing w:before="0" w:after="0"/>
              <w:jc w:val="right"/>
              <w:rPr>
                <w:rFonts w:cs="Arial"/>
                <w:w w:val="0"/>
                <w:szCs w:val="24"/>
              </w:rPr>
            </w:pPr>
          </w:p>
        </w:tc>
        <w:tc>
          <w:tcPr>
            <w:tcW w:w="4020" w:type="dxa"/>
            <w:tcBorders>
              <w:top w:val="nil"/>
              <w:left w:val="nil"/>
              <w:bottom w:val="nil"/>
              <w:right w:val="nil"/>
            </w:tcBorders>
            <w:tcMar>
              <w:top w:w="0" w:type="dxa"/>
              <w:left w:w="29" w:type="dxa"/>
              <w:bottom w:w="0" w:type="dxa"/>
              <w:right w:w="29" w:type="dxa"/>
            </w:tcMar>
            <w:vAlign w:val="bottom"/>
          </w:tcPr>
          <w:p w:rsidRPr="004B3A6B" w:rsidR="004B3A6B" w:rsidP="004B3A6B" w:rsidRDefault="004B3A6B" w14:paraId="02B3D2EE" w14:textId="77777777">
            <w:pPr>
              <w:spacing w:before="0" w:after="0"/>
              <w:jc w:val="left"/>
              <w:rPr>
                <w:rFonts w:cs="Arial"/>
                <w:w w:val="0"/>
                <w:szCs w:val="24"/>
                <w:highlight w:val="yellow"/>
              </w:rPr>
            </w:pPr>
            <w:r>
              <w:rPr>
                <w:rFonts w:cs="Arial"/>
                <w:w w:val="0"/>
                <w:szCs w:val="24"/>
                <w:highlight w:val="yellow"/>
              </w:rPr>
              <w:t>#Title</w:t>
            </w:r>
          </w:p>
        </w:tc>
        <w:tc>
          <w:tcPr>
            <w:tcW w:w="362" w:type="dxa"/>
            <w:tcBorders>
              <w:top w:val="nil"/>
              <w:left w:val="nil"/>
              <w:bottom w:val="nil"/>
              <w:right w:val="nil"/>
            </w:tcBorders>
            <w:tcMar>
              <w:top w:w="0" w:type="dxa"/>
              <w:left w:w="29" w:type="dxa"/>
              <w:bottom w:w="0" w:type="dxa"/>
              <w:right w:w="29" w:type="dxa"/>
            </w:tcMar>
            <w:vAlign w:val="bottom"/>
          </w:tcPr>
          <w:p w:rsidRPr="004B3A6B" w:rsidR="004B3A6B" w:rsidP="004B3A6B" w:rsidRDefault="004B3A6B" w14:paraId="47AF96C7" w14:textId="77777777">
            <w:pPr>
              <w:spacing w:before="0" w:after="0"/>
              <w:jc w:val="left"/>
              <w:rPr>
                <w:rFonts w:cs="Arial"/>
                <w:w w:val="0"/>
                <w:szCs w:val="24"/>
                <w:highlight w:val="yellow"/>
              </w:rPr>
            </w:pPr>
          </w:p>
        </w:tc>
        <w:tc>
          <w:tcPr>
            <w:tcW w:w="700" w:type="dxa"/>
            <w:tcBorders>
              <w:top w:val="nil"/>
              <w:left w:val="nil"/>
              <w:bottom w:val="nil"/>
              <w:right w:val="nil"/>
            </w:tcBorders>
            <w:tcMar>
              <w:top w:w="0" w:type="dxa"/>
              <w:left w:w="29" w:type="dxa"/>
              <w:bottom w:w="0" w:type="dxa"/>
              <w:right w:w="29" w:type="dxa"/>
            </w:tcMar>
            <w:vAlign w:val="bottom"/>
          </w:tcPr>
          <w:p w:rsidRPr="004B3A6B" w:rsidR="004B3A6B" w:rsidP="004B3A6B" w:rsidRDefault="004B3A6B" w14:paraId="3638317A" w14:textId="77777777">
            <w:pPr>
              <w:spacing w:before="0" w:after="0"/>
              <w:jc w:val="left"/>
              <w:rPr>
                <w:rFonts w:cs="Arial"/>
                <w:w w:val="0"/>
                <w:szCs w:val="24"/>
              </w:rPr>
            </w:pPr>
          </w:p>
        </w:tc>
        <w:tc>
          <w:tcPr>
            <w:tcW w:w="4207" w:type="dxa"/>
            <w:tcBorders>
              <w:top w:val="nil"/>
              <w:left w:val="nil"/>
              <w:bottom w:val="nil"/>
              <w:right w:val="nil"/>
            </w:tcBorders>
            <w:tcMar>
              <w:top w:w="0" w:type="dxa"/>
              <w:left w:w="29" w:type="dxa"/>
              <w:bottom w:w="0" w:type="dxa"/>
              <w:right w:w="29" w:type="dxa"/>
            </w:tcMar>
            <w:vAlign w:val="bottom"/>
          </w:tcPr>
          <w:p w:rsidRPr="004B3A6B" w:rsidR="004B3A6B" w:rsidP="004B3A6B" w:rsidRDefault="004B3A6B" w14:paraId="24CEF65B" w14:textId="7B8490FD">
            <w:pPr>
              <w:spacing w:before="0" w:after="0"/>
              <w:jc w:val="left"/>
              <w:rPr>
                <w:rFonts w:cs="Arial"/>
                <w:w w:val="0"/>
                <w:szCs w:val="24"/>
                <w:highlight w:val="yellow"/>
              </w:rPr>
            </w:pPr>
            <w:r>
              <w:rPr>
                <w:rFonts w:cs="Arial"/>
                <w:w w:val="0"/>
                <w:szCs w:val="24"/>
                <w:highlight w:val="yellow"/>
              </w:rPr>
              <w:t>#SellerSignatureTitle</w:t>
            </w:r>
          </w:p>
        </w:tc>
      </w:tr>
      <w:tr w:rsidRPr="004B3A6B" w:rsidR="00D44B25" w14:paraId="07D0179B" w14:textId="77777777">
        <w:trPr>
          <w:trHeight w:val="432"/>
        </w:trPr>
        <w:tc>
          <w:tcPr>
            <w:tcW w:w="647" w:type="dxa"/>
            <w:tcBorders>
              <w:top w:val="nil"/>
              <w:left w:val="nil"/>
              <w:bottom w:val="nil"/>
              <w:right w:val="nil"/>
            </w:tcBorders>
            <w:tcMar>
              <w:top w:w="0" w:type="dxa"/>
              <w:left w:w="29" w:type="dxa"/>
              <w:bottom w:w="0" w:type="dxa"/>
              <w:right w:w="29" w:type="dxa"/>
            </w:tcMar>
            <w:vAlign w:val="bottom"/>
          </w:tcPr>
          <w:p w:rsidRPr="004B3A6B" w:rsidR="004B3A6B" w:rsidP="004B3A6B" w:rsidRDefault="004B3A6B" w14:paraId="19DE4E92" w14:textId="77777777">
            <w:pPr>
              <w:spacing w:before="0" w:after="0"/>
              <w:jc w:val="right"/>
              <w:rPr>
                <w:rFonts w:cs="Arial"/>
                <w:w w:val="0"/>
                <w:szCs w:val="24"/>
              </w:rPr>
            </w:pPr>
            <w:r>
              <w:rPr>
                <w:rFonts w:cs="Arial"/>
                <w:w w:val="0"/>
                <w:szCs w:val="24"/>
              </w:rPr>
              <w:t>Date:</w:t>
            </w:r>
          </w:p>
        </w:tc>
        <w:tc>
          <w:tcPr>
            <w:tcW w:w="4020" w:type="dxa"/>
            <w:tcBorders>
              <w:top w:val="nil"/>
              <w:left w:val="nil"/>
              <w:bottom w:val="single" w:color="auto" w:sz="8" w:space="0"/>
              <w:right w:val="nil"/>
            </w:tcBorders>
            <w:tcMar>
              <w:top w:w="0" w:type="dxa"/>
              <w:left w:w="29" w:type="dxa"/>
              <w:bottom w:w="0" w:type="dxa"/>
              <w:right w:w="29" w:type="dxa"/>
            </w:tcMar>
            <w:vAlign w:val="bottom"/>
          </w:tcPr>
          <w:p w:rsidRPr="004B3A6B" w:rsidR="004B3A6B" w:rsidP="004B3A6B" w:rsidRDefault="004B3A6B" w14:paraId="007902DF" w14:textId="77777777">
            <w:pPr>
              <w:spacing w:before="0" w:after="0"/>
              <w:jc w:val="right"/>
              <w:rPr>
                <w:rFonts w:cs="Arial"/>
                <w:b/>
                <w:w w:val="0"/>
                <w:szCs w:val="24"/>
                <w:u w:val="single"/>
              </w:rPr>
            </w:pPr>
          </w:p>
        </w:tc>
        <w:tc>
          <w:tcPr>
            <w:tcW w:w="362" w:type="dxa"/>
            <w:tcBorders>
              <w:top w:val="nil"/>
              <w:left w:val="nil"/>
              <w:bottom w:val="nil"/>
              <w:right w:val="nil"/>
            </w:tcBorders>
            <w:tcMar>
              <w:top w:w="0" w:type="dxa"/>
              <w:left w:w="29" w:type="dxa"/>
              <w:bottom w:w="0" w:type="dxa"/>
              <w:right w:w="29" w:type="dxa"/>
            </w:tcMar>
            <w:vAlign w:val="bottom"/>
          </w:tcPr>
          <w:p w:rsidRPr="004B3A6B" w:rsidR="004B3A6B" w:rsidP="004B3A6B" w:rsidRDefault="004B3A6B" w14:paraId="3D6FD198" w14:textId="77777777">
            <w:pPr>
              <w:spacing w:before="0" w:after="0"/>
              <w:jc w:val="right"/>
              <w:rPr>
                <w:rFonts w:cs="Arial"/>
                <w:w w:val="0"/>
                <w:szCs w:val="24"/>
              </w:rPr>
            </w:pPr>
          </w:p>
        </w:tc>
        <w:tc>
          <w:tcPr>
            <w:tcW w:w="700" w:type="dxa"/>
            <w:tcBorders>
              <w:top w:val="nil"/>
              <w:left w:val="nil"/>
              <w:bottom w:val="nil"/>
              <w:right w:val="nil"/>
            </w:tcBorders>
            <w:tcMar>
              <w:top w:w="0" w:type="dxa"/>
              <w:left w:w="29" w:type="dxa"/>
              <w:bottom w:w="0" w:type="dxa"/>
              <w:right w:w="29" w:type="dxa"/>
            </w:tcMar>
            <w:vAlign w:val="bottom"/>
          </w:tcPr>
          <w:p w:rsidRPr="004B3A6B" w:rsidR="004B3A6B" w:rsidP="004B3A6B" w:rsidRDefault="004B3A6B" w14:paraId="05C890FC" w14:textId="77777777">
            <w:pPr>
              <w:spacing w:before="0" w:after="0"/>
              <w:jc w:val="right"/>
              <w:rPr>
                <w:rFonts w:cs="Arial"/>
                <w:w w:val="0"/>
                <w:szCs w:val="24"/>
              </w:rPr>
            </w:pPr>
            <w:r>
              <w:rPr>
                <w:rFonts w:cs="Arial"/>
                <w:w w:val="0"/>
                <w:szCs w:val="24"/>
              </w:rPr>
              <w:t>Date:</w:t>
            </w:r>
          </w:p>
        </w:tc>
        <w:tc>
          <w:tcPr>
            <w:tcW w:w="4207" w:type="dxa"/>
            <w:tcBorders>
              <w:top w:val="nil"/>
              <w:left w:val="nil"/>
              <w:bottom w:val="single" w:color="auto" w:sz="8" w:space="0"/>
              <w:right w:val="nil"/>
            </w:tcBorders>
            <w:tcMar>
              <w:top w:w="0" w:type="dxa"/>
              <w:left w:w="29" w:type="dxa"/>
              <w:bottom w:w="0" w:type="dxa"/>
              <w:right w:w="29" w:type="dxa"/>
            </w:tcMar>
            <w:vAlign w:val="bottom"/>
          </w:tcPr>
          <w:p w:rsidRPr="004B3A6B" w:rsidR="004B3A6B" w:rsidP="004B3A6B" w:rsidRDefault="004B3A6B" w14:paraId="7A6ECD8A" w14:textId="77777777">
            <w:pPr>
              <w:spacing w:before="0" w:after="0"/>
              <w:jc w:val="right"/>
              <w:rPr>
                <w:rFonts w:cs="Arial"/>
                <w:b/>
                <w:w w:val="0"/>
                <w:szCs w:val="24"/>
                <w:u w:val="single"/>
              </w:rPr>
            </w:pPr>
          </w:p>
        </w:tc>
      </w:tr>
    </w:tbl>
    <w:p w:rsidRPr="004B3A6B" w:rsidR="001A5684" w:rsidP="004B3A6B" w:rsidRDefault="001A5684" w14:paraId="55263B25" w14:textId="77777777">
      <w:pPr>
        <w:spacing w:before="0" w:after="0"/>
        <w:rPr>
          <w:rFonts w:eastAsia="Times New Roman" w:cs="Arial"/>
          <w:b/>
          <w:u w:val="single"/>
        </w:rPr>
      </w:pPr>
    </w:p>
    <w:p w:rsidR="00890446" w:rsidP="00E021A7" w:rsidRDefault="00890446" w14:paraId="6E865150" w14:textId="77777777">
      <w:pPr>
        <w:suppressAutoHyphens/>
        <w:spacing w:after="240"/>
        <w:outlineLvl w:val="0"/>
        <w:rPr>
          <w:rFonts w:cs="Arial"/>
          <w:b/>
        </w:rPr>
      </w:pPr>
    </w:p>
    <w:p w:rsidRPr="00F10071" w:rsidR="00506657" w:rsidP="00E021A7" w:rsidRDefault="00506657" w14:paraId="5848D7F5" w14:textId="26EBD89C">
      <w:pPr>
        <w:tabs>
          <w:tab w:val="left" w:pos="1365"/>
        </w:tabs>
        <w:rPr>
          <w:rFonts w:cs="Arial"/>
        </w:rPr>
        <w:sectPr w:rsidRPr="00F10071" w:rsidR="00506657" w:rsidSect="005B310E">
          <w:headerReference w:type="default" r:id="rId25"/>
          <w:footerReference w:type="default" r:id="rId26"/>
          <w:pgSz w:w="12240" w:h="15840" w:code="1"/>
          <w:pgMar w:top="1080" w:right="1080" w:bottom="936" w:left="1224" w:header="432" w:footer="576" w:gutter="0"/>
          <w:cols w:space="720"/>
          <w:docGrid w:linePitch="360"/>
        </w:sectPr>
      </w:pPr>
    </w:p>
    <w:p w:rsidRPr="00BA3C21" w:rsidR="00421037" w:rsidP="00BA3C21" w:rsidRDefault="00421037" w14:paraId="69D0BCB4" w14:textId="7FEFA4EC">
      <w:pPr>
        <w:pStyle w:val="zGTitleExhibit"/>
        <w:rPr>
          <w:rFonts w:cs="Arial"/>
        </w:rPr>
      </w:pPr>
      <w:bookmarkStart w:name="_Toc212473090" w:id="389"/>
      <w:bookmarkStart w:name="_Toc227840786" w:id="390"/>
      <w:bookmarkStart w:name="_Toc158334797" w:id="391"/>
      <w:r>
        <w:rPr>
          <w:rFonts w:cs="Arial"/>
        </w:rPr>
        <w:lastRenderedPageBreak/>
        <w:t>Exhibit A – Facility Description and Additional Details</w:t>
      </w:r>
      <w:bookmarkEnd w:id="389"/>
      <w:bookmarkEnd w:id="390"/>
    </w:p>
    <w:p w:rsidRPr="002B6705" w:rsidR="006018A2" w:rsidP="00E1752C" w:rsidRDefault="006018A2" w14:paraId="430A0A89" w14:textId="6D02779A">
      <w:pPr>
        <w:pStyle w:val="zG01"/>
        <w:numPr>
          <w:ilvl w:val="0"/>
          <w:numId w:val="0"/>
        </w:numPr>
        <w:spacing w:after="120"/>
        <w:ind w:left="936" w:hanging="936"/>
      </w:pPr>
    </w:p>
    <w:tbl>
      <w:tblPr>
        <w:tblStyle w:val="TableGrid"/>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245"/>
        <w:gridCol w:w="7105"/>
      </w:tblGrid>
      <w:tr w:rsidR="00201472" w:rsidTr="006A1845" w14:paraId="27FCCEA8" w14:textId="77777777">
        <w:trPr>
          <w:trHeight w:val="710"/>
        </w:trPr>
        <w:tc>
          <w:tcPr>
            <w:tcW w:w="9350" w:type="dxa"/>
            <w:gridSpan w:val="2"/>
            <w:shd w:val="clear" w:color="auto" w:fill="D9D9D9" w:themeFill="background1" w:themeFillShade="D9"/>
          </w:tcPr>
          <w:p w:rsidRPr="000057B0" w:rsidR="00201472" w:rsidP="00E65175" w:rsidRDefault="00201472" w14:paraId="029BBD48" w14:textId="77777777">
            <w:pPr>
              <w:jc w:val="center"/>
              <w:rPr>
                <w:rFonts w:cs="Arial"/>
                <w:b/>
                <w:bCs/>
                <w:shd w:val="clear" w:color="auto" w:fill="E6E6E6"/>
              </w:rPr>
            </w:pPr>
            <w:r>
              <w:rPr>
                <w:rFonts w:cs="Arial"/>
                <w:b/>
                <w:bCs/>
                <w:shd w:val="clear" w:color="auto" w:fill="E6E6E6"/>
              </w:rPr>
              <w:t>Table A-1</w:t>
            </w:r>
          </w:p>
          <w:p w:rsidRPr="00E65175" w:rsidR="00201472" w:rsidP="0000317A" w:rsidRDefault="00012490" w14:paraId="49D914B9" w14:textId="2796EDBE">
            <w:pPr>
              <w:jc w:val="center"/>
              <w:rPr>
                <w:rFonts w:cs="Arial"/>
                <w:b/>
                <w:bCs/>
                <w:highlight w:val="yellow"/>
                <w:shd w:val="clear" w:color="auto" w:fill="E6E6E6"/>
              </w:rPr>
            </w:pPr>
            <w:r>
              <w:rPr>
                <w:b/>
                <w:bCs/>
              </w:rPr>
              <w:t>Facility, Site, and Seller Information</w:t>
            </w:r>
          </w:p>
        </w:tc>
      </w:tr>
      <w:tr w:rsidR="006018A2" w:rsidTr="006A1845" w14:paraId="0FD9C24C" w14:textId="77777777">
        <w:tc>
          <w:tcPr>
            <w:tcW w:w="2245" w:type="dxa"/>
          </w:tcPr>
          <w:p w:rsidRPr="00A83279" w:rsidR="006018A2" w:rsidRDefault="006018A2" w14:paraId="7343112B" w14:textId="77777777">
            <w:pPr>
              <w:spacing w:after="120"/>
              <w:jc w:val="left"/>
              <w:rPr>
                <w:b/>
                <w:bCs/>
              </w:rPr>
            </w:pPr>
            <w:r>
              <w:rPr>
                <w:rFonts w:cs="Arial"/>
                <w:b/>
                <w:bCs/>
              </w:rPr>
              <w:t>Site</w:t>
            </w:r>
          </w:p>
        </w:tc>
        <w:tc>
          <w:tcPr>
            <w:tcW w:w="7105" w:type="dxa"/>
          </w:tcPr>
          <w:p w:rsidR="006018A2" w:rsidRDefault="006018A2" w14:paraId="6EF691EF" w14:textId="77777777">
            <w:pPr>
              <w:spacing w:after="120"/>
              <w:rPr>
                <w:rFonts w:cs="Arial"/>
                <w:shd w:val="clear" w:color="auto" w:fill="E6E6E6"/>
              </w:rPr>
            </w:pPr>
            <w:r>
              <w:rPr>
                <w:rFonts w:cs="Arial"/>
                <w:highlight w:val="yellow"/>
                <w:shd w:val="clear" w:color="auto" w:fill="E6E6E6"/>
              </w:rPr>
              <w:t>#Street Address#</w:t>
            </w:r>
          </w:p>
          <w:p w:rsidR="006018A2" w:rsidRDefault="006018A2" w14:paraId="04496CA6" w14:textId="77777777">
            <w:pPr>
              <w:spacing w:after="120"/>
              <w:rPr>
                <w:b/>
                <w:bCs/>
              </w:rPr>
            </w:pPr>
            <w:r>
              <w:rPr>
                <w:rFonts w:cs="Arial"/>
                <w:highlight w:val="yellow"/>
              </w:rPr>
              <w:t>#City</w:t>
            </w:r>
            <w:r>
              <w:rPr>
                <w:rFonts w:cs="Arial"/>
              </w:rPr>
              <w:t xml:space="preserve">, </w:t>
            </w:r>
            <w:r>
              <w:rPr>
                <w:rFonts w:cs="Arial"/>
                <w:highlight w:val="yellow"/>
              </w:rPr>
              <w:t>#State</w:t>
            </w:r>
            <w:r>
              <w:rPr>
                <w:rFonts w:cs="Arial"/>
              </w:rPr>
              <w:t xml:space="preserve">, </w:t>
            </w:r>
            <w:r>
              <w:rPr>
                <w:rFonts w:cs="Arial"/>
                <w:highlight w:val="yellow"/>
              </w:rPr>
              <w:t>#ZipCode</w:t>
            </w:r>
          </w:p>
        </w:tc>
      </w:tr>
      <w:tr w:rsidR="006018A2" w:rsidTr="006A1845" w14:paraId="1FF22603" w14:textId="77777777">
        <w:tc>
          <w:tcPr>
            <w:tcW w:w="2245" w:type="dxa"/>
          </w:tcPr>
          <w:p w:rsidR="006018A2" w:rsidRDefault="006018A2" w14:paraId="2FFF949C" w14:textId="77777777">
            <w:pPr>
              <w:spacing w:after="120"/>
              <w:jc w:val="left"/>
              <w:rPr>
                <w:b/>
                <w:bCs/>
              </w:rPr>
            </w:pPr>
            <w:r>
              <w:rPr>
                <w:b/>
                <w:bCs/>
              </w:rPr>
              <w:t>GPS Coordinates</w:t>
            </w:r>
          </w:p>
        </w:tc>
        <w:tc>
          <w:tcPr>
            <w:tcW w:w="7105" w:type="dxa"/>
          </w:tcPr>
          <w:p w:rsidR="006018A2" w:rsidRDefault="006018A2" w14:paraId="7AF4E495" w14:textId="459B9172">
            <w:pPr>
              <w:spacing w:after="120"/>
              <w:rPr>
                <w:b/>
                <w:bCs/>
              </w:rPr>
            </w:pPr>
            <w:r>
              <w:rPr>
                <w:highlight w:val="yellow"/>
              </w:rPr>
              <w:t>#Latitude</w:t>
            </w:r>
            <w:r>
              <w:t xml:space="preserve"> latitude and </w:t>
            </w:r>
            <w:r>
              <w:rPr>
                <w:highlight w:val="yellow"/>
              </w:rPr>
              <w:t>#Longitude</w:t>
            </w:r>
            <w:r>
              <w:t xml:space="preserve"> longitude</w:t>
            </w:r>
          </w:p>
        </w:tc>
      </w:tr>
      <w:tr w:rsidR="006018A2" w:rsidTr="006A1845" w14:paraId="793BB6F9" w14:textId="77777777">
        <w:tc>
          <w:tcPr>
            <w:tcW w:w="2245" w:type="dxa"/>
          </w:tcPr>
          <w:p w:rsidR="006018A2" w:rsidRDefault="006018A2" w14:paraId="27A8FA90" w14:textId="77777777">
            <w:pPr>
              <w:spacing w:after="120"/>
              <w:jc w:val="left"/>
              <w:rPr>
                <w:b/>
                <w:bCs/>
              </w:rPr>
            </w:pPr>
            <w:r>
              <w:rPr>
                <w:b/>
                <w:bCs/>
              </w:rPr>
              <w:t>IC Number</w:t>
            </w:r>
          </w:p>
        </w:tc>
        <w:tc>
          <w:tcPr>
            <w:tcW w:w="7105" w:type="dxa"/>
          </w:tcPr>
          <w:p w:rsidR="006018A2" w:rsidRDefault="006018A2" w14:paraId="18A12601" w14:textId="77777777">
            <w:pPr>
              <w:spacing w:after="120"/>
              <w:rPr>
                <w:b/>
                <w:bCs/>
              </w:rPr>
            </w:pPr>
            <w:r>
              <w:rPr>
                <w:rFonts w:cs="Arial"/>
                <w:highlight w:val="yellow"/>
              </w:rPr>
              <w:t>IC-#InterconnectionID#</w:t>
            </w:r>
          </w:p>
        </w:tc>
      </w:tr>
      <w:tr w:rsidR="006018A2" w:rsidTr="006A1845" w14:paraId="53E3C3C2" w14:textId="77777777">
        <w:tc>
          <w:tcPr>
            <w:tcW w:w="2245" w:type="dxa"/>
          </w:tcPr>
          <w:p w:rsidR="006018A2" w:rsidRDefault="006018A2" w14:paraId="02E75AA8" w14:textId="77777777">
            <w:pPr>
              <w:spacing w:after="120"/>
              <w:jc w:val="left"/>
              <w:rPr>
                <w:b/>
                <w:bCs/>
              </w:rPr>
            </w:pPr>
            <w:r>
              <w:rPr>
                <w:rFonts w:cs="Arial"/>
                <w:b/>
                <w:bCs/>
              </w:rPr>
              <w:t>Facility Description</w:t>
            </w:r>
          </w:p>
        </w:tc>
        <w:tc>
          <w:tcPr>
            <w:tcW w:w="7105" w:type="dxa"/>
          </w:tcPr>
          <w:p w:rsidR="006018A2" w:rsidP="000A1044" w:rsidRDefault="006018A2" w14:paraId="008D9D9A" w14:textId="5DA27789">
            <w:pPr>
              <w:spacing w:after="120"/>
              <w:jc w:val="left"/>
              <w:rPr>
                <w:b/>
                <w:bCs/>
              </w:rPr>
            </w:pPr>
            <w:r>
              <w:rPr>
                <w:rFonts w:cs="Arial"/>
              </w:rPr>
              <w:t>The combined cycle</w:t>
            </w:r>
            <w:r>
              <w:rPr>
                <w:rFonts w:cs="Arial"/>
                <w:b/>
                <w:i/>
              </w:rPr>
              <w:t xml:space="preserve"> </w:t>
            </w:r>
            <w:r>
              <w:rPr>
                <w:rFonts w:cs="Arial"/>
              </w:rPr>
              <w:t xml:space="preserve">electric generating unit designated as unit </w:t>
            </w:r>
            <w:r>
              <w:rPr>
                <w:rFonts w:cs="Arial"/>
                <w:snapToGrid w:val="0"/>
                <w:highlight w:val="yellow"/>
              </w:rPr>
              <w:t>#UnitNumber</w:t>
            </w:r>
            <w:r>
              <w:rPr>
                <w:rFonts w:cs="Arial"/>
              </w:rPr>
              <w:t xml:space="preserve"> at the </w:t>
            </w:r>
            <w:r>
              <w:rPr>
                <w:rFonts w:cs="Arial"/>
                <w:snapToGrid w:val="0"/>
                <w:highlight w:val="yellow"/>
              </w:rPr>
              <w:t>#FacilityName</w:t>
            </w:r>
            <w:r>
              <w:rPr>
                <w:rFonts w:cs="Arial"/>
              </w:rPr>
              <w:t xml:space="preserve"> generating plant, interconnected to the Electric System at the POI and includes </w:t>
            </w:r>
            <w:r>
              <w:rPr>
                <w:rFonts w:cs="Arial"/>
                <w:highlight w:val="yellow"/>
              </w:rPr>
              <w:t>#DescribeEquipment</w:t>
            </w:r>
            <w:r>
              <w:rPr>
                <w:rFonts w:cs="Arial"/>
              </w:rPr>
              <w:t xml:space="preserve"> </w:t>
            </w:r>
            <w:r>
              <w:rPr>
                <w:rFonts w:cs="Arial"/>
                <w:snapToGrid w:val="0"/>
                <w:highlight w:val="yellow"/>
              </w:rPr>
              <w:t>#NumberOfTurbinesAndTurbineType</w:t>
            </w:r>
            <w:r>
              <w:rPr>
                <w:rFonts w:cs="Arial"/>
              </w:rPr>
              <w:t xml:space="preserve"> gas-fuel combustion turbines, </w:t>
            </w:r>
            <w:r>
              <w:rPr>
                <w:rFonts w:cs="Arial"/>
                <w:highlight w:val="yellow"/>
              </w:rPr>
              <w:t>#Number</w:t>
            </w:r>
            <w:r>
              <w:rPr>
                <w:rFonts w:cs="Arial"/>
              </w:rPr>
              <w:t xml:space="preserve"> </w:t>
            </w:r>
            <w:r>
              <w:rPr>
                <w:rFonts w:cs="Arial"/>
                <w:snapToGrid w:val="0"/>
                <w:highlight w:val="yellow"/>
              </w:rPr>
              <w:t>#HRSGType</w:t>
            </w:r>
            <w:r>
              <w:rPr>
                <w:rFonts w:cs="Arial"/>
              </w:rPr>
              <w:t xml:space="preserve"> HRSGs, and a </w:t>
            </w:r>
            <w:r>
              <w:rPr>
                <w:rFonts w:cs="Arial"/>
                <w:snapToGrid w:val="0"/>
                <w:highlight w:val="yellow"/>
              </w:rPr>
              <w:t>#TurbineType</w:t>
            </w:r>
            <w:r>
              <w:rPr>
                <w:rFonts w:cs="Arial"/>
              </w:rPr>
              <w:t xml:space="preserve"> steam turbine configured as a </w:t>
            </w:r>
            <w:r>
              <w:rPr>
                <w:rFonts w:cs="Arial"/>
                <w:highlight w:val="yellow"/>
              </w:rPr>
              <w:t>#Number</w:t>
            </w:r>
            <w:r>
              <w:rPr>
                <w:rFonts w:cs="Arial"/>
              </w:rPr>
              <w:t xml:space="preserve"> -on-</w:t>
            </w:r>
            <w:r>
              <w:rPr>
                <w:rFonts w:cs="Arial"/>
                <w:highlight w:val="yellow"/>
              </w:rPr>
              <w:t>#Number</w:t>
            </w:r>
            <w:r>
              <w:rPr>
                <w:rFonts w:cs="Arial"/>
              </w:rPr>
              <w:t xml:space="preserve"> combined cycle unit, and all auxiliary equipment and facilities necessary or used for the production, control, delivery, or monitoring of electricity produced on the Site. All equipment and facilities installed on Seller’s side of the POI and the Gas Delivery Point at the Site will be considered to be part of the Facility. </w:t>
            </w:r>
          </w:p>
        </w:tc>
      </w:tr>
      <w:tr w:rsidR="00900CDA" w:rsidTr="006A1845" w14:paraId="55EBFB11" w14:textId="77777777">
        <w:trPr>
          <w:trHeight w:val="58"/>
        </w:trPr>
        <w:tc>
          <w:tcPr>
            <w:tcW w:w="2245" w:type="dxa"/>
          </w:tcPr>
          <w:p w:rsidR="00900CDA" w:rsidP="00900CDA" w:rsidRDefault="00900CDA" w14:paraId="63D9DDC2" w14:textId="5D98B3A0">
            <w:pPr>
              <w:spacing w:after="120"/>
              <w:jc w:val="left"/>
              <w:rPr>
                <w:b/>
                <w:bCs/>
              </w:rPr>
            </w:pPr>
            <w:r>
              <w:rPr>
                <w:b/>
                <w:bCs/>
              </w:rPr>
              <w:t>Facility Name</w:t>
            </w:r>
          </w:p>
        </w:tc>
        <w:tc>
          <w:tcPr>
            <w:tcW w:w="7105" w:type="dxa"/>
          </w:tcPr>
          <w:p w:rsidR="00900CDA" w:rsidP="00900CDA" w:rsidRDefault="00900CDA" w14:paraId="381D44FA" w14:textId="462FD9C4">
            <w:pPr>
              <w:spacing w:after="120"/>
              <w:rPr>
                <w:b/>
                <w:bCs/>
              </w:rPr>
            </w:pPr>
            <w:r>
              <w:rPr>
                <w:rFonts w:cs="Arial"/>
                <w:highlight w:val="yellow"/>
              </w:rPr>
              <w:t>#</w:t>
            </w:r>
            <w:r>
              <w:rPr>
                <w:highlight w:val="yellow"/>
              </w:rPr>
              <w:t>FacilityName</w:t>
            </w:r>
          </w:p>
        </w:tc>
      </w:tr>
      <w:tr w:rsidR="00050C43" w:rsidTr="006A1845" w14:paraId="76FB50FB" w14:textId="77777777">
        <w:trPr>
          <w:trHeight w:val="58"/>
        </w:trPr>
        <w:tc>
          <w:tcPr>
            <w:tcW w:w="2245" w:type="dxa"/>
          </w:tcPr>
          <w:p w:rsidR="00050C43" w:rsidP="00050C43" w:rsidRDefault="00050C43" w14:paraId="1B58B2F0" w14:textId="39765619">
            <w:pPr>
              <w:jc w:val="left"/>
              <w:rPr>
                <w:b/>
                <w:bCs/>
              </w:rPr>
            </w:pPr>
            <w:r>
              <w:rPr>
                <w:b/>
                <w:bCs/>
              </w:rPr>
              <w:t>Seller Information</w:t>
            </w:r>
          </w:p>
        </w:tc>
        <w:tc>
          <w:tcPr>
            <w:tcW w:w="7105" w:type="dxa"/>
          </w:tcPr>
          <w:p w:rsidR="00050C43" w:rsidP="00050C43" w:rsidRDefault="00050C43" w14:paraId="34D553C4" w14:textId="0BD1BF66">
            <w:pPr>
              <w:jc w:val="left"/>
              <w:rPr>
                <w:b/>
                <w:bCs/>
              </w:rPr>
            </w:pPr>
            <w:r>
              <w:rPr>
                <w:rFonts w:cs="Arial"/>
              </w:rPr>
              <w:t xml:space="preserve">#SellerName, </w:t>
            </w:r>
            <w:r>
              <w:rPr>
                <w:rStyle w:val="normaltextrun"/>
                <w:highlight w:val="yellow"/>
              </w:rPr>
              <w:t>#a</w:t>
            </w:r>
            <w:r>
              <w:rPr>
                <w:rStyle w:val="normaltextrun"/>
                <w:b/>
                <w:i/>
                <w:color w:val="FF0000"/>
                <w:highlight w:val="cyan"/>
                <w:u w:val="single"/>
              </w:rPr>
              <w:t>OR</w:t>
            </w:r>
            <w:r>
              <w:rPr>
                <w:rStyle w:val="normaltextrun"/>
                <w:bCs/>
                <w:iCs/>
                <w:highlight w:val="yellow"/>
              </w:rPr>
              <w:t>#</w:t>
            </w:r>
            <w:r>
              <w:rPr>
                <w:rStyle w:val="normaltextrun"/>
                <w:highlight w:val="yellow"/>
              </w:rPr>
              <w:t>an</w:t>
            </w:r>
            <w:r>
              <w:rPr>
                <w:rStyle w:val="normaltextrun"/>
              </w:rPr>
              <w:t xml:space="preserve"> </w:t>
            </w:r>
            <w:r>
              <w:rPr>
                <w:rStyle w:val="normaltextrun"/>
                <w:highlight w:val="yellow"/>
              </w:rPr>
              <w:t>#OrgState#</w:t>
            </w:r>
            <w:r>
              <w:rPr>
                <w:rStyle w:val="normaltextrun"/>
              </w:rPr>
              <w:t xml:space="preserve"> </w:t>
            </w:r>
            <w:r>
              <w:rPr>
                <w:rStyle w:val="normaltextrun"/>
                <w:highlight w:val="yellow"/>
              </w:rPr>
              <w:t>#limited liability company</w:t>
            </w:r>
            <w:r>
              <w:rPr>
                <w:rStyle w:val="normaltextrun"/>
                <w:b/>
                <w:i/>
                <w:color w:val="FF0000"/>
                <w:highlight w:val="cyan"/>
                <w:u w:val="single"/>
              </w:rPr>
              <w:t>OR</w:t>
            </w:r>
            <w:r>
              <w:rPr>
                <w:rStyle w:val="normaltextrun"/>
                <w:highlight w:val="yellow"/>
              </w:rPr>
              <w:t>#OtherOrgStructure</w:t>
            </w:r>
          </w:p>
        </w:tc>
      </w:tr>
    </w:tbl>
    <w:p w:rsidR="006018A2" w:rsidP="006018A2" w:rsidRDefault="006018A2" w14:paraId="590BA99E" w14:textId="77777777">
      <w:pPr>
        <w:rPr>
          <w:b/>
          <w:bCs/>
        </w:rPr>
      </w:pPr>
    </w:p>
    <w:tbl>
      <w:tblPr>
        <w:tblStyle w:val="TableGrid"/>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245"/>
        <w:gridCol w:w="7105"/>
      </w:tblGrid>
      <w:tr w:rsidR="00201472" w:rsidTr="006A1845" w14:paraId="44B9B4CA" w14:textId="77777777">
        <w:trPr>
          <w:trHeight w:val="710"/>
        </w:trPr>
        <w:tc>
          <w:tcPr>
            <w:tcW w:w="9350" w:type="dxa"/>
            <w:gridSpan w:val="2"/>
            <w:shd w:val="clear" w:color="auto" w:fill="D9D9D9" w:themeFill="background1" w:themeFillShade="D9"/>
          </w:tcPr>
          <w:p w:rsidRPr="000057B0" w:rsidR="00201472" w:rsidP="00E65175" w:rsidRDefault="00201472" w14:paraId="47D61B71" w14:textId="77777777">
            <w:pPr>
              <w:jc w:val="center"/>
              <w:rPr>
                <w:b/>
                <w:bCs/>
              </w:rPr>
            </w:pPr>
            <w:r>
              <w:rPr>
                <w:b/>
                <w:bCs/>
              </w:rPr>
              <w:t>Table A-2</w:t>
            </w:r>
          </w:p>
          <w:p w:rsidRPr="005842CD" w:rsidR="00201472" w:rsidP="00201472" w:rsidRDefault="00201472" w14:paraId="4CF7425C" w14:textId="4CD806D2">
            <w:pPr>
              <w:jc w:val="center"/>
              <w:rPr>
                <w:b/>
                <w:bCs/>
                <w:highlight w:val="yellow"/>
              </w:rPr>
            </w:pPr>
            <w:r>
              <w:rPr>
                <w:b/>
                <w:bCs/>
              </w:rPr>
              <w:t>Term, RCOD, and Earliest Delivery Commencement Date</w:t>
            </w:r>
          </w:p>
        </w:tc>
      </w:tr>
      <w:tr w:rsidR="006018A2" w:rsidTr="006A1845" w14:paraId="1D04ED71" w14:textId="77777777">
        <w:tc>
          <w:tcPr>
            <w:tcW w:w="2245" w:type="dxa"/>
          </w:tcPr>
          <w:p w:rsidRPr="009222E0" w:rsidR="006018A2" w:rsidRDefault="006018A2" w14:paraId="049040F3" w14:textId="34FD46E0">
            <w:pPr>
              <w:jc w:val="left"/>
              <w:rPr>
                <w:b/>
                <w:iCs/>
              </w:rPr>
            </w:pPr>
            <w:r>
              <w:rPr>
                <w:b/>
                <w:bCs/>
                <w:highlight w:val="yellow"/>
              </w:rPr>
              <w:t>Term</w:t>
            </w:r>
          </w:p>
        </w:tc>
        <w:tc>
          <w:tcPr>
            <w:tcW w:w="7105" w:type="dxa"/>
          </w:tcPr>
          <w:p w:rsidR="006018A2" w:rsidRDefault="006018A2" w14:paraId="2D186C71" w14:textId="6C9269D6">
            <w:pPr>
              <w:rPr>
                <w:bCs/>
                <w:iCs/>
              </w:rPr>
            </w:pPr>
            <w:r>
              <w:rPr>
                <w:b/>
                <w:bCs/>
                <w:highlight w:val="yellow"/>
              </w:rPr>
              <w:t>#Number</w:t>
            </w:r>
            <w:r>
              <w:rPr>
                <w:b/>
                <w:bCs/>
              </w:rPr>
              <w:t xml:space="preserve"> Annual Periods </w:t>
            </w:r>
            <w:r>
              <w:rPr>
                <w:b/>
                <w:highlight w:val="cyan"/>
              </w:rPr>
              <w:t>[</w:t>
            </w:r>
            <w:r>
              <w:rPr>
                <w:b/>
                <w:bCs/>
                <w:i/>
                <w:iCs/>
                <w:highlight w:val="cyan"/>
                <w:u w:val="single"/>
              </w:rPr>
              <w:t>Note to Bidders</w:t>
            </w:r>
            <w:r>
              <w:rPr>
                <w:b/>
                <w:i/>
                <w:iCs/>
                <w:highlight w:val="cyan"/>
              </w:rPr>
              <w:t>: Term of 5, 10, 15, 20, 25, or 30 Annual Periods based on Delivery Commencement Date.</w:t>
            </w:r>
            <w:r>
              <w:rPr>
                <w:b/>
                <w:highlight w:val="cyan"/>
              </w:rPr>
              <w:t>]</w:t>
            </w:r>
          </w:p>
        </w:tc>
      </w:tr>
      <w:tr w:rsidR="006018A2" w:rsidTr="006A1845" w14:paraId="02B66497" w14:textId="77777777">
        <w:tc>
          <w:tcPr>
            <w:tcW w:w="2245" w:type="dxa"/>
          </w:tcPr>
          <w:p w:rsidRPr="009222E0" w:rsidR="006018A2" w:rsidRDefault="006018A2" w14:paraId="6115B8FA" w14:textId="50C82C35">
            <w:pPr>
              <w:jc w:val="left"/>
              <w:rPr>
                <w:b/>
                <w:iCs/>
              </w:rPr>
            </w:pPr>
            <w:r>
              <w:rPr>
                <w:rFonts w:cs="Arial"/>
                <w:b/>
                <w:bCs/>
              </w:rPr>
              <w:t>RCOD</w:t>
            </w:r>
          </w:p>
        </w:tc>
        <w:tc>
          <w:tcPr>
            <w:tcW w:w="7105" w:type="dxa"/>
          </w:tcPr>
          <w:p w:rsidR="006018A2" w:rsidRDefault="006018A2" w14:paraId="1966401D" w14:textId="7D322598">
            <w:pPr>
              <w:rPr>
                <w:bCs/>
                <w:iCs/>
              </w:rPr>
            </w:pPr>
            <w:r>
              <w:rPr>
                <w:rFonts w:cs="Arial"/>
                <w:highlight w:val="yellow"/>
              </w:rPr>
              <w:t>#Month #Day, #Year</w:t>
            </w:r>
            <w:r>
              <w:rPr>
                <w:rFonts w:cs="Arial"/>
                <w:b/>
                <w:bCs/>
                <w:i/>
                <w:iCs/>
                <w:highlight w:val="cyan"/>
                <w:u w:val="single"/>
              </w:rPr>
              <w:t>OR</w:t>
            </w:r>
            <w:r>
              <w:rPr>
                <w:rFonts w:cs="Arial"/>
                <w:highlight w:val="yellow"/>
              </w:rPr>
              <w:t>#N/A</w:t>
            </w:r>
          </w:p>
        </w:tc>
      </w:tr>
      <w:tr w:rsidR="006018A2" w:rsidTr="006A1845" w14:paraId="535EE92B" w14:textId="77777777">
        <w:tc>
          <w:tcPr>
            <w:tcW w:w="2245" w:type="dxa"/>
          </w:tcPr>
          <w:p w:rsidRPr="009222E0" w:rsidR="006018A2" w:rsidRDefault="006018A2" w14:paraId="2A3DB658" w14:textId="2A54D8B4">
            <w:pPr>
              <w:jc w:val="left"/>
              <w:rPr>
                <w:b/>
                <w:iCs/>
              </w:rPr>
            </w:pPr>
            <w:r>
              <w:rPr>
                <w:b/>
                <w:bCs/>
              </w:rPr>
              <w:t>Earliest Delivery Commencement Date</w:t>
            </w:r>
          </w:p>
        </w:tc>
        <w:tc>
          <w:tcPr>
            <w:tcW w:w="7105" w:type="dxa"/>
          </w:tcPr>
          <w:p w:rsidR="006018A2" w:rsidRDefault="006018A2" w14:paraId="1C891E5F" w14:textId="70290D53">
            <w:pPr>
              <w:rPr>
                <w:bCs/>
                <w:iCs/>
              </w:rPr>
            </w:pPr>
            <w:r>
              <w:rPr>
                <w:highlight w:val="yellow"/>
              </w:rPr>
              <w:t>#DateNineMonthsBeforeRCOD</w:t>
            </w:r>
            <w:r>
              <w:rPr>
                <w:b/>
                <w:bCs/>
                <w:i/>
                <w:iCs/>
                <w:highlight w:val="cyan"/>
                <w:u w:val="single"/>
              </w:rPr>
              <w:t>OR</w:t>
            </w:r>
            <w:r>
              <w:rPr>
                <w:highlight w:val="yellow"/>
              </w:rPr>
              <w:t>#Month #Day, #Year</w:t>
            </w:r>
          </w:p>
        </w:tc>
      </w:tr>
    </w:tbl>
    <w:p w:rsidR="006018A2" w:rsidP="00E1752C" w:rsidRDefault="006018A2" w14:paraId="2E733D88" w14:textId="749309CF">
      <w:pPr>
        <w:pStyle w:val="zG01"/>
        <w:numPr>
          <w:ilvl w:val="0"/>
          <w:numId w:val="0"/>
        </w:numPr>
        <w:spacing w:after="120"/>
        <w:ind w:left="936" w:hanging="936"/>
      </w:pPr>
    </w:p>
    <w:tbl>
      <w:tblPr>
        <w:tblStyle w:val="TableGrid"/>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245"/>
        <w:gridCol w:w="7105"/>
      </w:tblGrid>
      <w:tr w:rsidR="005B252A" w:rsidTr="006A1845" w14:paraId="5226469E" w14:textId="77777777">
        <w:trPr>
          <w:trHeight w:val="710"/>
        </w:trPr>
        <w:tc>
          <w:tcPr>
            <w:tcW w:w="9350" w:type="dxa"/>
            <w:gridSpan w:val="2"/>
            <w:shd w:val="clear" w:color="auto" w:fill="D9D9D9" w:themeFill="background1" w:themeFillShade="D9"/>
          </w:tcPr>
          <w:p w:rsidRPr="00E65175" w:rsidR="005B252A" w:rsidP="00E65175" w:rsidRDefault="005B252A" w14:paraId="2C735B69" w14:textId="77777777">
            <w:pPr>
              <w:jc w:val="center"/>
              <w:rPr>
                <w:b/>
                <w:iCs/>
              </w:rPr>
            </w:pPr>
            <w:r>
              <w:rPr>
                <w:b/>
                <w:iCs/>
              </w:rPr>
              <w:t>Table A-3</w:t>
            </w:r>
          </w:p>
          <w:p w:rsidRPr="00E65175" w:rsidR="005B252A" w:rsidP="000710AC" w:rsidRDefault="005B252A" w14:paraId="298799DC" w14:textId="60869CE4">
            <w:pPr>
              <w:jc w:val="center"/>
              <w:rPr>
                <w:b/>
                <w:iCs/>
              </w:rPr>
            </w:pPr>
            <w:r>
              <w:rPr>
                <w:b/>
                <w:bCs/>
              </w:rPr>
              <w:t>Additional Facility and Operating Information</w:t>
            </w:r>
          </w:p>
        </w:tc>
      </w:tr>
      <w:tr w:rsidR="006018A2" w:rsidTr="006A1845" w14:paraId="34CD2E2B" w14:textId="77777777">
        <w:tc>
          <w:tcPr>
            <w:tcW w:w="2245" w:type="dxa"/>
          </w:tcPr>
          <w:p w:rsidRPr="00A83279" w:rsidR="006018A2" w:rsidRDefault="006018A2" w14:paraId="160C4587" w14:textId="69529E21">
            <w:pPr>
              <w:spacing w:after="120"/>
              <w:jc w:val="left"/>
              <w:rPr>
                <w:b/>
                <w:bCs/>
              </w:rPr>
            </w:pPr>
            <w:r>
              <w:rPr>
                <w:b/>
                <w:iCs/>
              </w:rPr>
              <w:t>Air Permit Operating Limits</w:t>
            </w:r>
          </w:p>
        </w:tc>
        <w:tc>
          <w:tcPr>
            <w:tcW w:w="7105" w:type="dxa"/>
          </w:tcPr>
          <w:p w:rsidR="006018A2" w:rsidRDefault="006018A2" w14:paraId="6FD40B94" w14:textId="6272562C">
            <w:pPr>
              <w:spacing w:after="120"/>
              <w:rPr>
                <w:b/>
                <w:bCs/>
              </w:rPr>
            </w:pPr>
            <w:r>
              <w:rPr>
                <w:highlight w:val="yellow"/>
              </w:rPr>
              <w:t>##AirPermitOperatingLimits</w:t>
            </w:r>
          </w:p>
        </w:tc>
      </w:tr>
      <w:tr w:rsidR="006018A2" w:rsidTr="006A1845" w14:paraId="11479347" w14:textId="77777777">
        <w:tc>
          <w:tcPr>
            <w:tcW w:w="2245" w:type="dxa"/>
          </w:tcPr>
          <w:p w:rsidR="006018A2" w:rsidRDefault="006018A2" w14:paraId="3E70F5C6" w14:textId="140A3701">
            <w:pPr>
              <w:spacing w:after="120"/>
              <w:jc w:val="left"/>
              <w:rPr>
                <w:b/>
                <w:bCs/>
              </w:rPr>
            </w:pPr>
            <w:r>
              <w:rPr>
                <w:b/>
                <w:bCs/>
              </w:rPr>
              <w:t>GHG Rate</w:t>
            </w:r>
          </w:p>
        </w:tc>
        <w:tc>
          <w:tcPr>
            <w:tcW w:w="7105" w:type="dxa"/>
          </w:tcPr>
          <w:p w:rsidR="006018A2" w:rsidRDefault="006018A2" w14:paraId="0E9171B8" w14:textId="77777777">
            <w:pPr>
              <w:spacing w:after="120"/>
              <w:rPr>
                <w:rFonts w:cs="Arial"/>
              </w:rPr>
            </w:pPr>
            <w:r>
              <w:rPr>
                <w:rFonts w:cs="Arial"/>
              </w:rPr>
              <w:t xml:space="preserve">Either: (i) regarding CO2, </w:t>
            </w:r>
            <w:r>
              <w:rPr>
                <w:rFonts w:cs="Arial"/>
                <w:highlight w:val="yellow"/>
              </w:rPr>
              <w:t>#Weight</w:t>
            </w:r>
            <w:r>
              <w:rPr>
                <w:rFonts w:cs="Arial"/>
              </w:rPr>
              <w:t xml:space="preserve"> lbs. of CO2 / MMBtu; or (ii) regarding any other Greenhouse Gas, a rate established by GPC that is equal to the average </w:t>
            </w:r>
            <w:r>
              <w:rPr>
                <w:rFonts w:cs="Arial"/>
              </w:rPr>
              <w:lastRenderedPageBreak/>
              <w:t>emissions rate for the applicable Greenhouse Gas from GPC’s own combined cycle electric generation facilities.</w:t>
            </w:r>
          </w:p>
          <w:p w:rsidR="006018A2" w:rsidRDefault="006018A2" w14:paraId="7CC44993" w14:textId="77777777">
            <w:pPr>
              <w:spacing w:after="120"/>
              <w:rPr>
                <w:b/>
                <w:bCs/>
              </w:rPr>
            </w:pPr>
          </w:p>
        </w:tc>
      </w:tr>
      <w:tr w:rsidR="006018A2" w:rsidTr="006A1845" w14:paraId="5FB4F4AD" w14:textId="77777777">
        <w:tc>
          <w:tcPr>
            <w:tcW w:w="2245" w:type="dxa"/>
          </w:tcPr>
          <w:p w:rsidR="006018A2" w:rsidRDefault="006018A2" w14:paraId="01E9BC79" w14:textId="1E83D031">
            <w:pPr>
              <w:spacing w:after="120"/>
              <w:jc w:val="left"/>
              <w:rPr>
                <w:b/>
                <w:bCs/>
              </w:rPr>
            </w:pPr>
            <w:r>
              <w:rPr>
                <w:rFonts w:cs="Arial"/>
                <w:b/>
                <w:bCs/>
              </w:rPr>
              <w:lastRenderedPageBreak/>
              <w:t>Nominal Standard Capability</w:t>
            </w:r>
          </w:p>
        </w:tc>
        <w:tc>
          <w:tcPr>
            <w:tcW w:w="7105" w:type="dxa"/>
          </w:tcPr>
          <w:p w:rsidR="006018A2" w:rsidRDefault="006018A2" w14:paraId="7EF031D7" w14:textId="67C397D5">
            <w:pPr>
              <w:spacing w:after="120"/>
              <w:rPr>
                <w:b/>
                <w:bCs/>
              </w:rPr>
            </w:pPr>
            <w:r>
              <w:rPr>
                <w:rFonts w:cs="Arial"/>
                <w:highlight w:val="yellow"/>
              </w:rPr>
              <w:t>#Value MW</w:t>
            </w:r>
            <w:r>
              <w:rPr>
                <w:rFonts w:cs="Arial"/>
              </w:rPr>
              <w:t xml:space="preserve"> and </w:t>
            </w:r>
            <w:r>
              <w:rPr>
                <w:rFonts w:cs="Arial"/>
                <w:highlight w:val="yellow"/>
              </w:rPr>
              <w:t>#Value MWh</w:t>
            </w:r>
          </w:p>
        </w:tc>
      </w:tr>
      <w:tr w:rsidR="009C2ADE" w:rsidTr="006A1845" w14:paraId="3587A556" w14:textId="77777777">
        <w:tc>
          <w:tcPr>
            <w:tcW w:w="2245" w:type="dxa"/>
          </w:tcPr>
          <w:p w:rsidR="009C2ADE" w:rsidRDefault="009C2ADE" w14:paraId="25E7BAD4" w14:textId="5655F174">
            <w:pPr>
              <w:jc w:val="left"/>
              <w:rPr>
                <w:rFonts w:cs="Arial"/>
                <w:b/>
                <w:bCs/>
              </w:rPr>
            </w:pPr>
            <w:r>
              <w:rPr>
                <w:rFonts w:cs="Arial"/>
                <w:b/>
                <w:bCs/>
              </w:rPr>
              <w:t>Nominal Winter Capability</w:t>
            </w:r>
          </w:p>
        </w:tc>
        <w:tc>
          <w:tcPr>
            <w:tcW w:w="7105" w:type="dxa"/>
          </w:tcPr>
          <w:p w:rsidRPr="00336259" w:rsidR="009C2ADE" w:rsidRDefault="0058099F" w14:paraId="45F7265D" w14:textId="1E287E37">
            <w:pPr>
              <w:rPr>
                <w:rFonts w:cs="Arial"/>
                <w:highlight w:val="yellow"/>
              </w:rPr>
            </w:pPr>
            <w:r>
              <w:rPr>
                <w:rFonts w:cs="Arial"/>
                <w:highlight w:val="yellow"/>
              </w:rPr>
              <w:t>#Value MW</w:t>
            </w:r>
            <w:r>
              <w:rPr>
                <w:rFonts w:cs="Arial"/>
              </w:rPr>
              <w:t xml:space="preserve"> and </w:t>
            </w:r>
            <w:r>
              <w:rPr>
                <w:rFonts w:cs="Arial"/>
                <w:highlight w:val="yellow"/>
              </w:rPr>
              <w:t>#Value MWh</w:t>
            </w:r>
          </w:p>
        </w:tc>
      </w:tr>
      <w:tr w:rsidR="006018A2" w:rsidTr="006A1845" w14:paraId="06A9D788" w14:textId="77777777">
        <w:tc>
          <w:tcPr>
            <w:tcW w:w="2245" w:type="dxa"/>
          </w:tcPr>
          <w:p w:rsidR="006018A2" w:rsidRDefault="006018A2" w14:paraId="3C1B6D16" w14:textId="38A7FA8C">
            <w:pPr>
              <w:spacing w:after="120"/>
              <w:jc w:val="left"/>
              <w:rPr>
                <w:b/>
                <w:bCs/>
              </w:rPr>
            </w:pPr>
            <w:r>
              <w:rPr>
                <w:rFonts w:cs="Arial"/>
                <w:b/>
                <w:bCs/>
              </w:rPr>
              <w:t>Nominal Standard Base Capability</w:t>
            </w:r>
          </w:p>
        </w:tc>
        <w:tc>
          <w:tcPr>
            <w:tcW w:w="7105" w:type="dxa"/>
          </w:tcPr>
          <w:p w:rsidR="006018A2" w:rsidRDefault="006018A2" w14:paraId="0334AF7A" w14:textId="77777777">
            <w:pPr>
              <w:spacing w:after="120"/>
              <w:rPr>
                <w:rFonts w:cs="Arial"/>
              </w:rPr>
            </w:pPr>
            <w:r>
              <w:rPr>
                <w:rFonts w:cs="Arial"/>
                <w:bCs/>
                <w:iCs/>
                <w:highlight w:val="yellow"/>
              </w:rPr>
              <w:t>#Value</w:t>
            </w:r>
            <w:r>
              <w:rPr>
                <w:rFonts w:cs="Arial"/>
                <w:highlight w:val="yellow"/>
              </w:rPr>
              <w:t xml:space="preserve"> MW</w:t>
            </w:r>
            <w:r>
              <w:rPr>
                <w:rFonts w:cs="Arial"/>
              </w:rPr>
              <w:t xml:space="preserve"> and </w:t>
            </w:r>
            <w:r>
              <w:rPr>
                <w:rFonts w:cs="Arial"/>
                <w:highlight w:val="yellow"/>
              </w:rPr>
              <w:t>#Value MWh</w:t>
            </w:r>
          </w:p>
          <w:p w:rsidR="006018A2" w:rsidRDefault="006018A2" w14:paraId="173C7D91" w14:textId="77777777">
            <w:pPr>
              <w:spacing w:after="120"/>
              <w:rPr>
                <w:b/>
                <w:bCs/>
              </w:rPr>
            </w:pPr>
          </w:p>
        </w:tc>
      </w:tr>
      <w:tr w:rsidR="009C2ADE" w:rsidTr="006A1845" w14:paraId="7B997500" w14:textId="77777777">
        <w:tc>
          <w:tcPr>
            <w:tcW w:w="2245" w:type="dxa"/>
          </w:tcPr>
          <w:p w:rsidR="009C2ADE" w:rsidRDefault="00BA743A" w14:paraId="38DBEDC0" w14:textId="15333FFD">
            <w:pPr>
              <w:jc w:val="left"/>
              <w:rPr>
                <w:rFonts w:cs="Arial"/>
                <w:b/>
                <w:bCs/>
              </w:rPr>
            </w:pPr>
            <w:r>
              <w:rPr>
                <w:rFonts w:cs="Arial"/>
                <w:b/>
                <w:bCs/>
              </w:rPr>
              <w:t xml:space="preserve">Nominal Winter Base Capability </w:t>
            </w:r>
          </w:p>
        </w:tc>
        <w:tc>
          <w:tcPr>
            <w:tcW w:w="7105" w:type="dxa"/>
          </w:tcPr>
          <w:p w:rsidR="00BA743A" w:rsidP="00BA743A" w:rsidRDefault="00BA743A" w14:paraId="782E6968" w14:textId="77777777">
            <w:pPr>
              <w:spacing w:after="120"/>
              <w:rPr>
                <w:rFonts w:cs="Arial"/>
              </w:rPr>
            </w:pPr>
            <w:r>
              <w:rPr>
                <w:rFonts w:cs="Arial"/>
                <w:bCs/>
                <w:iCs/>
                <w:highlight w:val="yellow"/>
              </w:rPr>
              <w:t>#Value</w:t>
            </w:r>
            <w:r>
              <w:rPr>
                <w:rFonts w:cs="Arial"/>
                <w:highlight w:val="yellow"/>
              </w:rPr>
              <w:t xml:space="preserve"> MW</w:t>
            </w:r>
            <w:r>
              <w:rPr>
                <w:rFonts w:cs="Arial"/>
              </w:rPr>
              <w:t xml:space="preserve"> and </w:t>
            </w:r>
            <w:r>
              <w:rPr>
                <w:rFonts w:cs="Arial"/>
                <w:highlight w:val="yellow"/>
              </w:rPr>
              <w:t>#Value MWh</w:t>
            </w:r>
          </w:p>
          <w:p w:rsidRPr="007235FE" w:rsidR="009C2ADE" w:rsidRDefault="009C2ADE" w14:paraId="683CB285" w14:textId="77777777">
            <w:pPr>
              <w:rPr>
                <w:rFonts w:cs="Arial"/>
                <w:bCs/>
                <w:iCs/>
                <w:highlight w:val="yellow"/>
              </w:rPr>
            </w:pPr>
          </w:p>
        </w:tc>
      </w:tr>
      <w:tr w:rsidR="006018A2" w:rsidTr="006A1845" w14:paraId="1FA874D0" w14:textId="77777777">
        <w:tc>
          <w:tcPr>
            <w:tcW w:w="2245" w:type="dxa"/>
          </w:tcPr>
          <w:p w:rsidR="006018A2" w:rsidRDefault="006018A2" w14:paraId="3CBE3B32" w14:textId="3FEACC97">
            <w:pPr>
              <w:spacing w:after="120"/>
              <w:jc w:val="left"/>
              <w:rPr>
                <w:b/>
                <w:bCs/>
              </w:rPr>
            </w:pPr>
            <w:r>
              <w:rPr>
                <w:rFonts w:cs="Arial"/>
                <w:b/>
                <w:bCs/>
              </w:rPr>
              <w:t>Nominal Standard Supplemental Capability</w:t>
            </w:r>
          </w:p>
        </w:tc>
        <w:tc>
          <w:tcPr>
            <w:tcW w:w="7105" w:type="dxa"/>
          </w:tcPr>
          <w:p w:rsidR="006018A2" w:rsidRDefault="006018A2" w14:paraId="68F1CF3E" w14:textId="77777777">
            <w:pPr>
              <w:spacing w:after="120"/>
              <w:rPr>
                <w:b/>
                <w:bCs/>
              </w:rPr>
            </w:pPr>
            <w:r>
              <w:rPr>
                <w:rFonts w:cs="Arial"/>
                <w:bCs/>
                <w:iCs/>
                <w:highlight w:val="yellow"/>
              </w:rPr>
              <w:t>#Value</w:t>
            </w:r>
            <w:r>
              <w:rPr>
                <w:rFonts w:cs="Arial"/>
                <w:highlight w:val="yellow"/>
              </w:rPr>
              <w:t xml:space="preserve"> MW</w:t>
            </w:r>
            <w:r>
              <w:rPr>
                <w:rFonts w:cs="Arial"/>
              </w:rPr>
              <w:t xml:space="preserve"> and </w:t>
            </w:r>
            <w:r>
              <w:rPr>
                <w:rFonts w:cs="Arial"/>
                <w:highlight w:val="yellow"/>
              </w:rPr>
              <w:t>#Value MWh</w:t>
            </w:r>
          </w:p>
        </w:tc>
      </w:tr>
      <w:tr w:rsidR="00BA743A" w:rsidTr="006A1845" w14:paraId="3E9EF876" w14:textId="77777777">
        <w:tc>
          <w:tcPr>
            <w:tcW w:w="2245" w:type="dxa"/>
          </w:tcPr>
          <w:p w:rsidR="00BA743A" w:rsidRDefault="00BA743A" w14:paraId="0B7ABD0D" w14:textId="1026D432">
            <w:pPr>
              <w:jc w:val="left"/>
              <w:rPr>
                <w:rFonts w:cs="Arial"/>
                <w:b/>
                <w:bCs/>
              </w:rPr>
            </w:pPr>
            <w:r>
              <w:rPr>
                <w:rFonts w:cs="Arial"/>
                <w:b/>
                <w:bCs/>
              </w:rPr>
              <w:t xml:space="preserve">Nominal Winter Supplemental Capability </w:t>
            </w:r>
          </w:p>
        </w:tc>
        <w:tc>
          <w:tcPr>
            <w:tcW w:w="7105" w:type="dxa"/>
          </w:tcPr>
          <w:p w:rsidRPr="007235FE" w:rsidR="00BA743A" w:rsidRDefault="00BA743A" w14:paraId="7EB3465A" w14:textId="76550FA1">
            <w:pPr>
              <w:rPr>
                <w:rFonts w:cs="Arial"/>
                <w:bCs/>
                <w:iCs/>
                <w:highlight w:val="yellow"/>
              </w:rPr>
            </w:pPr>
            <w:r>
              <w:rPr>
                <w:rFonts w:cs="Arial"/>
                <w:bCs/>
                <w:iCs/>
                <w:highlight w:val="yellow"/>
              </w:rPr>
              <w:t>#Value</w:t>
            </w:r>
            <w:r>
              <w:rPr>
                <w:rFonts w:cs="Arial"/>
                <w:highlight w:val="yellow"/>
              </w:rPr>
              <w:t xml:space="preserve"> MW</w:t>
            </w:r>
            <w:r>
              <w:rPr>
                <w:rFonts w:cs="Arial"/>
              </w:rPr>
              <w:t xml:space="preserve"> and </w:t>
            </w:r>
            <w:r>
              <w:rPr>
                <w:rFonts w:cs="Arial"/>
                <w:highlight w:val="yellow"/>
              </w:rPr>
              <w:t>#Value MWh</w:t>
            </w:r>
          </w:p>
        </w:tc>
      </w:tr>
      <w:tr w:rsidR="006018A2" w:rsidTr="006A1845" w14:paraId="6685B81A" w14:textId="77777777">
        <w:tc>
          <w:tcPr>
            <w:tcW w:w="2245" w:type="dxa"/>
          </w:tcPr>
          <w:p w:rsidR="006018A2" w:rsidRDefault="006018A2" w14:paraId="1C9609A2" w14:textId="303D513D">
            <w:pPr>
              <w:spacing w:after="120"/>
              <w:jc w:val="left"/>
              <w:rPr>
                <w:b/>
                <w:bCs/>
              </w:rPr>
            </w:pPr>
            <w:r>
              <w:rPr>
                <w:rFonts w:cs="Arial"/>
                <w:b/>
                <w:bCs/>
              </w:rPr>
              <w:t>Gas Delivery Point (Pipeline Name and Additional Information)</w:t>
            </w:r>
          </w:p>
        </w:tc>
        <w:tc>
          <w:tcPr>
            <w:tcW w:w="7105" w:type="dxa"/>
          </w:tcPr>
          <w:p w:rsidR="006018A2" w:rsidRDefault="006018A2" w14:paraId="42FC5CED" w14:textId="7D9953F2">
            <w:pPr>
              <w:spacing w:after="120"/>
              <w:rPr>
                <w:b/>
                <w:bCs/>
              </w:rPr>
            </w:pPr>
            <w:r>
              <w:rPr>
                <w:rFonts w:cs="Arial"/>
                <w:highlight w:val="yellow"/>
              </w:rPr>
              <w:t>#GasDeliveryPointInformationIncludingPipelineName</w:t>
            </w:r>
          </w:p>
        </w:tc>
      </w:tr>
      <w:tr w:rsidR="006018A2" w:rsidTr="006A1845" w14:paraId="7C6B1D07" w14:textId="77777777">
        <w:tc>
          <w:tcPr>
            <w:tcW w:w="2245" w:type="dxa"/>
          </w:tcPr>
          <w:p w:rsidR="006018A2" w:rsidRDefault="006018A2" w14:paraId="32F4ACA4" w14:textId="0361438A">
            <w:pPr>
              <w:spacing w:after="120"/>
              <w:jc w:val="left"/>
              <w:rPr>
                <w:b/>
                <w:bCs/>
              </w:rPr>
            </w:pPr>
            <w:r>
              <w:rPr>
                <w:rFonts w:cs="Arial"/>
                <w:b/>
                <w:bCs/>
              </w:rPr>
              <w:t>Tier 1 Standard Supplemental Operating Mode Characteristics</w:t>
            </w:r>
          </w:p>
        </w:tc>
        <w:tc>
          <w:tcPr>
            <w:tcW w:w="7105" w:type="dxa"/>
          </w:tcPr>
          <w:p w:rsidR="006018A2" w:rsidRDefault="006018A2" w14:paraId="6F8FD855" w14:textId="094C23A9">
            <w:pPr>
              <w:spacing w:after="120"/>
              <w:rPr>
                <w:b/>
                <w:bCs/>
              </w:rPr>
            </w:pPr>
            <w:r>
              <w:rPr>
                <w:rFonts w:cs="Arial"/>
                <w:bCs/>
                <w:iCs/>
                <w:w w:val="0"/>
                <w:highlight w:val="yellow"/>
              </w:rPr>
              <w:t>#DescribeTier1StandardSupplementalOperatingCharacteristics</w:t>
            </w:r>
          </w:p>
        </w:tc>
      </w:tr>
      <w:tr w:rsidR="00B21942" w:rsidTr="006A1845" w14:paraId="23185C77" w14:textId="77777777">
        <w:tc>
          <w:tcPr>
            <w:tcW w:w="2245" w:type="dxa"/>
          </w:tcPr>
          <w:p w:rsidRPr="00DA43B8" w:rsidR="00B21942" w:rsidRDefault="00B21942" w14:paraId="0A89965B" w14:textId="533AC599">
            <w:pPr>
              <w:jc w:val="left"/>
              <w:rPr>
                <w:rFonts w:cs="Arial"/>
                <w:b/>
                <w:bCs/>
              </w:rPr>
            </w:pPr>
            <w:r>
              <w:rPr>
                <w:rFonts w:cs="Arial"/>
                <w:b/>
                <w:bCs/>
              </w:rPr>
              <w:t>Tier 1 Winter Supplemental Operating Mode Characteristics</w:t>
            </w:r>
          </w:p>
        </w:tc>
        <w:tc>
          <w:tcPr>
            <w:tcW w:w="7105" w:type="dxa"/>
          </w:tcPr>
          <w:p w:rsidRPr="00434FAD" w:rsidR="00B21942" w:rsidRDefault="00B21942" w14:paraId="5B59E7A4" w14:textId="2EEF98E4">
            <w:pPr>
              <w:rPr>
                <w:rFonts w:cs="Arial"/>
                <w:bCs/>
                <w:iCs/>
                <w:w w:val="0"/>
                <w:highlight w:val="yellow"/>
              </w:rPr>
            </w:pPr>
            <w:r>
              <w:rPr>
                <w:rFonts w:cs="Arial"/>
                <w:bCs/>
                <w:iCs/>
                <w:w w:val="0"/>
                <w:highlight w:val="yellow"/>
              </w:rPr>
              <w:t>#DescribeTier1WinterSupplementalOperatingCharacteristics</w:t>
            </w:r>
          </w:p>
        </w:tc>
      </w:tr>
      <w:tr w:rsidR="006018A2" w:rsidTr="006A1845" w14:paraId="7BEBCF92" w14:textId="77777777">
        <w:tc>
          <w:tcPr>
            <w:tcW w:w="2245" w:type="dxa"/>
          </w:tcPr>
          <w:p w:rsidR="006018A2" w:rsidRDefault="006018A2" w14:paraId="344581F7" w14:textId="1910526A">
            <w:pPr>
              <w:spacing w:after="120"/>
              <w:jc w:val="left"/>
              <w:rPr>
                <w:b/>
                <w:bCs/>
              </w:rPr>
            </w:pPr>
            <w:r>
              <w:rPr>
                <w:rFonts w:cs="Arial"/>
                <w:b/>
                <w:bCs/>
              </w:rPr>
              <w:t>Tier 2 Standard Supplemental Operating Mode Characteristics</w:t>
            </w:r>
          </w:p>
        </w:tc>
        <w:tc>
          <w:tcPr>
            <w:tcW w:w="7105" w:type="dxa"/>
          </w:tcPr>
          <w:p w:rsidR="006018A2" w:rsidRDefault="006018A2" w14:paraId="6997B446" w14:textId="44582396">
            <w:pPr>
              <w:spacing w:after="120"/>
              <w:rPr>
                <w:b/>
                <w:bCs/>
              </w:rPr>
            </w:pPr>
            <w:r>
              <w:rPr>
                <w:rFonts w:cs="Arial"/>
                <w:bCs/>
                <w:iCs/>
                <w:w w:val="0"/>
                <w:highlight w:val="yellow"/>
              </w:rPr>
              <w:t>#DescribeTier2StandardSupplementalOperatingCharacteristics</w:t>
            </w:r>
          </w:p>
        </w:tc>
      </w:tr>
      <w:tr w:rsidR="00B21942" w:rsidTr="006A1845" w14:paraId="6D52132C" w14:textId="77777777">
        <w:tc>
          <w:tcPr>
            <w:tcW w:w="2245" w:type="dxa"/>
          </w:tcPr>
          <w:p w:rsidRPr="00DA43B8" w:rsidR="00B21942" w:rsidRDefault="00B21942" w14:paraId="0DD90AB4" w14:textId="6C736A8E">
            <w:pPr>
              <w:jc w:val="left"/>
              <w:rPr>
                <w:rFonts w:cs="Arial"/>
                <w:b/>
                <w:bCs/>
              </w:rPr>
            </w:pPr>
            <w:r>
              <w:rPr>
                <w:rFonts w:cs="Arial"/>
                <w:b/>
                <w:bCs/>
              </w:rPr>
              <w:t>Tier 2 Winter Supplemental Operating Mode Characteristics</w:t>
            </w:r>
          </w:p>
        </w:tc>
        <w:tc>
          <w:tcPr>
            <w:tcW w:w="7105" w:type="dxa"/>
          </w:tcPr>
          <w:p w:rsidRPr="00434FAD" w:rsidR="00B21942" w:rsidRDefault="00B21942" w14:paraId="5A7C4AE5" w14:textId="4A502097">
            <w:pPr>
              <w:rPr>
                <w:rFonts w:cs="Arial"/>
                <w:bCs/>
                <w:iCs/>
                <w:w w:val="0"/>
                <w:highlight w:val="yellow"/>
              </w:rPr>
            </w:pPr>
            <w:r>
              <w:rPr>
                <w:rFonts w:cs="Arial"/>
                <w:bCs/>
                <w:iCs/>
                <w:w w:val="0"/>
                <w:highlight w:val="yellow"/>
              </w:rPr>
              <w:t>#DescribeTier2WinterSupplementalOperatingCharacteristics</w:t>
            </w:r>
          </w:p>
        </w:tc>
      </w:tr>
      <w:tr w:rsidR="009C5373" w:rsidTr="006A1845" w14:paraId="7BC8F4C4" w14:textId="77777777">
        <w:tc>
          <w:tcPr>
            <w:tcW w:w="2245" w:type="dxa"/>
          </w:tcPr>
          <w:p w:rsidRPr="00F57881" w:rsidR="009C5373" w:rsidP="00B47558" w:rsidRDefault="009C5373" w14:paraId="569C73ED" w14:textId="53F7C550">
            <w:pPr>
              <w:spacing w:after="120"/>
              <w:jc w:val="left"/>
              <w:rPr>
                <w:b/>
                <w:bCs/>
              </w:rPr>
            </w:pPr>
            <w:r>
              <w:rPr>
                <w:b/>
                <w:bCs/>
              </w:rPr>
              <w:t>Southern Transmission Interface</w:t>
            </w:r>
          </w:p>
        </w:tc>
        <w:tc>
          <w:tcPr>
            <w:tcW w:w="7105" w:type="dxa"/>
          </w:tcPr>
          <w:p w:rsidR="009C5373" w:rsidP="00B47558" w:rsidRDefault="009C5373" w14:paraId="4B183C2A" w14:textId="77777777">
            <w:pPr>
              <w:spacing w:after="120"/>
            </w:pPr>
            <w:r>
              <w:rPr>
                <w:highlight w:val="yellow"/>
              </w:rPr>
              <w:t>#AddSelectedSouthernTransmissionInterface</w:t>
            </w:r>
          </w:p>
        </w:tc>
      </w:tr>
    </w:tbl>
    <w:p w:rsidR="00691E0D" w:rsidP="00421037" w:rsidRDefault="00691E0D" w14:paraId="25A57FC0" w14:textId="77777777">
      <w:pPr>
        <w:pStyle w:val="zGNormal"/>
        <w:sectPr w:rsidR="00691E0D" w:rsidSect="005B310E">
          <w:headerReference w:type="default" r:id="rId27"/>
          <w:footerReference w:type="default" r:id="rId28"/>
          <w:pgSz w:w="12240" w:h="15840" w:code="1"/>
          <w:pgMar w:top="1440" w:right="1440" w:bottom="1440" w:left="1440" w:header="720" w:footer="720" w:gutter="0"/>
          <w:paperSrc w:first="15" w:other="15"/>
          <w:cols w:space="1440"/>
        </w:sectPr>
      </w:pPr>
    </w:p>
    <w:p w:rsidRPr="002C2CE9" w:rsidR="00691E0D" w:rsidP="00691E0D" w:rsidRDefault="001D6CFC" w14:paraId="5F2C2C88" w14:textId="064ACE54">
      <w:pPr>
        <w:pStyle w:val="zGTitleExhibit"/>
      </w:pPr>
      <w:bookmarkStart w:name="_Toc212473091" w:id="392"/>
      <w:bookmarkStart w:name="_Toc227840787" w:id="393"/>
      <w:r>
        <w:lastRenderedPageBreak/>
        <w:t>Exhibit A-1 – Key Milestones and Required Key Milestone Dates</w:t>
      </w:r>
      <w:bookmarkEnd w:id="392"/>
      <w:bookmarkEnd w:id="393"/>
      <w:r>
        <w:t xml:space="preserve"> </w:t>
      </w:r>
    </w:p>
    <w:p w:rsidRPr="00F37EF9" w:rsidR="00AA2F10" w:rsidP="00F37EF9" w:rsidRDefault="00AA2F10" w14:paraId="5D627D1F" w14:textId="51C454A5">
      <w:pPr>
        <w:pStyle w:val="zGNormal"/>
        <w:rPr>
          <w:b/>
          <w:bCs/>
        </w:rPr>
      </w:pPr>
      <w:r>
        <w:rPr>
          <w:b/>
          <w:bCs/>
          <w:highlight w:val="cyan"/>
        </w:rPr>
        <w:t>[</w:t>
      </w:r>
      <w:r>
        <w:rPr>
          <w:b/>
          <w:bCs/>
          <w:i/>
          <w:iCs/>
          <w:highlight w:val="cyan"/>
          <w:u w:val="single"/>
        </w:rPr>
        <w:t>Note to Bidders</w:t>
      </w:r>
      <w:r>
        <w:rPr>
          <w:b/>
          <w:bCs/>
          <w:i/>
          <w:iCs/>
          <w:highlight w:val="cyan"/>
        </w:rPr>
        <w:t>: This Key Milestones and Required Key Milestone Dates Exhibit revised to reflect Key Milestones applicable to the Facility and project prior to PPA execution.</w:t>
      </w:r>
      <w:r>
        <w:rPr>
          <w:b/>
          <w:bCs/>
          <w:highlight w:val="cyan"/>
        </w:rPr>
        <w:t>]</w:t>
      </w:r>
    </w:p>
    <w:p w:rsidRPr="00BD18B6" w:rsidR="00BD18B6" w:rsidP="00AA2F10" w:rsidRDefault="00BD18B6" w14:paraId="1DEF182E" w14:textId="77777777">
      <w:pPr>
        <w:pStyle w:val="zGTitle12"/>
        <w:jc w:val="both"/>
      </w:pPr>
    </w:p>
    <w:tbl>
      <w:tblPr>
        <w:tblStyle w:val="TableGrid"/>
        <w:tblW w:w="936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420"/>
        <w:gridCol w:w="2610"/>
        <w:gridCol w:w="3330"/>
      </w:tblGrid>
      <w:tr w:rsidRPr="000D0556" w:rsidR="00691E0D" w:rsidTr="006A1845" w14:paraId="712FA445" w14:textId="77777777">
        <w:trPr>
          <w:tblHeader/>
        </w:trPr>
        <w:tc>
          <w:tcPr>
            <w:tcW w:w="3420" w:type="dxa"/>
            <w:shd w:val="clear" w:color="auto" w:fill="D9D9D9" w:themeFill="background1" w:themeFillShade="D9"/>
          </w:tcPr>
          <w:p w:rsidRPr="00921E67" w:rsidR="00691E0D" w:rsidP="00921E67" w:rsidRDefault="00691E0D" w14:paraId="3CB5537E" w14:textId="77777777">
            <w:pPr>
              <w:spacing w:after="120"/>
              <w:jc w:val="center"/>
              <w:rPr>
                <w:rFonts w:cs="Arial"/>
                <w:b/>
              </w:rPr>
            </w:pPr>
            <w:r>
              <w:rPr>
                <w:rFonts w:cs="Arial"/>
                <w:b/>
              </w:rPr>
              <w:t>Key Milestone</w:t>
            </w:r>
          </w:p>
        </w:tc>
        <w:tc>
          <w:tcPr>
            <w:tcW w:w="2610" w:type="dxa"/>
            <w:shd w:val="clear" w:color="auto" w:fill="D9D9D9" w:themeFill="background1" w:themeFillShade="D9"/>
          </w:tcPr>
          <w:p w:rsidRPr="00921E67" w:rsidR="00691E0D" w:rsidP="00921E67" w:rsidRDefault="00691E0D" w14:paraId="1350ECCE" w14:textId="77777777">
            <w:pPr>
              <w:spacing w:after="120"/>
              <w:jc w:val="center"/>
              <w:rPr>
                <w:rFonts w:cs="Arial"/>
                <w:b/>
              </w:rPr>
            </w:pPr>
            <w:r>
              <w:rPr>
                <w:rFonts w:cs="Arial"/>
                <w:b/>
              </w:rPr>
              <w:t>Key Milestone Date</w:t>
            </w:r>
          </w:p>
        </w:tc>
        <w:tc>
          <w:tcPr>
            <w:tcW w:w="3330" w:type="dxa"/>
            <w:shd w:val="clear" w:color="auto" w:fill="D9D9D9" w:themeFill="background1" w:themeFillShade="D9"/>
          </w:tcPr>
          <w:p w:rsidRPr="00921E67" w:rsidR="00691E0D" w:rsidP="00921E67" w:rsidRDefault="00691E0D" w14:paraId="2299611F" w14:textId="77777777">
            <w:pPr>
              <w:spacing w:after="120"/>
              <w:jc w:val="center"/>
              <w:rPr>
                <w:rFonts w:cs="Arial"/>
                <w:b/>
              </w:rPr>
            </w:pPr>
            <w:r>
              <w:rPr>
                <w:rFonts w:cs="Arial"/>
                <w:b/>
              </w:rPr>
              <w:t>Required Substantiation</w:t>
            </w:r>
            <w:r>
              <w:rPr>
                <w:rStyle w:val="FootnoteReference"/>
                <w:rFonts w:cs="Arial"/>
              </w:rPr>
              <w:footnoteReference w:id="2"/>
            </w:r>
          </w:p>
        </w:tc>
      </w:tr>
      <w:tr w:rsidR="00691E0D" w:rsidTr="006A1845" w14:paraId="26A445D4" w14:textId="77777777">
        <w:tc>
          <w:tcPr>
            <w:tcW w:w="3420" w:type="dxa"/>
          </w:tcPr>
          <w:p w:rsidRPr="00921E67" w:rsidR="00691E0D" w:rsidP="00921E67" w:rsidRDefault="00691E0D" w14:paraId="4BBDEC3E" w14:textId="77777777">
            <w:pPr>
              <w:spacing w:after="120"/>
              <w:jc w:val="left"/>
              <w:rPr>
                <w:rFonts w:cs="Arial"/>
                <w:b/>
                <w:bCs/>
              </w:rPr>
            </w:pPr>
            <w:r>
              <w:rPr>
                <w:rFonts w:cs="Arial"/>
                <w:b/>
                <w:bCs/>
              </w:rPr>
              <w:t>Interconnection</w:t>
            </w:r>
          </w:p>
          <w:p w:rsidRPr="00921E67" w:rsidR="00691E0D" w:rsidP="00921E67" w:rsidRDefault="00691E0D" w14:paraId="016FCE97" w14:textId="77777777">
            <w:pPr>
              <w:spacing w:after="120"/>
              <w:jc w:val="left"/>
              <w:rPr>
                <w:rFonts w:cs="Arial"/>
              </w:rPr>
            </w:pPr>
            <w:r>
              <w:rPr>
                <w:rFonts w:cs="Arial"/>
              </w:rPr>
              <w:t xml:space="preserve">IA execution </w:t>
            </w:r>
          </w:p>
        </w:tc>
        <w:tc>
          <w:tcPr>
            <w:tcW w:w="2610" w:type="dxa"/>
          </w:tcPr>
          <w:p w:rsidRPr="00921E67" w:rsidR="00691E0D" w:rsidP="00921E67" w:rsidRDefault="00691E0D" w14:paraId="395514E7" w14:textId="77777777">
            <w:pPr>
              <w:spacing w:after="120"/>
              <w:rPr>
                <w:rFonts w:cs="Arial"/>
              </w:rPr>
            </w:pPr>
          </w:p>
        </w:tc>
        <w:tc>
          <w:tcPr>
            <w:tcW w:w="3330" w:type="dxa"/>
          </w:tcPr>
          <w:p w:rsidRPr="00921E67" w:rsidR="00691E0D" w:rsidP="00921E67" w:rsidRDefault="00691E0D" w14:paraId="100FB58B" w14:textId="77777777">
            <w:pPr>
              <w:spacing w:after="120"/>
              <w:rPr>
                <w:rFonts w:cs="Arial"/>
              </w:rPr>
            </w:pPr>
            <w:r>
              <w:rPr>
                <w:rFonts w:cs="Arial"/>
              </w:rPr>
              <w:t>Copies of:</w:t>
            </w:r>
          </w:p>
          <w:p w:rsidRPr="00921E67" w:rsidR="00691E0D" w:rsidP="00921E67" w:rsidRDefault="00691E0D" w14:paraId="6D6DC17A" w14:textId="1785A96F">
            <w:pPr>
              <w:spacing w:after="120"/>
              <w:rPr>
                <w:rFonts w:cs="Arial"/>
              </w:rPr>
            </w:pPr>
            <w:r>
              <w:rPr>
                <w:rFonts w:cs="Arial"/>
              </w:rPr>
              <w:t>Executed copy of IA reflecting a commercial operation date no later than the RCOD</w:t>
            </w:r>
          </w:p>
        </w:tc>
      </w:tr>
      <w:tr w:rsidR="00691E0D" w:rsidTr="006A1845" w14:paraId="352DF938" w14:textId="77777777">
        <w:tc>
          <w:tcPr>
            <w:tcW w:w="3420" w:type="dxa"/>
          </w:tcPr>
          <w:p w:rsidRPr="00921E67" w:rsidR="00691E0D" w:rsidP="00921E67" w:rsidRDefault="00691E0D" w14:paraId="4437CCA3" w14:textId="77777777">
            <w:pPr>
              <w:spacing w:after="120"/>
              <w:jc w:val="left"/>
              <w:rPr>
                <w:rFonts w:cs="Arial"/>
              </w:rPr>
            </w:pPr>
            <w:r>
              <w:rPr>
                <w:rFonts w:cs="Arial"/>
              </w:rPr>
              <w:t>EPC Contract execution</w:t>
            </w:r>
          </w:p>
        </w:tc>
        <w:tc>
          <w:tcPr>
            <w:tcW w:w="2610" w:type="dxa"/>
          </w:tcPr>
          <w:p w:rsidRPr="00921E67" w:rsidR="00691E0D" w:rsidP="00921E67" w:rsidRDefault="00691E0D" w14:paraId="2BB250FF" w14:textId="77777777">
            <w:pPr>
              <w:spacing w:after="120"/>
              <w:rPr>
                <w:rFonts w:cs="Arial"/>
              </w:rPr>
            </w:pPr>
          </w:p>
        </w:tc>
        <w:tc>
          <w:tcPr>
            <w:tcW w:w="3330" w:type="dxa"/>
          </w:tcPr>
          <w:p w:rsidRPr="00921E67" w:rsidR="00691E0D" w:rsidP="00921E67" w:rsidRDefault="00691E0D" w14:paraId="72DA20EC" w14:textId="109E760B">
            <w:pPr>
              <w:spacing w:after="120"/>
              <w:rPr>
                <w:rFonts w:cs="Arial"/>
              </w:rPr>
            </w:pPr>
            <w:r>
              <w:rPr>
                <w:rFonts w:cs="Arial"/>
              </w:rPr>
              <w:t>A copy of the executed EPC Contract reflecting a substantial completion date that supports the RCOD, with pricing and</w:t>
            </w:r>
            <w:r w:rsidR="00B96A94">
              <w:rPr>
                <w:rFonts w:cs="Arial"/>
              </w:rPr>
              <w:t xml:space="preserve"> other</w:t>
            </w:r>
            <w:r>
              <w:rPr>
                <w:rFonts w:cs="Arial"/>
              </w:rPr>
              <w:t xml:space="preserve"> commercially sensitive information redacted.</w:t>
            </w:r>
          </w:p>
        </w:tc>
      </w:tr>
      <w:tr w:rsidR="00691E0D" w:rsidTr="006A1845" w14:paraId="6E9280E9" w14:textId="77777777">
        <w:tc>
          <w:tcPr>
            <w:tcW w:w="3420" w:type="dxa"/>
          </w:tcPr>
          <w:p w:rsidRPr="00921E67" w:rsidR="00691E0D" w:rsidP="00921E67" w:rsidRDefault="00691E0D" w14:paraId="3FBE9A02" w14:textId="77777777">
            <w:pPr>
              <w:spacing w:after="120"/>
              <w:jc w:val="left"/>
              <w:rPr>
                <w:rFonts w:cs="Arial"/>
              </w:rPr>
            </w:pPr>
            <w:r>
              <w:rPr>
                <w:rFonts w:cs="Arial"/>
              </w:rPr>
              <w:t>Full execution of all major equipment procurement agreements, including those between Seller and applicable suppliers and vendors for:</w:t>
            </w:r>
          </w:p>
          <w:p w:rsidRPr="00921E67" w:rsidR="00691E0D" w:rsidP="00921E67" w:rsidRDefault="00691E0D" w14:paraId="0E270F34" w14:textId="77777777">
            <w:pPr>
              <w:spacing w:after="120"/>
              <w:jc w:val="left"/>
              <w:rPr>
                <w:rFonts w:cs="Arial"/>
              </w:rPr>
            </w:pPr>
            <w:r>
              <w:rPr>
                <w:rFonts w:cs="Arial"/>
              </w:rPr>
              <w:t xml:space="preserve">•     </w:t>
            </w:r>
            <w:r>
              <w:rPr>
                <w:rFonts w:cs="Arial"/>
                <w:highlight w:val="yellow"/>
              </w:rPr>
              <w:t>#AddEquipment</w:t>
            </w:r>
          </w:p>
          <w:p w:rsidRPr="00921E67" w:rsidR="00691E0D" w:rsidP="00921E67" w:rsidRDefault="00691E0D" w14:paraId="0B7EF484" w14:textId="77777777">
            <w:pPr>
              <w:spacing w:after="120"/>
              <w:jc w:val="left"/>
              <w:rPr>
                <w:rFonts w:cs="Arial"/>
              </w:rPr>
            </w:pPr>
            <w:r>
              <w:rPr>
                <w:rFonts w:cs="Arial"/>
              </w:rPr>
              <w:t xml:space="preserve">•     </w:t>
            </w:r>
            <w:r>
              <w:rPr>
                <w:rFonts w:cs="Arial"/>
                <w:highlight w:val="yellow"/>
              </w:rPr>
              <w:t>#AddEquipment</w:t>
            </w:r>
          </w:p>
          <w:p w:rsidRPr="00921E67" w:rsidR="00691E0D" w:rsidP="00921E67" w:rsidRDefault="00691E0D" w14:paraId="20772F64" w14:textId="77777777">
            <w:pPr>
              <w:spacing w:after="120"/>
              <w:jc w:val="left"/>
              <w:rPr>
                <w:rFonts w:cs="Arial"/>
              </w:rPr>
            </w:pPr>
            <w:r>
              <w:rPr>
                <w:rFonts w:cs="Arial"/>
              </w:rPr>
              <w:t xml:space="preserve">•     </w:t>
            </w:r>
            <w:r>
              <w:rPr>
                <w:rFonts w:cs="Arial"/>
                <w:highlight w:val="yellow"/>
              </w:rPr>
              <w:t>#AddEquipment</w:t>
            </w:r>
          </w:p>
          <w:p w:rsidRPr="00921E67" w:rsidR="00691E0D" w:rsidP="00921E67" w:rsidRDefault="00691E0D" w14:paraId="1761D517" w14:textId="77777777">
            <w:pPr>
              <w:spacing w:after="120"/>
              <w:jc w:val="left"/>
              <w:rPr>
                <w:rFonts w:cs="Arial"/>
              </w:rPr>
            </w:pPr>
            <w:r>
              <w:rPr>
                <w:rFonts w:cs="Arial"/>
              </w:rPr>
              <w:t xml:space="preserve">•     </w:t>
            </w:r>
            <w:r>
              <w:rPr>
                <w:rFonts w:cs="Arial"/>
                <w:highlight w:val="yellow"/>
              </w:rPr>
              <w:t>#AddEquipment</w:t>
            </w:r>
          </w:p>
          <w:p w:rsidRPr="00921E67" w:rsidR="00691E0D" w:rsidP="00921E67" w:rsidRDefault="00691E0D" w14:paraId="1F388AF4" w14:textId="77777777">
            <w:pPr>
              <w:spacing w:after="120"/>
              <w:jc w:val="left"/>
              <w:rPr>
                <w:rFonts w:cs="Arial"/>
              </w:rPr>
            </w:pPr>
            <w:r>
              <w:rPr>
                <w:rFonts w:cs="Arial"/>
              </w:rPr>
              <w:t>and issuance of any applicable full notice to proceed.</w:t>
            </w:r>
          </w:p>
        </w:tc>
        <w:tc>
          <w:tcPr>
            <w:tcW w:w="2610" w:type="dxa"/>
          </w:tcPr>
          <w:p w:rsidRPr="00921E67" w:rsidR="00691E0D" w:rsidP="00921E67" w:rsidRDefault="00691E0D" w14:paraId="573783F0" w14:textId="77777777">
            <w:pPr>
              <w:spacing w:after="120"/>
              <w:rPr>
                <w:rFonts w:cs="Arial"/>
              </w:rPr>
            </w:pPr>
          </w:p>
        </w:tc>
        <w:tc>
          <w:tcPr>
            <w:tcW w:w="3330" w:type="dxa"/>
          </w:tcPr>
          <w:p w:rsidRPr="00921E67" w:rsidR="00691E0D" w:rsidP="00921E67" w:rsidRDefault="00691E0D" w14:paraId="07CD6B1A" w14:textId="6B0EBD04">
            <w:pPr>
              <w:spacing w:after="120"/>
              <w:jc w:val="left"/>
              <w:rPr>
                <w:rFonts w:cs="Arial"/>
              </w:rPr>
            </w:pPr>
            <w:r>
              <w:rPr>
                <w:rFonts w:cs="Arial"/>
              </w:rPr>
              <w:t xml:space="preserve">A copy of each executed major equipment procurement agreement, with pricing and </w:t>
            </w:r>
            <w:r w:rsidR="009D39E0">
              <w:rPr>
                <w:rFonts w:cs="Arial"/>
              </w:rPr>
              <w:t xml:space="preserve">other </w:t>
            </w:r>
            <w:r>
              <w:rPr>
                <w:rFonts w:cs="Arial"/>
              </w:rPr>
              <w:t xml:space="preserve">commercially sensitive information redacted, </w:t>
            </w:r>
            <w:r w:rsidR="00C50EC1">
              <w:rPr>
                <w:rFonts w:cs="Arial"/>
              </w:rPr>
              <w:t xml:space="preserve">but </w:t>
            </w:r>
            <w:r>
              <w:rPr>
                <w:rFonts w:cs="Arial"/>
              </w:rPr>
              <w:t xml:space="preserve">including: (i) a description of the country of origin for all equipment and components to be supplied under the agreement; (ii) any applicable full notice to proceed; and (iii) schedules with required delivery dates consistent with the RCOD. </w:t>
            </w:r>
          </w:p>
        </w:tc>
      </w:tr>
      <w:tr w:rsidR="00691E0D" w:rsidTr="006A1845" w14:paraId="5F99F26E" w14:textId="77777777">
        <w:tc>
          <w:tcPr>
            <w:tcW w:w="3420" w:type="dxa"/>
          </w:tcPr>
          <w:p w:rsidRPr="00921E67" w:rsidR="00691E0D" w:rsidP="00921E67" w:rsidRDefault="00691E0D" w14:paraId="05685AE4" w14:textId="77777777">
            <w:pPr>
              <w:spacing w:after="120"/>
              <w:rPr>
                <w:rFonts w:cs="Arial"/>
              </w:rPr>
            </w:pPr>
            <w:r>
              <w:rPr>
                <w:rFonts w:cs="Arial"/>
              </w:rPr>
              <w:t>EPC Contract Schedule Complete</w:t>
            </w:r>
          </w:p>
        </w:tc>
        <w:tc>
          <w:tcPr>
            <w:tcW w:w="2610" w:type="dxa"/>
          </w:tcPr>
          <w:p w:rsidRPr="00921E67" w:rsidR="00691E0D" w:rsidP="00921E67" w:rsidRDefault="00691E0D" w14:paraId="0F739434" w14:textId="77777777">
            <w:pPr>
              <w:spacing w:after="120"/>
              <w:rPr>
                <w:rFonts w:cs="Arial"/>
              </w:rPr>
            </w:pPr>
          </w:p>
        </w:tc>
        <w:tc>
          <w:tcPr>
            <w:tcW w:w="3330" w:type="dxa"/>
          </w:tcPr>
          <w:p w:rsidRPr="00921E67" w:rsidR="00691E0D" w:rsidP="00E407CA" w:rsidRDefault="00691E0D" w14:paraId="60094B48" w14:textId="77777777">
            <w:pPr>
              <w:spacing w:after="120"/>
              <w:jc w:val="left"/>
              <w:rPr>
                <w:rFonts w:cs="Arial"/>
              </w:rPr>
            </w:pPr>
            <w:r>
              <w:rPr>
                <w:rFonts w:cs="Arial"/>
              </w:rPr>
              <w:t xml:space="preserve">A copy of the EPC Contract schedule, which must be at least a level 3 critical path method schedule that supports the RCOD. </w:t>
            </w:r>
          </w:p>
        </w:tc>
      </w:tr>
      <w:tr w:rsidR="00691E0D" w:rsidTr="006A1845" w14:paraId="341887E5" w14:textId="77777777">
        <w:tc>
          <w:tcPr>
            <w:tcW w:w="3420" w:type="dxa"/>
          </w:tcPr>
          <w:p w:rsidRPr="00921E67" w:rsidR="00691E0D" w:rsidP="00921E67" w:rsidRDefault="00691E0D" w14:paraId="2FF647AB" w14:textId="7DC1CBBB">
            <w:pPr>
              <w:spacing w:after="120"/>
              <w:jc w:val="left"/>
              <w:rPr>
                <w:rFonts w:cs="Arial"/>
              </w:rPr>
            </w:pPr>
            <w:r>
              <w:rPr>
                <w:rFonts w:cs="Arial"/>
              </w:rPr>
              <w:t xml:space="preserve">Air Permit </w:t>
            </w:r>
            <w:r w:rsidR="002226C1">
              <w:rPr>
                <w:rFonts w:cs="Arial"/>
              </w:rPr>
              <w:t xml:space="preserve">Milestone </w:t>
            </w:r>
          </w:p>
        </w:tc>
        <w:tc>
          <w:tcPr>
            <w:tcW w:w="2610" w:type="dxa"/>
          </w:tcPr>
          <w:p w:rsidRPr="00921E67" w:rsidR="00691E0D" w:rsidP="00921E67" w:rsidRDefault="00691E0D" w14:paraId="16283F91" w14:textId="77777777">
            <w:pPr>
              <w:spacing w:after="120"/>
              <w:rPr>
                <w:rFonts w:cs="Arial"/>
              </w:rPr>
            </w:pPr>
          </w:p>
        </w:tc>
        <w:tc>
          <w:tcPr>
            <w:tcW w:w="3330" w:type="dxa"/>
          </w:tcPr>
          <w:p w:rsidRPr="00921E67" w:rsidR="00691E0D" w:rsidP="00921E67" w:rsidRDefault="00691E0D" w14:paraId="211B6C5A" w14:textId="53F60C1F">
            <w:pPr>
              <w:spacing w:after="120"/>
              <w:rPr>
                <w:rFonts w:cs="Arial"/>
              </w:rPr>
            </w:pPr>
            <w:r>
              <w:rPr>
                <w:rFonts w:cs="Arial"/>
              </w:rPr>
              <w:t xml:space="preserve">A matrix of required </w:t>
            </w:r>
            <w:r w:rsidR="006732CC">
              <w:rPr>
                <w:rFonts w:cs="Arial"/>
              </w:rPr>
              <w:t>p</w:t>
            </w:r>
            <w:r>
              <w:rPr>
                <w:rFonts w:cs="Arial"/>
              </w:rPr>
              <w:t xml:space="preserve">ermits, copies of applications submitted, and a copy of </w:t>
            </w:r>
            <w:r w:rsidR="006732CC">
              <w:rPr>
                <w:rFonts w:cs="Arial"/>
              </w:rPr>
              <w:t>p</w:t>
            </w:r>
            <w:r>
              <w:rPr>
                <w:rFonts w:cs="Arial"/>
              </w:rPr>
              <w:t>ermits obtained.</w:t>
            </w:r>
          </w:p>
        </w:tc>
      </w:tr>
      <w:tr w:rsidR="00691E0D" w:rsidTr="006A1845" w14:paraId="40F5F190" w14:textId="77777777">
        <w:tc>
          <w:tcPr>
            <w:tcW w:w="3420" w:type="dxa"/>
          </w:tcPr>
          <w:p w:rsidRPr="00921E67" w:rsidR="00691E0D" w:rsidP="00921E67" w:rsidRDefault="00691E0D" w14:paraId="2C2235CF" w14:textId="213BD76E">
            <w:pPr>
              <w:spacing w:after="120"/>
              <w:jc w:val="left"/>
              <w:rPr>
                <w:rFonts w:cs="Arial"/>
              </w:rPr>
            </w:pPr>
            <w:r>
              <w:rPr>
                <w:rFonts w:cs="Arial"/>
              </w:rPr>
              <w:t xml:space="preserve">All other </w:t>
            </w:r>
            <w:r w:rsidR="006732CC">
              <w:rPr>
                <w:rFonts w:cs="Arial"/>
              </w:rPr>
              <w:t>p</w:t>
            </w:r>
            <w:r>
              <w:rPr>
                <w:rFonts w:cs="Arial"/>
              </w:rPr>
              <w:t>ermits required for Facility construction and Commercial Operation.</w:t>
            </w:r>
          </w:p>
          <w:p w:rsidRPr="00921E67" w:rsidR="00691E0D" w:rsidP="00921E67" w:rsidRDefault="00691E0D" w14:paraId="377702F8" w14:textId="77777777">
            <w:pPr>
              <w:spacing w:after="120"/>
              <w:jc w:val="left"/>
              <w:rPr>
                <w:rFonts w:cs="Arial"/>
              </w:rPr>
            </w:pPr>
            <w:r>
              <w:rPr>
                <w:rFonts w:cs="Arial"/>
              </w:rPr>
              <w:lastRenderedPageBreak/>
              <w:t>•    Applications submitted</w:t>
            </w:r>
          </w:p>
          <w:p w:rsidRPr="00921E67" w:rsidR="00691E0D" w:rsidP="00921E67" w:rsidRDefault="00691E0D" w14:paraId="6BB9A37B" w14:textId="0FC46C75">
            <w:pPr>
              <w:spacing w:after="120"/>
              <w:jc w:val="left"/>
              <w:rPr>
                <w:rFonts w:cs="Arial"/>
              </w:rPr>
            </w:pPr>
            <w:r>
              <w:rPr>
                <w:rFonts w:cs="Arial"/>
              </w:rPr>
              <w:t xml:space="preserve">•    All </w:t>
            </w:r>
            <w:r w:rsidR="006732CC">
              <w:rPr>
                <w:rFonts w:cs="Arial"/>
              </w:rPr>
              <w:t>p</w:t>
            </w:r>
            <w:r>
              <w:rPr>
                <w:rFonts w:cs="Arial"/>
              </w:rPr>
              <w:t>ermits obtained</w:t>
            </w:r>
          </w:p>
        </w:tc>
        <w:tc>
          <w:tcPr>
            <w:tcW w:w="2610" w:type="dxa"/>
          </w:tcPr>
          <w:p w:rsidRPr="00921E67" w:rsidR="00691E0D" w:rsidP="00921E67" w:rsidRDefault="00691E0D" w14:paraId="4BC19926" w14:textId="77777777">
            <w:pPr>
              <w:spacing w:after="120"/>
              <w:rPr>
                <w:rFonts w:cs="Arial"/>
              </w:rPr>
            </w:pPr>
          </w:p>
        </w:tc>
        <w:tc>
          <w:tcPr>
            <w:tcW w:w="3330" w:type="dxa"/>
          </w:tcPr>
          <w:p w:rsidRPr="00921E67" w:rsidR="00691E0D" w:rsidP="00921E67" w:rsidRDefault="00691E0D" w14:paraId="5D1D1D32" w14:textId="77777777">
            <w:pPr>
              <w:spacing w:after="120"/>
              <w:rPr>
                <w:rFonts w:cs="Arial"/>
              </w:rPr>
            </w:pPr>
            <w:r>
              <w:rPr>
                <w:rFonts w:cs="Arial"/>
              </w:rPr>
              <w:t>A matrix of required Permits, copies of applications submitted, and a copy of Permits obtained.</w:t>
            </w:r>
          </w:p>
        </w:tc>
      </w:tr>
      <w:tr w:rsidR="00691E0D" w:rsidTr="006A1845" w14:paraId="08125424" w14:textId="77777777">
        <w:tc>
          <w:tcPr>
            <w:tcW w:w="3420" w:type="dxa"/>
          </w:tcPr>
          <w:p w:rsidRPr="00921E67" w:rsidR="00691E0D" w:rsidP="00921E67" w:rsidRDefault="00691E0D" w14:paraId="3640F874" w14:textId="77777777">
            <w:pPr>
              <w:spacing w:after="120"/>
              <w:jc w:val="left"/>
              <w:rPr>
                <w:rFonts w:cs="Arial"/>
              </w:rPr>
            </w:pPr>
            <w:r>
              <w:rPr>
                <w:rFonts w:cs="Arial"/>
              </w:rPr>
              <w:t>Financial Closing</w:t>
            </w:r>
          </w:p>
        </w:tc>
        <w:tc>
          <w:tcPr>
            <w:tcW w:w="2610" w:type="dxa"/>
          </w:tcPr>
          <w:p w:rsidRPr="00EB1358" w:rsidR="00691E0D" w:rsidP="00921E67" w:rsidRDefault="00691E0D" w14:paraId="75885D7E" w14:textId="77777777">
            <w:pPr>
              <w:spacing w:after="120"/>
              <w:rPr>
                <w:rFonts w:cs="Arial"/>
              </w:rPr>
            </w:pPr>
          </w:p>
        </w:tc>
        <w:tc>
          <w:tcPr>
            <w:tcW w:w="3330" w:type="dxa"/>
          </w:tcPr>
          <w:p w:rsidRPr="00EB1358" w:rsidR="00C40628" w:rsidP="00C40628" w:rsidRDefault="00691E0D" w14:paraId="3C4F3546" w14:textId="1A429C00">
            <w:pPr>
              <w:rPr>
                <w:rFonts w:cs="Arial"/>
              </w:rPr>
            </w:pPr>
            <w:r>
              <w:rPr>
                <w:rFonts w:cs="Arial"/>
              </w:rPr>
              <w:t>A letter from an officer of Seller certifying that Financial Closing has occurred:</w:t>
            </w:r>
          </w:p>
          <w:p w:rsidRPr="00EB1358" w:rsidR="00D17D51" w:rsidP="006D2EC2" w:rsidRDefault="00C40628" w14:paraId="53040689" w14:textId="6C57792C">
            <w:pPr>
              <w:pStyle w:val="ListParagraph"/>
              <w:numPr>
                <w:ilvl w:val="0"/>
                <w:numId w:val="33"/>
              </w:numPr>
              <w:ind w:left="616"/>
              <w:rPr>
                <w:rFonts w:ascii="Arial" w:hAnsi="Arial" w:cs="Arial"/>
                <w:sz w:val="20"/>
                <w:szCs w:val="20"/>
              </w:rPr>
            </w:pPr>
            <w:r>
              <w:rPr>
                <w:rFonts w:ascii="Arial" w:hAnsi="Arial" w:cs="Arial"/>
                <w:sz w:val="20"/>
                <w:szCs w:val="20"/>
              </w:rPr>
              <w:t xml:space="preserve">Seller obtained and </w:t>
            </w:r>
            <w:r w:rsidR="006732CC">
              <w:rPr>
                <w:rFonts w:ascii="Arial" w:hAnsi="Arial" w:cs="Arial"/>
                <w:sz w:val="20"/>
                <w:szCs w:val="20"/>
              </w:rPr>
              <w:t xml:space="preserve">has </w:t>
            </w:r>
            <w:r>
              <w:rPr>
                <w:rFonts w:ascii="Arial" w:hAnsi="Arial" w:cs="Arial"/>
                <w:sz w:val="20"/>
                <w:szCs w:val="20"/>
              </w:rPr>
              <w:t>closed on all financing arrangements necessary to obtain funds for the anticipated cost of</w:t>
            </w:r>
            <w:r w:rsidR="00C6609C">
              <w:rPr>
                <w:rFonts w:ascii="Arial" w:hAnsi="Arial" w:cs="Arial"/>
                <w:sz w:val="20"/>
                <w:szCs w:val="20"/>
              </w:rPr>
              <w:t xml:space="preserve"> completing construction of the</w:t>
            </w:r>
            <w:r>
              <w:rPr>
                <w:rFonts w:ascii="Arial" w:hAnsi="Arial" w:cs="Arial"/>
                <w:sz w:val="20"/>
                <w:szCs w:val="20"/>
              </w:rPr>
              <w:t xml:space="preserve"> Facility;</w:t>
            </w:r>
          </w:p>
          <w:p w:rsidRPr="00EB1358" w:rsidR="00021427" w:rsidP="006D2EC2" w:rsidRDefault="00C40628" w14:paraId="2C82A399" w14:textId="570BAD45">
            <w:pPr>
              <w:pStyle w:val="ListParagraph"/>
              <w:numPr>
                <w:ilvl w:val="0"/>
                <w:numId w:val="33"/>
              </w:numPr>
              <w:ind w:left="616"/>
              <w:rPr>
                <w:rFonts w:ascii="Arial" w:hAnsi="Arial" w:cs="Arial"/>
                <w:sz w:val="20"/>
                <w:szCs w:val="20"/>
              </w:rPr>
            </w:pPr>
            <w:r>
              <w:rPr>
                <w:rFonts w:ascii="Arial" w:hAnsi="Arial" w:cs="Arial"/>
                <w:sz w:val="20"/>
                <w:szCs w:val="20"/>
              </w:rPr>
              <w:t xml:space="preserve">all conditions precedent to the availability of funds </w:t>
            </w:r>
            <w:r w:rsidR="00C6609C">
              <w:rPr>
                <w:rFonts w:ascii="Arial" w:hAnsi="Arial" w:cs="Arial"/>
                <w:sz w:val="20"/>
                <w:szCs w:val="20"/>
              </w:rPr>
              <w:t xml:space="preserve">pursuant to such </w:t>
            </w:r>
            <w:r>
              <w:rPr>
                <w:rFonts w:ascii="Arial" w:hAnsi="Arial" w:cs="Arial"/>
                <w:sz w:val="20"/>
                <w:szCs w:val="20"/>
              </w:rPr>
              <w:t xml:space="preserve">financing arrangements have been satisfied or waived by the applicable </w:t>
            </w:r>
            <w:r w:rsidR="00894EDF">
              <w:rPr>
                <w:rFonts w:ascii="Arial" w:hAnsi="Arial" w:cs="Arial"/>
                <w:sz w:val="20"/>
                <w:szCs w:val="20"/>
              </w:rPr>
              <w:t xml:space="preserve">parties </w:t>
            </w:r>
            <w:r>
              <w:rPr>
                <w:rFonts w:ascii="Arial" w:hAnsi="Arial" w:cs="Arial"/>
                <w:sz w:val="20"/>
                <w:szCs w:val="20"/>
              </w:rPr>
              <w:t xml:space="preserve">(other than customary conditions to each drawdown of a construction loan) and </w:t>
            </w:r>
            <w:r w:rsidR="00894EDF">
              <w:rPr>
                <w:rFonts w:ascii="Arial" w:hAnsi="Arial" w:cs="Arial"/>
                <w:sz w:val="20"/>
                <w:szCs w:val="20"/>
              </w:rPr>
              <w:t xml:space="preserve">such </w:t>
            </w:r>
            <w:r>
              <w:rPr>
                <w:rFonts w:ascii="Arial" w:hAnsi="Arial" w:cs="Arial"/>
                <w:sz w:val="20"/>
                <w:szCs w:val="20"/>
              </w:rPr>
              <w:t>funds will be made available for disbursement to Seller; and</w:t>
            </w:r>
          </w:p>
          <w:p w:rsidRPr="00EB1358" w:rsidR="00691E0D" w:rsidP="006D2EC2" w:rsidRDefault="00894EDF" w14:paraId="0B77A56F" w14:textId="6F54C74B">
            <w:pPr>
              <w:pStyle w:val="ListParagraph"/>
              <w:numPr>
                <w:ilvl w:val="0"/>
                <w:numId w:val="33"/>
              </w:numPr>
              <w:ind w:left="616"/>
              <w:rPr>
                <w:rFonts w:ascii="Arial" w:hAnsi="Arial" w:cs="Arial"/>
                <w:sz w:val="20"/>
                <w:szCs w:val="20"/>
              </w:rPr>
            </w:pPr>
            <w:r>
              <w:rPr>
                <w:rFonts w:ascii="Arial" w:hAnsi="Arial" w:cs="Arial"/>
                <w:sz w:val="20"/>
                <w:szCs w:val="20"/>
              </w:rPr>
              <w:t>an</w:t>
            </w:r>
            <w:r w:rsidR="00C40628">
              <w:rPr>
                <w:rFonts w:ascii="Arial" w:hAnsi="Arial" w:cs="Arial"/>
                <w:sz w:val="20"/>
                <w:szCs w:val="20"/>
              </w:rPr>
              <w:t xml:space="preserve"> officer </w:t>
            </w:r>
            <w:r>
              <w:rPr>
                <w:rFonts w:ascii="Arial" w:hAnsi="Arial" w:cs="Arial"/>
                <w:sz w:val="20"/>
                <w:szCs w:val="20"/>
              </w:rPr>
              <w:t xml:space="preserve">of Seller </w:t>
            </w:r>
            <w:r w:rsidR="00C40628">
              <w:rPr>
                <w:rFonts w:ascii="Arial" w:hAnsi="Arial" w:cs="Arial"/>
                <w:sz w:val="20"/>
                <w:szCs w:val="20"/>
              </w:rPr>
              <w:t>has provided GPC with an executed certification that the foregoing (i) and (ii) have occurred.</w:t>
            </w:r>
          </w:p>
        </w:tc>
      </w:tr>
      <w:tr w:rsidR="00691E0D" w:rsidTr="006A1845" w14:paraId="25B256BF" w14:textId="77777777">
        <w:tc>
          <w:tcPr>
            <w:tcW w:w="3420" w:type="dxa"/>
          </w:tcPr>
          <w:p w:rsidRPr="00921E67" w:rsidR="00691E0D" w:rsidP="00921E67" w:rsidRDefault="00691E0D" w14:paraId="4232A120" w14:textId="77777777">
            <w:pPr>
              <w:spacing w:after="120"/>
              <w:jc w:val="left"/>
              <w:rPr>
                <w:rFonts w:cs="Arial"/>
              </w:rPr>
            </w:pPr>
            <w:r>
              <w:rPr>
                <w:rFonts w:cs="Arial"/>
              </w:rPr>
              <w:t>Interconnection Notice to Proceed</w:t>
            </w:r>
          </w:p>
        </w:tc>
        <w:tc>
          <w:tcPr>
            <w:tcW w:w="2610" w:type="dxa"/>
          </w:tcPr>
          <w:p w:rsidRPr="00921E67" w:rsidR="00691E0D" w:rsidP="00921E67" w:rsidRDefault="00691E0D" w14:paraId="2B5C1D5F" w14:textId="4367A419">
            <w:pPr>
              <w:spacing w:after="120"/>
              <w:rPr>
                <w:rFonts w:cs="Arial"/>
              </w:rPr>
            </w:pPr>
            <w:r>
              <w:rPr>
                <w:rFonts w:cs="Arial"/>
              </w:rPr>
              <w:t>The date by which the IA notice to proceed must be issued for commercial operation (as defined in the IA) to be achieved in time to support RCOD.</w:t>
            </w:r>
          </w:p>
        </w:tc>
        <w:tc>
          <w:tcPr>
            <w:tcW w:w="3330" w:type="dxa"/>
          </w:tcPr>
          <w:p w:rsidRPr="00921E67" w:rsidR="00691E0D" w:rsidP="00921E67" w:rsidRDefault="00691E0D" w14:paraId="07DF89B3" w14:textId="77777777">
            <w:pPr>
              <w:spacing w:after="120"/>
              <w:rPr>
                <w:rFonts w:cs="Arial"/>
              </w:rPr>
            </w:pPr>
            <w:r>
              <w:rPr>
                <w:rFonts w:cs="Arial"/>
              </w:rPr>
              <w:t xml:space="preserve">An executed copy of the Interconnection Notice to Proceed </w:t>
            </w:r>
          </w:p>
        </w:tc>
      </w:tr>
      <w:tr w:rsidR="00691E0D" w:rsidTr="006A1845" w14:paraId="4E230B5D" w14:textId="77777777">
        <w:tc>
          <w:tcPr>
            <w:tcW w:w="3420" w:type="dxa"/>
          </w:tcPr>
          <w:p w:rsidRPr="00921E67" w:rsidR="00691E0D" w:rsidP="00921E67" w:rsidRDefault="00691E0D" w14:paraId="45B69223" w14:textId="77777777">
            <w:pPr>
              <w:spacing w:after="120"/>
              <w:jc w:val="left"/>
              <w:rPr>
                <w:rFonts w:cs="Arial"/>
              </w:rPr>
            </w:pPr>
            <w:r>
              <w:rPr>
                <w:rFonts w:cs="Arial"/>
              </w:rPr>
              <w:t xml:space="preserve">EPC Notice to Proceed </w:t>
            </w:r>
          </w:p>
        </w:tc>
        <w:tc>
          <w:tcPr>
            <w:tcW w:w="2610" w:type="dxa"/>
          </w:tcPr>
          <w:p w:rsidRPr="00921E67" w:rsidR="00691E0D" w:rsidP="00921E67" w:rsidRDefault="00691E0D" w14:paraId="08111DC3" w14:textId="77777777">
            <w:pPr>
              <w:spacing w:after="120"/>
              <w:rPr>
                <w:rFonts w:cs="Arial"/>
              </w:rPr>
            </w:pPr>
          </w:p>
        </w:tc>
        <w:tc>
          <w:tcPr>
            <w:tcW w:w="3330" w:type="dxa"/>
          </w:tcPr>
          <w:p w:rsidRPr="00921E67" w:rsidR="00691E0D" w:rsidP="00921E67" w:rsidRDefault="00691E0D" w14:paraId="13AF7B8A" w14:textId="77777777">
            <w:pPr>
              <w:spacing w:after="120"/>
              <w:rPr>
                <w:rFonts w:cs="Arial"/>
              </w:rPr>
            </w:pPr>
            <w:r>
              <w:rPr>
                <w:rFonts w:cs="Arial"/>
              </w:rPr>
              <w:t>A copy of the EPC Notice to Proceed.</w:t>
            </w:r>
          </w:p>
        </w:tc>
      </w:tr>
      <w:tr w:rsidR="00691E0D" w:rsidTr="006A1845" w14:paraId="3828BE3A" w14:textId="77777777">
        <w:tc>
          <w:tcPr>
            <w:tcW w:w="3420" w:type="dxa"/>
          </w:tcPr>
          <w:p w:rsidRPr="00921E67" w:rsidR="00691E0D" w:rsidP="00921E67" w:rsidRDefault="00691E0D" w14:paraId="3177CB66" w14:textId="6EDB50D7">
            <w:pPr>
              <w:spacing w:after="120"/>
              <w:jc w:val="left"/>
              <w:rPr>
                <w:rFonts w:cs="Arial"/>
              </w:rPr>
            </w:pPr>
            <w:r>
              <w:rPr>
                <w:rFonts w:cs="Arial"/>
              </w:rPr>
              <w:t>Delivery of</w:t>
            </w:r>
            <w:r w:rsidR="00B33B80">
              <w:rPr>
                <w:rFonts w:cs="Arial"/>
              </w:rPr>
              <w:t xml:space="preserve"> all</w:t>
            </w:r>
            <w:r>
              <w:rPr>
                <w:rFonts w:cs="Arial"/>
              </w:rPr>
              <w:t xml:space="preserve"> Major Equipment to the Facility site by date required to support C</w:t>
            </w:r>
            <w:r w:rsidR="00A05297">
              <w:rPr>
                <w:rFonts w:cs="Arial"/>
              </w:rPr>
              <w:t>ommercial Operation</w:t>
            </w:r>
            <w:r>
              <w:rPr>
                <w:rFonts w:cs="Arial"/>
              </w:rPr>
              <w:t xml:space="preserve"> by </w:t>
            </w:r>
            <w:r w:rsidR="007F4B08">
              <w:rPr>
                <w:rFonts w:cs="Arial"/>
              </w:rPr>
              <w:t>the RCOD</w:t>
            </w:r>
            <w:r>
              <w:rPr>
                <w:rFonts w:cs="Arial"/>
              </w:rPr>
              <w:t xml:space="preserve">. </w:t>
            </w:r>
          </w:p>
        </w:tc>
        <w:tc>
          <w:tcPr>
            <w:tcW w:w="2610" w:type="dxa"/>
          </w:tcPr>
          <w:p w:rsidRPr="00921E67" w:rsidR="00691E0D" w:rsidP="00921E67" w:rsidRDefault="00691E0D" w14:paraId="5BC2CF03" w14:textId="77777777">
            <w:pPr>
              <w:spacing w:after="120"/>
              <w:rPr>
                <w:rFonts w:cs="Arial"/>
              </w:rPr>
            </w:pPr>
          </w:p>
        </w:tc>
        <w:tc>
          <w:tcPr>
            <w:tcW w:w="3330" w:type="dxa"/>
          </w:tcPr>
          <w:p w:rsidRPr="00921E67" w:rsidR="00691E0D" w:rsidP="00921E67" w:rsidRDefault="00691E0D" w14:paraId="5B8C8074" w14:textId="77777777">
            <w:pPr>
              <w:spacing w:after="120"/>
              <w:rPr>
                <w:rFonts w:cs="Arial"/>
              </w:rPr>
            </w:pPr>
          </w:p>
        </w:tc>
      </w:tr>
      <w:tr w:rsidR="00691E0D" w:rsidTr="006A1845" w14:paraId="386AB337" w14:textId="77777777">
        <w:tc>
          <w:tcPr>
            <w:tcW w:w="3420" w:type="dxa"/>
          </w:tcPr>
          <w:p w:rsidRPr="00921E67" w:rsidR="00691E0D" w:rsidP="00921E67" w:rsidRDefault="00691E0D" w14:paraId="0E1699FB" w14:textId="77777777">
            <w:pPr>
              <w:spacing w:after="120"/>
              <w:jc w:val="left"/>
              <w:rPr>
                <w:rFonts w:cs="Arial"/>
              </w:rPr>
            </w:pPr>
            <w:r>
              <w:rPr>
                <w:rFonts w:cs="Arial"/>
              </w:rPr>
              <w:t>Achievement of EPC Contract key milestones:</w:t>
            </w:r>
          </w:p>
          <w:p w:rsidRPr="00921E67" w:rsidR="00691E0D" w:rsidP="00921E67" w:rsidRDefault="00691E0D" w14:paraId="141DDCAC" w14:textId="77777777">
            <w:pPr>
              <w:spacing w:after="120"/>
              <w:jc w:val="left"/>
              <w:rPr>
                <w:rFonts w:cs="Arial"/>
              </w:rPr>
            </w:pPr>
            <w:r>
              <w:rPr>
                <w:rFonts w:cs="Arial"/>
              </w:rPr>
              <w:t>•    Site mobilization</w:t>
            </w:r>
          </w:p>
          <w:p w:rsidRPr="00921E67" w:rsidR="00691E0D" w:rsidP="00921E67" w:rsidRDefault="00691E0D" w14:paraId="58A76596" w14:textId="77777777">
            <w:pPr>
              <w:spacing w:after="120"/>
              <w:jc w:val="left"/>
              <w:rPr>
                <w:rFonts w:cs="Arial"/>
              </w:rPr>
            </w:pPr>
            <w:r>
              <w:rPr>
                <w:rFonts w:cs="Arial"/>
              </w:rPr>
              <w:lastRenderedPageBreak/>
              <w:t>•    Mechanical Completion</w:t>
            </w:r>
          </w:p>
          <w:p w:rsidRPr="00921E67" w:rsidR="00691E0D" w:rsidP="00921E67" w:rsidRDefault="00691E0D" w14:paraId="28F100B0" w14:textId="77777777">
            <w:pPr>
              <w:spacing w:after="120"/>
              <w:jc w:val="left"/>
              <w:rPr>
                <w:rFonts w:cs="Arial"/>
              </w:rPr>
            </w:pPr>
            <w:r>
              <w:rPr>
                <w:rFonts w:cs="Arial"/>
              </w:rPr>
              <w:t>•    Substantial Completion</w:t>
            </w:r>
          </w:p>
          <w:p w:rsidRPr="00921E67" w:rsidR="00691E0D" w:rsidP="00921E67" w:rsidRDefault="00691E0D" w14:paraId="40B42792" w14:textId="77777777">
            <w:pPr>
              <w:spacing w:after="120"/>
              <w:jc w:val="left"/>
              <w:rPr>
                <w:rFonts w:cs="Arial"/>
              </w:rPr>
            </w:pPr>
            <w:r>
              <w:rPr>
                <w:rFonts w:cs="Arial"/>
              </w:rPr>
              <w:t>•    Initial synchronization</w:t>
            </w:r>
          </w:p>
        </w:tc>
        <w:tc>
          <w:tcPr>
            <w:tcW w:w="2610" w:type="dxa"/>
          </w:tcPr>
          <w:p w:rsidRPr="00921E67" w:rsidR="00691E0D" w:rsidP="00921E67" w:rsidRDefault="00691E0D" w14:paraId="5A5ED864" w14:textId="77777777">
            <w:pPr>
              <w:spacing w:after="120"/>
              <w:rPr>
                <w:rFonts w:cs="Arial"/>
              </w:rPr>
            </w:pPr>
          </w:p>
        </w:tc>
        <w:tc>
          <w:tcPr>
            <w:tcW w:w="3330" w:type="dxa"/>
          </w:tcPr>
          <w:p w:rsidRPr="00921E67" w:rsidR="00691E0D" w:rsidP="00921E67" w:rsidRDefault="00691E0D" w14:paraId="03A051B1" w14:textId="77777777">
            <w:pPr>
              <w:spacing w:after="120"/>
              <w:rPr>
                <w:rFonts w:cs="Arial"/>
              </w:rPr>
            </w:pPr>
          </w:p>
        </w:tc>
      </w:tr>
      <w:tr w:rsidR="00691E0D" w:rsidTr="006A1845" w14:paraId="492F0F49" w14:textId="77777777">
        <w:tc>
          <w:tcPr>
            <w:tcW w:w="3420" w:type="dxa"/>
          </w:tcPr>
          <w:p w:rsidRPr="00921E67" w:rsidR="00691E0D" w:rsidP="00921E67" w:rsidRDefault="00691E0D" w14:paraId="706A1C7E" w14:textId="77777777">
            <w:pPr>
              <w:spacing w:after="120"/>
              <w:jc w:val="left"/>
              <w:rPr>
                <w:rFonts w:cs="Arial"/>
              </w:rPr>
            </w:pPr>
            <w:r>
              <w:rPr>
                <w:rFonts w:cs="Arial"/>
              </w:rPr>
              <w:t>RCOD</w:t>
            </w:r>
          </w:p>
        </w:tc>
        <w:tc>
          <w:tcPr>
            <w:tcW w:w="2610" w:type="dxa"/>
          </w:tcPr>
          <w:p w:rsidRPr="00921E67" w:rsidR="00691E0D" w:rsidP="00921E67" w:rsidRDefault="00691E0D" w14:paraId="31D413F9" w14:textId="77777777">
            <w:pPr>
              <w:spacing w:after="120"/>
              <w:rPr>
                <w:rFonts w:cs="Arial"/>
              </w:rPr>
            </w:pPr>
          </w:p>
        </w:tc>
        <w:tc>
          <w:tcPr>
            <w:tcW w:w="3330" w:type="dxa"/>
          </w:tcPr>
          <w:p w:rsidRPr="00921E67" w:rsidR="00691E0D" w:rsidP="00921E67" w:rsidRDefault="00691E0D" w14:paraId="300EF739" w14:textId="77777777">
            <w:pPr>
              <w:spacing w:after="120"/>
              <w:rPr>
                <w:rFonts w:cs="Arial"/>
              </w:rPr>
            </w:pPr>
          </w:p>
        </w:tc>
      </w:tr>
    </w:tbl>
    <w:p w:rsidR="00421037" w:rsidP="00421037" w:rsidRDefault="00421037" w14:paraId="1F549121" w14:textId="77777777">
      <w:pPr>
        <w:pStyle w:val="zGNormal"/>
      </w:pPr>
    </w:p>
    <w:p w:rsidR="00691E72" w:rsidP="00421037" w:rsidRDefault="00691E72" w14:paraId="79B88B57" w14:textId="77777777">
      <w:pPr>
        <w:pStyle w:val="zGNormal"/>
      </w:pPr>
    </w:p>
    <w:p w:rsidR="00691E72" w:rsidP="00421037" w:rsidRDefault="00691E72" w14:paraId="573056DF" w14:textId="77777777">
      <w:pPr>
        <w:pStyle w:val="zGNormal"/>
      </w:pPr>
    </w:p>
    <w:p w:rsidR="00691E72" w:rsidP="00421037" w:rsidRDefault="00691E72" w14:paraId="74819940" w14:textId="77777777">
      <w:pPr>
        <w:pStyle w:val="zGNormal"/>
        <w:sectPr w:rsidR="00691E72" w:rsidSect="005B310E">
          <w:headerReference w:type="default" r:id="rId29"/>
          <w:footerReference w:type="default" r:id="rId30"/>
          <w:footnotePr>
            <w:numRestart w:val="eachSect"/>
          </w:footnotePr>
          <w:pgSz w:w="12240" w:h="15840" w:code="1"/>
          <w:pgMar w:top="1440" w:right="1440" w:bottom="1440" w:left="1440" w:header="720" w:footer="720" w:gutter="0"/>
          <w:paperSrc w:first="15" w:other="15"/>
          <w:cols w:space="1440"/>
        </w:sectPr>
      </w:pPr>
    </w:p>
    <w:p w:rsidR="00736E73" w:rsidP="00736E73" w:rsidRDefault="00736E73" w14:paraId="207F31EF" w14:textId="2F35D942">
      <w:pPr>
        <w:pStyle w:val="zGTitleExhibit"/>
      </w:pPr>
      <w:bookmarkStart w:name="_Toc212473092" w:id="394"/>
      <w:bookmarkStart w:name="_Toc227840788" w:id="395"/>
      <w:r>
        <w:lastRenderedPageBreak/>
        <w:t>Exhibit A-2 – Performance Security and Liquidated Damages</w:t>
      </w:r>
      <w:bookmarkEnd w:id="394"/>
      <w:bookmarkEnd w:id="395"/>
    </w:p>
    <w:p w:rsidR="00135BCD" w:rsidP="00135BCD" w:rsidRDefault="00135BCD" w14:paraId="1B0B4C58" w14:textId="77777777">
      <w:pPr>
        <w:pStyle w:val="zGNormal"/>
      </w:pPr>
    </w:p>
    <w:p w:rsidRPr="00DC0791" w:rsidR="006B0ED3" w:rsidP="006B0ED3" w:rsidRDefault="006B0ED3" w14:paraId="2AC0BD81" w14:textId="7454C344">
      <w:pPr>
        <w:pStyle w:val="zGNormal"/>
        <w:rPr>
          <w:rStyle w:val="Subheading"/>
        </w:rPr>
      </w:pPr>
      <w:r>
        <w:t>All amounts shown as $/kW will be calculated based on the Facility’s Nominal Standard Capability.</w:t>
      </w:r>
    </w:p>
    <w:p w:rsidR="006B0ED3" w:rsidP="006B0ED3" w:rsidRDefault="006B0ED3" w14:paraId="3F32CFE9" w14:textId="77777777">
      <w:pPr>
        <w:pStyle w:val="zGNormal"/>
      </w:pPr>
      <w:bookmarkStart w:name="_Toc167347254" w:id="396"/>
      <w:bookmarkStart w:name="_Toc169758313" w:id="397"/>
    </w:p>
    <w:p w:rsidR="00E35D96" w:rsidP="006B0ED3" w:rsidRDefault="00E35D96" w14:paraId="348F032F" w14:textId="77777777">
      <w:pPr>
        <w:pStyle w:val="zGNormal"/>
      </w:pPr>
    </w:p>
    <w:p w:rsidR="006B0ED3" w:rsidP="006B0ED3" w:rsidRDefault="006B0ED3" w14:paraId="1B5EF384" w14:textId="375D2E63">
      <w:pPr>
        <w:pStyle w:val="zGNormal"/>
        <w:rPr>
          <w:rFonts w:ascii="Arial Bold" w:hAnsi="Arial Bold"/>
          <w:b/>
          <w:bCs/>
          <w:caps/>
          <w:u w:val="single"/>
        </w:rPr>
      </w:pPr>
      <w:r>
        <w:rPr>
          <w:rFonts w:ascii="Arial Bold" w:hAnsi="Arial Bold"/>
          <w:b/>
          <w:bCs/>
          <w:caps/>
          <w:u w:val="single"/>
        </w:rPr>
        <w:t>Part 1.  Performance Security</w:t>
      </w:r>
      <w:bookmarkEnd w:id="396"/>
      <w:bookmarkEnd w:id="397"/>
    </w:p>
    <w:p w:rsidRPr="00D0148A" w:rsidR="00447984" w:rsidP="00135BCD" w:rsidRDefault="00447984" w14:paraId="44A1CCB8" w14:textId="77777777">
      <w:pPr>
        <w:pStyle w:val="zGNormal"/>
      </w:pPr>
    </w:p>
    <w:p w:rsidR="00447984" w:rsidP="00135BCD" w:rsidRDefault="00447984" w14:paraId="5094DF27" w14:textId="77777777">
      <w:pPr>
        <w:pStyle w:val="zGNormal"/>
        <w:rPr>
          <w:b/>
          <w:bCs/>
          <w:highlight w:val="cyan"/>
        </w:rPr>
      </w:pPr>
    </w:p>
    <w:p w:rsidRPr="006E0A0D" w:rsidR="00135BCD" w:rsidP="00135BCD" w:rsidRDefault="00135BCD" w14:paraId="3F4924E7" w14:textId="73CB3396">
      <w:pPr>
        <w:pStyle w:val="zGNormal"/>
        <w:rPr>
          <w:b/>
          <w:bCs/>
        </w:rPr>
      </w:pPr>
      <w:r>
        <w:rPr>
          <w:b/>
          <w:bCs/>
          <w:highlight w:val="cyan"/>
        </w:rPr>
        <w:t>[</w:t>
      </w:r>
      <w:r>
        <w:rPr>
          <w:b/>
          <w:bCs/>
          <w:i/>
          <w:iCs/>
          <w:highlight w:val="cyan"/>
          <w:u w:val="single"/>
        </w:rPr>
        <w:t>Note to Bidders</w:t>
      </w:r>
      <w:r>
        <w:rPr>
          <w:b/>
          <w:bCs/>
          <w:i/>
          <w:iCs/>
          <w:highlight w:val="cyan"/>
        </w:rPr>
        <w:t>: A Performance Security table will be added to include the applicable Performance Security amounts in Attachment 1 (Performance Security and Liquidated Damages Summary) of RFP Exhibit D (Summary of Fees, Costs, Security, and Deadlines).</w:t>
      </w:r>
      <w:r>
        <w:rPr>
          <w:b/>
          <w:bCs/>
          <w:highlight w:val="cyan"/>
        </w:rPr>
        <w:t>]</w:t>
      </w:r>
    </w:p>
    <w:p w:rsidR="006423B3" w:rsidP="00447984" w:rsidRDefault="006423B3" w14:paraId="211584AE" w14:textId="77777777">
      <w:pPr>
        <w:pStyle w:val="zGNormal"/>
        <w:ind w:right="2250"/>
        <w:rPr>
          <w:w w:val="0"/>
        </w:rPr>
      </w:pPr>
    </w:p>
    <w:p w:rsidR="00447984" w:rsidP="00447984" w:rsidRDefault="00447984" w14:paraId="313C0266" w14:textId="77777777">
      <w:pPr>
        <w:pStyle w:val="zGNormal"/>
        <w:ind w:right="2250"/>
        <w:rPr>
          <w:w w:val="0"/>
        </w:rPr>
      </w:pPr>
    </w:p>
    <w:p w:rsidRPr="00455568" w:rsidR="00447984" w:rsidP="00447984" w:rsidRDefault="00447984" w14:paraId="10664C7F" w14:textId="55E29228">
      <w:pPr>
        <w:pStyle w:val="zGNormal"/>
        <w:rPr>
          <w:rFonts w:ascii="Arial Bold" w:hAnsi="Arial Bold"/>
          <w:b/>
          <w:bCs/>
          <w:caps/>
          <w:u w:val="single"/>
        </w:rPr>
      </w:pPr>
      <w:bookmarkStart w:name="_Toc167347255" w:id="398"/>
      <w:bookmarkStart w:name="_Toc169758314" w:id="399"/>
      <w:r>
        <w:rPr>
          <w:rFonts w:ascii="Arial Bold" w:hAnsi="Arial Bold"/>
          <w:b/>
          <w:bCs/>
          <w:caps/>
          <w:u w:val="single"/>
        </w:rPr>
        <w:t>Part 2.  Liquidated Damages</w:t>
      </w:r>
      <w:bookmarkEnd w:id="398"/>
      <w:bookmarkEnd w:id="399"/>
    </w:p>
    <w:p w:rsidR="00447984" w:rsidP="00447984" w:rsidRDefault="00447984" w14:paraId="30CF0101" w14:textId="77777777">
      <w:pPr>
        <w:pStyle w:val="zGNormal"/>
        <w:ind w:right="2250"/>
        <w:rPr>
          <w:w w:val="0"/>
        </w:rPr>
      </w:pPr>
    </w:p>
    <w:p w:rsidR="00447984" w:rsidP="00447984" w:rsidRDefault="00447984" w14:paraId="3847574D" w14:textId="77777777">
      <w:pPr>
        <w:pStyle w:val="zGNormal"/>
        <w:ind w:right="2250"/>
        <w:rPr>
          <w:w w:val="0"/>
        </w:rPr>
      </w:pPr>
    </w:p>
    <w:p w:rsidRPr="008E63F0" w:rsidR="00447984" w:rsidP="002734EC" w:rsidRDefault="00167975" w14:paraId="6990FA4B" w14:textId="77777777">
      <w:pPr>
        <w:pStyle w:val="zGNormal"/>
        <w:rPr>
          <w:w w:val="0"/>
        </w:rPr>
      </w:pPr>
      <w:r>
        <w:rPr>
          <w:w w:val="0"/>
        </w:rPr>
        <w:t>The following table represents delay liquidated damages amounts that will be owed if Seller does not timely achieve Commercial Operation by RCOD. The amounts shown in the table are daily amounts that will be owed for each Day of delay beyond the RCOD in the applicable Month. </w:t>
      </w:r>
    </w:p>
    <w:p w:rsidRPr="00A44579" w:rsidR="00167975" w:rsidP="00447984" w:rsidRDefault="00167975" w14:paraId="2519A06A" w14:textId="77777777">
      <w:pPr>
        <w:pStyle w:val="zGNormal"/>
        <w:ind w:right="2250"/>
        <w:rPr>
          <w:w w:val="0"/>
        </w:rPr>
      </w:pPr>
    </w:p>
    <w:p w:rsidR="00447984" w:rsidP="00135BCD" w:rsidRDefault="00447984" w14:paraId="512F1393" w14:textId="77777777">
      <w:pPr>
        <w:pStyle w:val="zGNormal"/>
        <w:rPr>
          <w:b/>
          <w:bCs/>
          <w:highlight w:val="cyan"/>
        </w:rPr>
      </w:pPr>
    </w:p>
    <w:p w:rsidRPr="000057B0" w:rsidR="00135BCD" w:rsidP="00135BCD" w:rsidRDefault="00135BCD" w14:paraId="6A08BA24" w14:textId="2C8EE3E0">
      <w:pPr>
        <w:pStyle w:val="zGNormal"/>
        <w:rPr>
          <w:b/>
          <w:bCs/>
        </w:rPr>
      </w:pPr>
      <w:r>
        <w:rPr>
          <w:b/>
          <w:bCs/>
          <w:highlight w:val="cyan"/>
        </w:rPr>
        <w:t>[</w:t>
      </w:r>
      <w:r>
        <w:rPr>
          <w:b/>
          <w:bCs/>
          <w:i/>
          <w:iCs/>
          <w:highlight w:val="cyan"/>
          <w:u w:val="single"/>
        </w:rPr>
        <w:t>Note to Bidders</w:t>
      </w:r>
      <w:r>
        <w:rPr>
          <w:b/>
          <w:bCs/>
          <w:i/>
          <w:iCs/>
          <w:highlight w:val="cyan"/>
        </w:rPr>
        <w:t>: A Liquidated Damages table will be added to include the applicable delay liquidated damages stated in Attachment 1 (Performance Security and Liquidated Damages Summary) of RFP Exhibit D (Summary of Fees, Costs, Security, and Deadlines).</w:t>
      </w:r>
      <w:r>
        <w:rPr>
          <w:b/>
          <w:bCs/>
          <w:highlight w:val="cyan"/>
        </w:rPr>
        <w:t>]</w:t>
      </w:r>
    </w:p>
    <w:p w:rsidR="00AB1DAA" w:rsidP="00421037" w:rsidRDefault="00AB1DAA" w14:paraId="1A4028D8" w14:textId="77777777">
      <w:pPr>
        <w:pStyle w:val="zGNormal"/>
        <w:sectPr w:rsidR="00AB1DAA" w:rsidSect="005B310E">
          <w:headerReference w:type="default" r:id="rId31"/>
          <w:footerReference w:type="default" r:id="rId32"/>
          <w:footnotePr>
            <w:numRestart w:val="eachSect"/>
          </w:footnotePr>
          <w:pgSz w:w="12240" w:h="15840" w:code="1"/>
          <w:pgMar w:top="1440" w:right="1440" w:bottom="1440" w:left="1440" w:header="720" w:footer="720" w:gutter="0"/>
          <w:paperSrc w:first="15" w:other="15"/>
          <w:cols w:space="1440"/>
        </w:sectPr>
      </w:pPr>
    </w:p>
    <w:p w:rsidRPr="00F10071" w:rsidR="00F30D93" w:rsidP="00F30D93" w:rsidRDefault="00F30D93" w14:paraId="3E76E140" w14:textId="5AFF649D">
      <w:pPr>
        <w:pStyle w:val="zGTitleExhibit"/>
        <w:rPr>
          <w:rFonts w:cs="Arial"/>
        </w:rPr>
      </w:pPr>
      <w:bookmarkStart w:name="_Toc212473093" w:id="400"/>
      <w:bookmarkStart w:name="_Toc227840789" w:id="401"/>
      <w:r>
        <w:rPr>
          <w:rFonts w:cs="Arial"/>
        </w:rPr>
        <w:lastRenderedPageBreak/>
        <w:t>Exhibit B – Capacity; Capacity Payments and Payment Reductions; BuyDown</w:t>
      </w:r>
      <w:bookmarkEnd w:id="400"/>
      <w:bookmarkEnd w:id="401"/>
    </w:p>
    <w:p w:rsidRPr="000057B0" w:rsidR="00F30D93" w:rsidP="006D2EC2" w:rsidRDefault="00F30D93" w14:paraId="71AC3AC0" w14:textId="00C8DBC6">
      <w:pPr>
        <w:pStyle w:val="zG01"/>
        <w:numPr>
          <w:ilvl w:val="0"/>
          <w:numId w:val="34"/>
        </w:numPr>
      </w:pPr>
      <w:r>
        <w:t>Contracted Capacity Range; Tested Reliable Capacity; declared Capacity; Capacity BuyDown; Capacity Pricing</w:t>
      </w:r>
    </w:p>
    <w:p w:rsidRPr="000057B0" w:rsidR="00F30D93" w:rsidP="00F30D93" w:rsidRDefault="00F30D93" w14:paraId="7756C42B" w14:textId="77777777">
      <w:pPr>
        <w:pStyle w:val="zG02"/>
      </w:pPr>
      <w:r>
        <w:rPr>
          <w:rStyle w:val="zGNormalChar"/>
          <w:b/>
          <w:bCs/>
        </w:rPr>
        <w:t>Contracted Capacity Cap; Contracted Capacity Range.</w:t>
      </w:r>
      <w:r>
        <w:t xml:space="preserve"> </w:t>
      </w:r>
    </w:p>
    <w:p w:rsidRPr="000057B0" w:rsidR="00F30D93" w:rsidP="00F30D93" w:rsidRDefault="00F30D93" w14:paraId="56B09F87" w14:textId="1D165F8F">
      <w:pPr>
        <w:pStyle w:val="zG03"/>
        <w:tabs>
          <w:tab w:val="num" w:pos="497"/>
        </w:tabs>
        <w:ind w:left="180"/>
      </w:pPr>
      <w:r>
        <w:rPr>
          <w:b/>
        </w:rPr>
        <w:t xml:space="preserve">Contracted Capacity Cap. </w:t>
      </w:r>
      <w:r>
        <w:t>The “</w:t>
      </w:r>
      <w:r>
        <w:rPr>
          <w:b/>
          <w:bCs/>
        </w:rPr>
        <w:t>Contracted Capacity Cap</w:t>
      </w:r>
      <w:r>
        <w:t>” means (a) with respect to the Standard Seasonal Performance Periods, the Standard Capacity Cap; and (b) with respect to the Winter Seasonal Performance Period, the Winter Capacity Cap. The “</w:t>
      </w:r>
      <w:r>
        <w:rPr>
          <w:b/>
          <w:bCs/>
        </w:rPr>
        <w:t>Standard Capacity Cap</w:t>
      </w:r>
      <w:r>
        <w:t>” means an amount equal to the sum of: (i) the Standard Base Capacity Cap, plus (ii) the Standard Supplemental Capacity Cap. The “</w:t>
      </w:r>
      <w:r>
        <w:rPr>
          <w:b/>
          <w:bCs/>
        </w:rPr>
        <w:t>Winter Capacity Cap</w:t>
      </w:r>
      <w:r>
        <w:t>” means an amount equal to the sum of: (i) the Winter Base Capacity Cap, plus (ii) the Winter Supplemental Capacity Cap.</w:t>
      </w:r>
    </w:p>
    <w:p w:rsidRPr="000057B0" w:rsidR="00F30D93" w:rsidP="00F30D93" w:rsidRDefault="00F30D93" w14:paraId="50E4EC43" w14:textId="716870CC">
      <w:pPr>
        <w:pStyle w:val="zG04"/>
      </w:pPr>
      <w:r>
        <w:t>The “</w:t>
      </w:r>
      <w:r>
        <w:rPr>
          <w:b/>
          <w:bCs/>
        </w:rPr>
        <w:t>Standard Base Capacity Cap</w:t>
      </w:r>
      <w:r>
        <w:t>” means an amount equal to 102.5% of the Nominal Standard Base Capability. However, GPC, in its sole discretion, may elect to accept an offer from Seller to increase the Standard Base Capacity Cap to an amount equal to a Tested Standard Base Capacity that is greater than 102.5% of the Nominal Standard Base Capability in accordance with Section 1.2 (</w:t>
      </w:r>
      <w:r>
        <w:rPr>
          <w:i/>
          <w:iCs/>
        </w:rPr>
        <w:t>Tested Reliable Capacity; Performance Tests</w:t>
      </w:r>
      <w:r>
        <w:t xml:space="preserve">). </w:t>
      </w:r>
    </w:p>
    <w:p w:rsidRPr="000057B0" w:rsidR="00F30D93" w:rsidP="00F30D93" w:rsidRDefault="00F30D93" w14:paraId="7948A798" w14:textId="4AEDD797">
      <w:pPr>
        <w:pStyle w:val="zG04"/>
      </w:pPr>
      <w:r>
        <w:t>The “</w:t>
      </w:r>
      <w:r>
        <w:rPr>
          <w:b/>
          <w:bCs/>
        </w:rPr>
        <w:t>Standard Supplemental Capacity Cap</w:t>
      </w:r>
      <w:r>
        <w:t>” means an amount equal to 102.5% of the Nominal Standard Supplemental Capability. However, GPC in its sole discretion, may elect to accept an offer from Seller to increase the Standard Supplemental Capacity Cap to an amount equal to a Tested Standard Supplemental Capacity that is greater than 102.5% of the Nominal Standard Supplemental Capability in accordance with Section 1.2 (</w:t>
      </w:r>
      <w:r>
        <w:rPr>
          <w:i/>
          <w:iCs/>
        </w:rPr>
        <w:t>Tested Reliable Capacity; Performance Tests</w:t>
      </w:r>
      <w:r>
        <w:t>).</w:t>
      </w:r>
    </w:p>
    <w:p w:rsidR="00E22459" w:rsidP="00F30D93" w:rsidRDefault="00E12128" w14:paraId="2719A071" w14:textId="7B861F25">
      <w:pPr>
        <w:pStyle w:val="zG04"/>
      </w:pPr>
      <w:r>
        <w:rPr>
          <w:bCs/>
        </w:rPr>
        <w:t>The “</w:t>
      </w:r>
      <w:r>
        <w:rPr>
          <w:b/>
        </w:rPr>
        <w:t>Winter Base Capacity Cap</w:t>
      </w:r>
      <w:r>
        <w:rPr>
          <w:bCs/>
        </w:rPr>
        <w:t>” will equal 102.5% of the Nominal Winter Base Capability. However, GPC, in its sole discretion, may elect to accept an offer from Seller to increase the Winter Base Capacity Cap to an amount equal to a Tested Winter Base Capacity that is greater than 102.5% of the Nominal Winter Base Capability in accordance with Section 1.2 (</w:t>
      </w:r>
      <w:r>
        <w:rPr>
          <w:bCs/>
          <w:i/>
          <w:iCs/>
        </w:rPr>
        <w:t>Tested Reliable Capacity; Performance Tests</w:t>
      </w:r>
      <w:r>
        <w:rPr>
          <w:bCs/>
        </w:rPr>
        <w:t>).</w:t>
      </w:r>
    </w:p>
    <w:p w:rsidR="007410DC" w:rsidP="00F30D93" w:rsidRDefault="00B650A4" w14:paraId="10BB1C23" w14:textId="2F4AA92C">
      <w:pPr>
        <w:pStyle w:val="zG04"/>
      </w:pPr>
      <w:r>
        <w:t>The “</w:t>
      </w:r>
      <w:r>
        <w:rPr>
          <w:b/>
          <w:bCs/>
        </w:rPr>
        <w:t>Winter Supplemental Capacity Cap</w:t>
      </w:r>
      <w:r>
        <w:t>” will equal 102.5% of the Nominal Winter Supplemental Capability. However, GPC, in its sole discretion, may elect to accept an offer from Seller to increase the Winter Supplemental Capacity Cap to an amount equal to a Tested Winter Supplemental Capacity that is greater than 102.5% of the Nominal Winter Supplemental Capability in accordance with Section 1.2 (</w:t>
      </w:r>
      <w:r>
        <w:rPr>
          <w:i/>
          <w:iCs/>
        </w:rPr>
        <w:t>Tested Reliable Capacity; Performance Tests</w:t>
      </w:r>
      <w:r>
        <w:t>).</w:t>
      </w:r>
    </w:p>
    <w:p w:rsidR="00585A07" w:rsidP="00F30D93" w:rsidRDefault="00F30D93" w14:paraId="591DD4C0" w14:textId="315BEC43">
      <w:pPr>
        <w:pStyle w:val="zG03"/>
        <w:tabs>
          <w:tab w:val="num" w:pos="497"/>
        </w:tabs>
        <w:ind w:left="180"/>
      </w:pPr>
      <w:r>
        <w:rPr>
          <w:b/>
        </w:rPr>
        <w:t>Contracted Capacity Range.</w:t>
      </w:r>
      <w:r>
        <w:t xml:space="preserve"> During the Term, Seller must make available to GPC generating capacity of the Facility (in MW) within the applicable Contracted Capacity Range. During the Standard Seasonal Performance Periods, the applicable Contracted Capacity Range is the Standard Capacity Range. During the Winter Seasonal Performance Period, the applicable Contracted Capacity Range is the Winter Capacity Range.</w:t>
      </w:r>
    </w:p>
    <w:p w:rsidRPr="000057B0" w:rsidR="00F30D93" w:rsidP="00585A07" w:rsidRDefault="005C6273" w14:paraId="73526994" w14:textId="2E94F3B4">
      <w:pPr>
        <w:pStyle w:val="zG04"/>
      </w:pPr>
      <w:r>
        <w:t>The “</w:t>
      </w:r>
      <w:r>
        <w:rPr>
          <w:b/>
          <w:bCs/>
        </w:rPr>
        <w:t>Standard Capacity Range</w:t>
      </w:r>
      <w:r>
        <w:t>” means the range of generating capacity of the Facility (in MW) described in this Section 1.1.B(i) (</w:t>
      </w:r>
      <w:r>
        <w:rPr>
          <w:i/>
          <w:iCs/>
        </w:rPr>
        <w:t>Contracted Capacity Range</w:t>
      </w:r>
      <w:r>
        <w:t>). Subject to Section 1.4 (</w:t>
      </w:r>
      <w:r>
        <w:rPr>
          <w:i/>
          <w:iCs/>
          <w:snapToGrid w:val="0"/>
        </w:rPr>
        <w:t>Tested Reliable Capacity Below Contracted Capacity Range; Capacity Buydown</w:t>
      </w:r>
      <w:r>
        <w:t>), the upper limit of the Standard Capacity Range for the Term will be the Standard Capacity Cap. Subject to Section 1.4, the lower limit of the Standard Capacity Range for the Term will be 92% of the Nominal Standard Capability.</w:t>
      </w:r>
    </w:p>
    <w:p w:rsidRPr="000057B0" w:rsidR="00585A07" w:rsidP="00585A07" w:rsidRDefault="00585A07" w14:paraId="01F2D85D" w14:textId="3EB9FE76">
      <w:pPr>
        <w:pStyle w:val="zG04"/>
      </w:pPr>
      <w:r>
        <w:t>The “</w:t>
      </w:r>
      <w:r>
        <w:rPr>
          <w:b/>
          <w:bCs/>
        </w:rPr>
        <w:t>Winter Capacity Range</w:t>
      </w:r>
      <w:r>
        <w:t>” means the range of generating capacity of the Facility (in MW) described in this Section 1.1.B(ii) (</w:t>
      </w:r>
      <w:r>
        <w:rPr>
          <w:i/>
          <w:iCs/>
        </w:rPr>
        <w:t>Contracted Capacity Range</w:t>
      </w:r>
      <w:r>
        <w:t>). Subject to Section 1.4 (</w:t>
      </w:r>
      <w:r>
        <w:rPr>
          <w:i/>
          <w:iCs/>
        </w:rPr>
        <w:t>Tested Reliable Capacity Below Contracted Capacity Range; Capacity Buydown</w:t>
      </w:r>
      <w:r>
        <w:t>), the upper limit of the Winter Capacity Range for the Term will be the Winter Capacity Cap. Subject to Section 1.4, the lower limit of the Winter Capacity Range for the Term will be 92% of the Nominal Winter Capability.</w:t>
      </w:r>
    </w:p>
    <w:p w:rsidRPr="000057B0" w:rsidR="00F30D93" w:rsidP="00F30D93" w:rsidRDefault="00F30D93" w14:paraId="3BA93A3E" w14:textId="0958DE0B">
      <w:pPr>
        <w:pStyle w:val="zG02"/>
        <w:rPr>
          <w:b/>
          <w:bCs/>
        </w:rPr>
      </w:pPr>
      <w:r>
        <w:rPr>
          <w:b/>
          <w:bCs/>
        </w:rPr>
        <w:t xml:space="preserve">Tested Reliable Capacity; Performance Tests. </w:t>
      </w:r>
    </w:p>
    <w:p w:rsidRPr="000057B0" w:rsidR="005C36F7" w:rsidP="005C36F7" w:rsidRDefault="00F30D93" w14:paraId="09BD2DB8" w14:textId="189D09C8">
      <w:pPr>
        <w:pStyle w:val="zG03"/>
        <w:tabs>
          <w:tab w:val="num" w:pos="497"/>
        </w:tabs>
        <w:ind w:left="180"/>
      </w:pPr>
      <w:r>
        <w:rPr>
          <w:b/>
          <w:bCs/>
        </w:rPr>
        <w:t xml:space="preserve">Facility Performance Testing. </w:t>
      </w:r>
      <w:r>
        <w:t>Seller must conduct Performance Testing of the Facility in accordance with Exhibit E (</w:t>
      </w:r>
      <w:r>
        <w:rPr>
          <w:i/>
          <w:iCs/>
        </w:rPr>
        <w:t>Performance Testing Procedures</w:t>
      </w:r>
      <w:r>
        <w:t xml:space="preserve">) to determine the capacity of the Facility (in MW) that will reliably and consistently be available to meet GPC’s Schedules. </w:t>
      </w:r>
    </w:p>
    <w:p w:rsidRPr="000057B0" w:rsidR="00F30D93" w:rsidP="00F30D93" w:rsidRDefault="00F30D93" w14:paraId="484E298B" w14:textId="1AD4F6E5">
      <w:pPr>
        <w:pStyle w:val="zG03"/>
        <w:tabs>
          <w:tab w:val="num" w:pos="497"/>
        </w:tabs>
        <w:ind w:left="180"/>
      </w:pPr>
      <w:r>
        <w:rPr>
          <w:b/>
          <w:bCs/>
        </w:rPr>
        <w:t>Establishing Initial Tested Capacity Values.</w:t>
      </w:r>
      <w:r>
        <w:t xml:space="preserve"> Before the Delivery Commencement Date, but no earlier than </w:t>
      </w:r>
      <w:r>
        <w:lastRenderedPageBreak/>
        <w:t xml:space="preserve">90 Days before the Delivery Commencement Date, Seller must establish the initial Tested Capacity Values in accordance with a Performance Test. However, if Seller cannot perform the Performance Test during that 90-Day period because of inadequate ambient conditions, Seller must perform the Performance Test as soon as practicable with appropriate ambient conditions after the Delivery Commencement Date, and the Nominal Base Capability and Nominal Supplemental Capability will apply until the initial Tested Capacity Values are determined. </w:t>
      </w:r>
    </w:p>
    <w:p w:rsidRPr="000057B0" w:rsidR="00F30D93" w:rsidP="00F30D93" w:rsidRDefault="00F30D93" w14:paraId="799CA16B" w14:textId="6EB944DC">
      <w:pPr>
        <w:pStyle w:val="zG03"/>
        <w:tabs>
          <w:tab w:val="num" w:pos="497"/>
        </w:tabs>
        <w:ind w:left="180"/>
      </w:pPr>
      <w:r>
        <w:rPr>
          <w:b/>
          <w:bCs/>
        </w:rPr>
        <w:t>Request to Redetermine Tested Capacity Values.</w:t>
      </w:r>
      <w:r>
        <w:t xml:space="preserve"> Following the establishment of the initial Tested Capacity Values, each Party will have the right to request a Performance Test to re-determine the Tested Capacity Values to be performed during the period from March 15 to April 15 of each Annual Period upon 10 Business Days prior notice to the other Party. However, upon consent by each Party, the Performance Test may be performed outside the period of March 15 to April 15 of each Annual Period. Despite the preceding sentence, no Performance Test may be scheduled during: (i) a period of Scheduled Outage; (ii) a period of Maintenance Outage; (iii) an FME; or (iv) a Forced Outage. The Tested Capacity Values determined by an additional Performance Test will become the new Tested Capacity Values.</w:t>
      </w:r>
    </w:p>
    <w:p w:rsidRPr="000057B0" w:rsidR="00A16E8B" w:rsidP="00A16E8B" w:rsidRDefault="00F30D93" w14:paraId="71FE836E" w14:textId="44F17BC2">
      <w:pPr>
        <w:pStyle w:val="zG03"/>
        <w:tabs>
          <w:tab w:val="num" w:pos="497"/>
        </w:tabs>
        <w:ind w:left="180"/>
      </w:pPr>
      <w:r>
        <w:rPr>
          <w:b/>
          <w:bCs/>
        </w:rPr>
        <w:t xml:space="preserve">Tested Reliable Capacity Greater Than Applicable Effective Contracted Capacity Cap. </w:t>
      </w:r>
      <w:r>
        <w:t xml:space="preserve">If a Performance Test results in a Tested Standard Reliable Capacity that is greater than the then-effective Standard Capacity Cap, or a Tested Winter Reliable Capacity that is greater than the then-effective Winter Capacity Cap, then Seller may offer to increase either or both of those Contracted Capacity Cap(s) to the new applicable Tested Reliable Capacity(ies) and GPC, in GPC’s sole discretion, will accept or reject Seller’s offer. If GPC accepts Seller’s offer, then either or both (as applicable) </w:t>
      </w:r>
      <w:r>
        <w:rPr>
          <w:bCs/>
        </w:rPr>
        <w:t xml:space="preserve">Contracted Base Capacity Cap(s), Contracted Supplemental Capacity Cap(s), and </w:t>
      </w:r>
      <w:r>
        <w:t xml:space="preserve">Contracted Capacity Cap(s), will be reset to the new applicable Tested Base Capacity(ies), Tested Supplemental Capacity(ies), and Tested Reliable Capacity(ies), respectively, resulting from the Performance Test. If GPC does not accept Seller’s offer, the </w:t>
      </w:r>
      <w:r>
        <w:rPr>
          <w:bCs/>
        </w:rPr>
        <w:t xml:space="preserve">Contracted Base Capacity Cap, Contracted Supplemental Capacity Cap, and </w:t>
      </w:r>
      <w:r>
        <w:t>Contracted Capacity Cap will not change.</w:t>
      </w:r>
    </w:p>
    <w:p w:rsidRPr="000057B0" w:rsidR="00E0358B" w:rsidP="00A16E8B" w:rsidRDefault="0062301F" w14:paraId="01E4B552" w14:textId="5E34E195">
      <w:pPr>
        <w:pStyle w:val="zG03"/>
        <w:tabs>
          <w:tab w:val="num" w:pos="497"/>
        </w:tabs>
        <w:ind w:left="180"/>
      </w:pPr>
      <w:r>
        <w:rPr>
          <w:b/>
          <w:bCs/>
        </w:rPr>
        <w:t>Cost Responsibility for Fuel Required for Performance Test(s) for initial Tested Capacity Values; Purchase of Test Energy.</w:t>
      </w:r>
      <w:r>
        <w:t xml:space="preserve"> Seller will be responsible and bear all costs and expenses to obtain and deliver fuel required for the Performance Test(s) required to determine the initial Tested Capacity Values. GPC will receive and purchase the test energy at the Test Energy Price. “Test Energy Price” means the product of: (i) AIER;</w:t>
      </w:r>
      <w:r>
        <w:rPr>
          <w:i/>
        </w:rPr>
        <w:t xml:space="preserve"> </w:t>
      </w:r>
      <w:r>
        <w:rPr>
          <w:rFonts w:eastAsia="Times New Roman"/>
          <w:i/>
          <w:iCs/>
        </w:rPr>
        <w:t>times</w:t>
      </w:r>
      <w:r>
        <w:t xml:space="preserve"> (ii) 90%, as shown in the following equation: </w:t>
      </w:r>
    </w:p>
    <w:p w:rsidRPr="000057B0" w:rsidR="00E0358B" w:rsidP="00E0358B" w:rsidRDefault="00E0358B" w14:paraId="3E0CBA4B" w14:textId="2C66F26C">
      <w:pPr>
        <w:pStyle w:val="zG03"/>
        <w:numPr>
          <w:ilvl w:val="0"/>
          <w:numId w:val="0"/>
        </w:numPr>
        <w:ind w:left="180"/>
        <w:jc w:val="center"/>
        <w:rPr>
          <w:b/>
          <w:bCs/>
        </w:rPr>
      </w:pPr>
      <w:r>
        <w:t>(Test Energy Price = AIER x 0.90)</w:t>
      </w:r>
    </w:p>
    <w:p w:rsidRPr="000057B0" w:rsidR="00F30D93" w:rsidP="00F30D93" w:rsidRDefault="00F30D93" w14:paraId="6D49F224" w14:textId="67103CDA">
      <w:pPr>
        <w:pStyle w:val="zG03"/>
        <w:tabs>
          <w:tab w:val="num" w:pos="497"/>
        </w:tabs>
        <w:ind w:left="180"/>
      </w:pPr>
      <w:r>
        <w:rPr>
          <w:b/>
          <w:bCs/>
        </w:rPr>
        <w:t>Fuel Costs for Subsequent Performance Tests.</w:t>
      </w:r>
      <w:r>
        <w:t xml:space="preserve"> For all subsequent Performance Tests, the Party requesting the Performance Test will bear the costs and expenses of that Performance Test. However, Seller must bear costs and expenses of: (i) any Performance Test GPC requests if the Tested Reliable Capacity (because of the Performance Test) is determined to be less than the Tested Reliable Capacity immediately before the Performance Test; (ii) any Performance Test performed under Section 1.4 (</w:t>
      </w:r>
      <w:r>
        <w:rPr>
          <w:i/>
          <w:iCs/>
        </w:rPr>
        <w:t>Tested Reliable Capacity Below Contracted Capacity Range; Capacity Buydown</w:t>
      </w:r>
      <w:r>
        <w:t>); or (iii) any Performance Test performed due to a reliability issue under Exhibit E (</w:t>
      </w:r>
      <w:r>
        <w:rPr>
          <w:i/>
          <w:iCs/>
        </w:rPr>
        <w:t>Performance Testing Procedures</w:t>
      </w:r>
      <w:r>
        <w:t>), Part 3 (</w:t>
      </w:r>
      <w:r>
        <w:rPr>
          <w:i/>
          <w:iCs/>
        </w:rPr>
        <w:t>Testing</w:t>
      </w:r>
      <w:r>
        <w:t xml:space="preserve">). If GPC is responsible for the fuel costs for a Performance Test, GPC will purchase test energy at the applicable price under </w:t>
      </w:r>
      <w:r>
        <w:rPr>
          <w:bCs/>
        </w:rPr>
        <w:t>Exhibit C (</w:t>
      </w:r>
      <w:r>
        <w:rPr>
          <w:bCs/>
          <w:i/>
          <w:iCs/>
        </w:rPr>
        <w:t>Energy Payment Calculation</w:t>
      </w:r>
      <w:r>
        <w:rPr>
          <w:bCs/>
        </w:rPr>
        <w:t>)</w:t>
      </w:r>
      <w:r>
        <w:t xml:space="preserve"> for energy delivered from the Facility in accordance with the Schedule. If Seller is responsible for the fuel costs for a Performance Test, GPC will purchase test energy at the lesser of: (a) the Test Energy Price; and (b) the applicable price under </w:t>
      </w:r>
      <w:r>
        <w:rPr>
          <w:bCs/>
        </w:rPr>
        <w:t>Exhibit C</w:t>
      </w:r>
      <w:r>
        <w:t xml:space="preserve"> for energy delivered from the Facility in accordance with GPC’s Schedule. </w:t>
      </w:r>
    </w:p>
    <w:p w:rsidRPr="000057B0" w:rsidR="00F30D93" w:rsidP="00F30D93" w:rsidRDefault="00F44B81" w14:paraId="48DB2F10" w14:textId="5ECF44BA">
      <w:pPr>
        <w:pStyle w:val="zG02"/>
        <w:rPr>
          <w:b/>
          <w:bCs/>
        </w:rPr>
      </w:pPr>
      <w:r>
        <w:rPr>
          <w:b/>
          <w:bCs/>
        </w:rPr>
        <w:t xml:space="preserve">Declared Capacity. </w:t>
      </w:r>
    </w:p>
    <w:p w:rsidRPr="000057B0" w:rsidR="00F30D93" w:rsidP="004B451D" w:rsidRDefault="00F44B81" w14:paraId="1BA9520E" w14:textId="620DECEF">
      <w:pPr>
        <w:pStyle w:val="zG03"/>
      </w:pPr>
      <w:r>
        <w:rPr>
          <w:b/>
          <w:bCs/>
        </w:rPr>
        <w:t xml:space="preserve">Declared Base Capacity, Declared Supplemental Capacity, and Declared Capacity. </w:t>
      </w:r>
      <w:r>
        <w:t>After the initial Tested Capacity Values are determined in accordance with Section 1.2 (</w:t>
      </w:r>
      <w:r>
        <w:rPr>
          <w:i/>
          <w:iCs/>
        </w:rPr>
        <w:t>Tested Reliable Capacity; Performance Tests</w:t>
      </w:r>
      <w:r>
        <w:t>), the following Declared Capacity Values will be established based on the Tested Capacity Values (subject to Section 1.3.B (</w:t>
      </w:r>
      <w:r>
        <w:rPr>
          <w:i/>
          <w:iCs/>
        </w:rPr>
        <w:t>Seller’s Election to Designate the Declared Capacity Less Than the Tested Capacity</w:t>
      </w:r>
      <w:r>
        <w:t>)): (i) the “</w:t>
      </w:r>
      <w:r>
        <w:rPr>
          <w:b/>
          <w:bCs/>
        </w:rPr>
        <w:t>Declared Standard Base Capacity</w:t>
      </w:r>
      <w:r>
        <w:t>” will be deemed to be the Tested Standard Base Capacity; (ii) the “</w:t>
      </w:r>
      <w:r>
        <w:rPr>
          <w:b/>
          <w:bCs/>
        </w:rPr>
        <w:t>Declared Standard Supplemental Capacity</w:t>
      </w:r>
      <w:r>
        <w:t>” will be deemed to be the Tested Standard Supplemental Capacity; (iii) the “</w:t>
      </w:r>
      <w:r>
        <w:rPr>
          <w:b/>
          <w:bCs/>
        </w:rPr>
        <w:t>Declared Standard Capacity</w:t>
      </w:r>
      <w:r>
        <w:t>” will be deemed to be the Tested Standard Reliable Capacity; (iv) the “</w:t>
      </w:r>
      <w:r>
        <w:rPr>
          <w:b/>
          <w:bCs/>
        </w:rPr>
        <w:t>Declared Winter Base Capacity</w:t>
      </w:r>
      <w:r>
        <w:t>” will be deemed to be the Tested Winter Base Capacity; (v) the “</w:t>
      </w:r>
      <w:r>
        <w:rPr>
          <w:b/>
          <w:bCs/>
        </w:rPr>
        <w:t>Declared Winter Supplemental Capacity</w:t>
      </w:r>
      <w:r>
        <w:t>” will be deemed to be the Tested Winter Supplemental Capacity; and (vi) the “</w:t>
      </w:r>
      <w:r>
        <w:rPr>
          <w:b/>
          <w:bCs/>
        </w:rPr>
        <w:t>Declared Winter Capacity</w:t>
      </w:r>
      <w:r>
        <w:t xml:space="preserve">” will be deemed to be the Tested Winter Reliable Capacity. However, </w:t>
      </w:r>
      <w:r>
        <w:lastRenderedPageBreak/>
        <w:t xml:space="preserve">despite any other provision in this PPA: (a) the Declared Standard Base Capacity may not exceed the Standard Base Capacity Cap; (b) the Declared Standard Supplemental Capacity may not exceed the Standard Supplemental Capacity Cap; (c) the Declared Standard Capacity may not exceed the Standard Capacity Cap; (d) the Declared Winter Base Capacity may not exceed the Winter Base Capacity Cap; (e) the Declared Winter Supplemental Capacity may not exceed the Winter Supplemental Capacity Cap; and (f) the Declared Winter Capacity may not exceed the Winter Capacity Cap. </w:t>
      </w:r>
    </w:p>
    <w:p w:rsidRPr="000057B0" w:rsidR="00F30D93" w:rsidP="00F30D93" w:rsidRDefault="00F30D93" w14:paraId="49BDA360" w14:textId="48F75CC0">
      <w:pPr>
        <w:pStyle w:val="zG03"/>
        <w:numPr>
          <w:ilvl w:val="0"/>
          <w:numId w:val="0"/>
        </w:numPr>
        <w:ind w:left="259"/>
      </w:pPr>
      <w:r>
        <w:t>If the Tested Standard Reliable Capacity under a Performance Test is greater than the then-effective Standard Capacity Cap, or the Tested Winter Reliable Capacity under a Performance Test is greater than the then-effective Winter Capacity Cap, and Seller does not offer, or GPC rejects an offer, to increase either or both of those Contracted Capacity Cap(s) to the new applicable Tested Reliable Capacity(ies) under Section 1.2 (</w:t>
      </w:r>
      <w:r>
        <w:rPr>
          <w:i/>
          <w:iCs/>
        </w:rPr>
        <w:t>Tested Reliable Capacity; Performance Tests</w:t>
      </w:r>
      <w:r>
        <w:t>), then with respect to those Contracted Capacity Cap(s), as applicable: (I) the Declared Standard Base Capacity will be deemed to be the Standard Base Capacity Cap; (II) the Declared Standard Supplemental Capacity will be deemed to be the Standard Supplemental Capacity Cap; (III) the Declared Standard Capacity will be deemed to be the Standard Capacity Cap; (IV) the Declared Winter Base Capacity will be deemed to be the Winter Base Capacity Cap; (V) the Declared Winter Supplemental Capacity will be deemed to be the Winter Supplemental Capacity Cap; and (VI) the Declared Winter Capacity will be deemed to be the Winter Capacity Cap, unless Seller designates: (1) a Declared Standard Base Capacity that does not exceed the Standard Base Capacity Cap; (2) a Declared Standard Supplemental Capacity that does not exceed the Standard Supplemental Capacity Cap; (3) a Declared Standard Capacity that does not exceed the Standard Capacity Cap; (4) a Declared Winter Base Capacity that does not exceed the Winter Base Capacity Cap; (5) a Declared Winter Supplemental Capacity that does not exceed the Winter Supplemental Capacity Cap; and (6) a Declared Winter Capacity that does not exceed the Winter Capacity Cap, respectively, as set forth in Section 1.3.B (</w:t>
      </w:r>
      <w:r>
        <w:rPr>
          <w:i/>
        </w:rPr>
        <w:t>Seller’s Election to Designate the Declared Capacity Below the Tested Capacity</w:t>
      </w:r>
      <w:r>
        <w:t xml:space="preserve">). </w:t>
      </w:r>
    </w:p>
    <w:p w:rsidRPr="000057B0" w:rsidR="00F30D93" w:rsidP="002734EC" w:rsidRDefault="00F30D93" w14:paraId="0B316DE0" w14:textId="54939665">
      <w:pPr>
        <w:pStyle w:val="zG03"/>
        <w:spacing w:line="259" w:lineRule="auto"/>
        <w:rPr>
          <w:bCs/>
        </w:rPr>
      </w:pPr>
      <w:r>
        <w:rPr>
          <w:b/>
          <w:bCs/>
        </w:rPr>
        <w:t xml:space="preserve">Seller’s Election to Designate the Declared Capacity Less Than the Tested Capacity. </w:t>
      </w:r>
      <w:r>
        <w:t xml:space="preserve">By no later than 10 Business Days after establishment of the Tested Capacity Values through a Performance Test, Seller may elect, by notice to GPC, to designate: (i) a Declared Standard Base Capacity that is less than the Tested Standard Base Capacity; (ii) a Declared Standard Supplemental Capacity that is less than the Tested Standard Supplemental Capacity; (iii) a Declared Standard Capacity that is less than the Tested Standard Reliable Capacity; (iv) a Declared Winter Base Capacity that is less than the Tested Winter Base Capacity; (v) a Declared Winter Supplemental Capacity that is less than the Tested Winter Supplemental Capacity; and (vi) a Declared Winter Capacity that is less than the Tested Winter Reliable Capacity, in each case so long as: (a) (I) the Declared Standard Base Capacity does not exceed the </w:t>
      </w:r>
      <w:r>
        <w:rPr>
          <w:bCs/>
        </w:rPr>
        <w:t>Standard Base Capacity Cap</w:t>
      </w:r>
      <w:r>
        <w:t xml:space="preserve">; (II) the Declared Standard Supplemental Capacity does not exceed the </w:t>
      </w:r>
      <w:r>
        <w:rPr>
          <w:bCs/>
        </w:rPr>
        <w:t>Standard Supplemental Capacity Cap</w:t>
      </w:r>
      <w:r>
        <w:t xml:space="preserve">; (III) the Declared Standard Capacity does not exceed the </w:t>
      </w:r>
      <w:r>
        <w:rPr>
          <w:bCs/>
        </w:rPr>
        <w:t>Standard Capacity Cap; (IV) the Declared Winter Base Capacity does not exceed the Winter Base Capacity Cap; (V) the Declared Winter Supplemental Capacity does not exceed the Winter Supplemental Capacity Cap; (VI) the Declared Winter Capacity does not exceed the Winter Capacity Cap; and (b)</w:t>
      </w:r>
      <w:r>
        <w:t xml:space="preserve"> (I) the Declared Standard Capacity equals the sum of the Declared Standard Base Capacity and the Declared Standard Supplemental Capacity; and (II) the Declared Winter Capacity equals the sum of the Declared Winter Base Capacity and the Declared Winter Supplemental Capacity</w:t>
      </w:r>
      <w:r>
        <w:rPr>
          <w:bCs/>
        </w:rPr>
        <w:t xml:space="preserve">. If Seller does not so </w:t>
      </w:r>
      <w:r>
        <w:t xml:space="preserve">designate a Declared Base Capacity, Declared Supplemental Capacity, and Declared Capacity within </w:t>
      </w:r>
      <w:r>
        <w:rPr>
          <w:bCs/>
        </w:rPr>
        <w:t>the</w:t>
      </w:r>
      <w:r>
        <w:t xml:space="preserve"> 10 Business Days as described in the preceding sentence, those Declared Capacity Values will be determined as set forth in Section 1.3.A (</w:t>
      </w:r>
      <w:r>
        <w:rPr>
          <w:i/>
          <w:iCs/>
        </w:rPr>
        <w:t>Declared Base Capacity, Declared Supplemental Capacity, and Declared Capacity</w:t>
      </w:r>
      <w:r>
        <w:t>).</w:t>
      </w:r>
      <w:r>
        <w:rPr>
          <w:bCs/>
        </w:rPr>
        <w:t xml:space="preserve"> </w:t>
      </w:r>
    </w:p>
    <w:p w:rsidRPr="000057B0" w:rsidR="00F30D93" w:rsidP="00F30D93" w:rsidRDefault="00F30D93" w14:paraId="0250CF3E" w14:textId="5BB7C151">
      <w:pPr>
        <w:pStyle w:val="zG03"/>
        <w:tabs>
          <w:tab w:val="num" w:pos="497"/>
        </w:tabs>
        <w:ind w:left="180"/>
      </w:pPr>
      <w:r>
        <w:rPr>
          <w:b/>
          <w:bCs/>
        </w:rPr>
        <w:t>Establishing Declared Tier 1 and Tier 2 Supplemental Capacity.</w:t>
      </w:r>
      <w:r>
        <w:t xml:space="preserve"> A Declared Tier 1 Standard Supplemental Capacity, Declared Tier 1 Winter Supplemental Capacity, Declared Tier 2 Standard Supplemental Capacity, and Declared Tier 2 Winter Supplemental Capacity, if applicable, will be established in the same manner as the other Declared Capacities in accordance with this Section 1.3 (</w:t>
      </w:r>
      <w:r>
        <w:rPr>
          <w:i/>
          <w:iCs/>
        </w:rPr>
        <w:t>Declared Capacity</w:t>
      </w:r>
      <w:r>
        <w:t>).</w:t>
      </w:r>
    </w:p>
    <w:p w:rsidRPr="000057B0" w:rsidR="00F30D93" w:rsidP="00F30D93" w:rsidRDefault="00F30D93" w14:paraId="712B3F15" w14:textId="3380207C">
      <w:pPr>
        <w:pStyle w:val="zG03"/>
        <w:tabs>
          <w:tab w:val="num" w:pos="497"/>
        </w:tabs>
        <w:ind w:left="180"/>
      </w:pPr>
      <w:r>
        <w:rPr>
          <w:b/>
          <w:bCs/>
        </w:rPr>
        <w:t xml:space="preserve">Compliance with </w:t>
      </w:r>
      <w:r>
        <w:rPr>
          <w:b/>
        </w:rPr>
        <w:t>IA</w:t>
      </w:r>
      <w:r>
        <w:rPr>
          <w:b/>
          <w:bCs/>
        </w:rPr>
        <w:t xml:space="preserve"> Reactive Power Purchase Requirements.</w:t>
      </w:r>
      <w:r>
        <w:t xml:space="preserve"> Despite any other provision in this PPA, if the IA requires Seller to produce reactive power for the Electric System, the Declared Base Capacity must not exceed the capability of the Facility assuming that the maximum production of reactive power is being supplied to satisfy the IA requirements.</w:t>
      </w:r>
    </w:p>
    <w:p w:rsidRPr="000057B0" w:rsidR="00F30D93" w:rsidP="00F30D93" w:rsidRDefault="00F30D93" w14:paraId="2320065D" w14:textId="77A26199">
      <w:pPr>
        <w:pStyle w:val="zG03"/>
        <w:tabs>
          <w:tab w:val="num" w:pos="497"/>
        </w:tabs>
        <w:ind w:left="180"/>
      </w:pPr>
      <w:r>
        <w:rPr>
          <w:b/>
          <w:bCs/>
        </w:rPr>
        <w:t xml:space="preserve">Effectiveness of Changes to Declared Base Capacity or Declared Supplemental Capacity. </w:t>
      </w:r>
      <w:r>
        <w:t xml:space="preserve">Any change </w:t>
      </w:r>
      <w:r>
        <w:lastRenderedPageBreak/>
        <w:t>to the Declared Base Capacity or the Declared Supplemental Capacity will take effect on the first day of the Month immediately after the Month in which the new Declared Base Capacity or Declared Supplemental Capacity is determined and designated in accordance with this Section 1.3 (</w:t>
      </w:r>
      <w:r>
        <w:rPr>
          <w:i/>
          <w:iCs/>
        </w:rPr>
        <w:t>Declared Capacity</w:t>
      </w:r>
      <w:r>
        <w:t xml:space="preserve">).  </w:t>
      </w:r>
    </w:p>
    <w:p w:rsidRPr="000057B0" w:rsidR="00F30D93" w:rsidP="00F30D93" w:rsidRDefault="00F30D93" w14:paraId="1EA0E066" w14:textId="2B872A69">
      <w:pPr>
        <w:pStyle w:val="zG03"/>
        <w:tabs>
          <w:tab w:val="num" w:pos="497"/>
        </w:tabs>
        <w:ind w:left="180"/>
      </w:pPr>
      <w:r>
        <w:rPr>
          <w:b/>
          <w:bCs/>
        </w:rPr>
        <w:t>Capacity Shortfall Standard.</w:t>
      </w:r>
      <w:r>
        <w:t xml:space="preserve"> Despite any provision in this PPA, this Section 1.3 (</w:t>
      </w:r>
      <w:r>
        <w:rPr>
          <w:i/>
          <w:iCs/>
        </w:rPr>
        <w:t>Declared Capacity</w:t>
      </w:r>
      <w:r>
        <w:t>) is subject to the determination of a Capacity Shortfall in accordance with PPA Section 4.1.7 (</w:t>
      </w:r>
      <w:r>
        <w:rPr>
          <w:i/>
          <w:iCs/>
        </w:rPr>
        <w:t>Capacity Shortfall</w:t>
      </w:r>
      <w:r>
        <w:t xml:space="preserve">).  </w:t>
      </w:r>
    </w:p>
    <w:p w:rsidRPr="000057B0" w:rsidR="00F30D93" w:rsidP="00F30D93" w:rsidRDefault="00F30D93" w14:paraId="1023DF66" w14:textId="2734400F">
      <w:pPr>
        <w:pStyle w:val="zG02"/>
        <w:rPr>
          <w:b/>
          <w:bCs/>
          <w:snapToGrid w:val="0"/>
        </w:rPr>
      </w:pPr>
      <w:r>
        <w:rPr>
          <w:b/>
          <w:bCs/>
          <w:snapToGrid w:val="0"/>
        </w:rPr>
        <w:t xml:space="preserve">Tested Reliable Capacity Below Contracted Capacity Range; Capacity Buydown. </w:t>
      </w:r>
    </w:p>
    <w:p w:rsidRPr="000057B0" w:rsidR="00F30D93" w:rsidP="00F30D93" w:rsidRDefault="00F30D93" w14:paraId="4B3DF2DE" w14:textId="00FBFD20">
      <w:pPr>
        <w:pStyle w:val="zG03"/>
        <w:tabs>
          <w:tab w:val="num" w:pos="497"/>
        </w:tabs>
        <w:ind w:left="180"/>
        <w:rPr>
          <w:snapToGrid w:val="0"/>
        </w:rPr>
      </w:pPr>
      <w:r>
        <w:rPr>
          <w:b/>
          <w:bCs/>
          <w:snapToGrid w:val="0"/>
        </w:rPr>
        <w:t xml:space="preserve">Cure Plan and Cure Period. </w:t>
      </w:r>
      <w:r>
        <w:rPr>
          <w:snapToGrid w:val="0"/>
        </w:rPr>
        <w:t xml:space="preserve">In addition to and without limiting the remedies available to </w:t>
      </w:r>
      <w:r>
        <w:t xml:space="preserve">GPC </w:t>
      </w:r>
      <w:r>
        <w:rPr>
          <w:snapToGrid w:val="0"/>
        </w:rPr>
        <w:t>under PPA Section 16.1.9 (</w:t>
      </w:r>
      <w:r>
        <w:rPr>
          <w:i/>
          <w:iCs/>
        </w:rPr>
        <w:t>Inadequate Tested Reliable Capacity; Curing</w:t>
      </w:r>
      <w:r>
        <w:rPr>
          <w:snapToGrid w:val="0"/>
        </w:rPr>
        <w:t xml:space="preserve">), if a Performance Test indicates that the: (i) Tested Standard Reliable Capacity is less than the lower end of the then-effective Standard Capacity Range but greater than or equal to 70% of the Nominal Standard Capability (or other applicable percentage if </w:t>
      </w:r>
      <w:r>
        <w:t xml:space="preserve">GPC </w:t>
      </w:r>
      <w:r>
        <w:rPr>
          <w:snapToGrid w:val="0"/>
        </w:rPr>
        <w:t xml:space="preserve">makes the election provided under PPA Section </w:t>
      </w:r>
      <w:r>
        <w:t>16.1.9(iii) (</w:t>
      </w:r>
      <w:r>
        <w:rPr>
          <w:i/>
          <w:iCs/>
        </w:rPr>
        <w:t>GPC’s Right to Select a Remedy</w:t>
      </w:r>
      <w:r>
        <w:t>))</w:t>
      </w:r>
      <w:r>
        <w:rPr>
          <w:snapToGrid w:val="0"/>
        </w:rPr>
        <w:t xml:space="preserve">; or (ii) Tested Winter Reliable Capacity is less than the lower end of the then-effective Winter Capacity Range but greater than or equal to 70% of the Nominal Winter Capability (or other applicable percentage if GPC makes the election provided under PPA Section 16.1.9(iii), then Seller </w:t>
      </w:r>
      <w:r>
        <w:t xml:space="preserve">will </w:t>
      </w:r>
      <w:r>
        <w:rPr>
          <w:snapToGrid w:val="0"/>
        </w:rPr>
        <w:t xml:space="preserve">have 10 Days to submit to </w:t>
      </w:r>
      <w:r>
        <w:t xml:space="preserve">GPC </w:t>
      </w:r>
      <w:r>
        <w:rPr>
          <w:snapToGrid w:val="0"/>
        </w:rPr>
        <w:t xml:space="preserve">a cure plan for increasing the Facility’s capacity to a value equal to or greater than the lower limit of the then-effective applicable Contracted Capacity Range, which cure plan </w:t>
      </w:r>
      <w:r>
        <w:t xml:space="preserve">must </w:t>
      </w:r>
      <w:r>
        <w:rPr>
          <w:snapToGrid w:val="0"/>
        </w:rPr>
        <w:t xml:space="preserve">be reasonably acceptable to </w:t>
      </w:r>
      <w:r>
        <w:t xml:space="preserve">GPC </w:t>
      </w:r>
      <w:r>
        <w:rPr>
          <w:snapToGrid w:val="0"/>
        </w:rPr>
        <w:t>and include a reasonable cure period during which Seller may conduct additional Performance Tests. The cure period must</w:t>
      </w:r>
      <w:r>
        <w:t xml:space="preserve"> </w:t>
      </w:r>
      <w:r>
        <w:rPr>
          <w:snapToGrid w:val="0"/>
        </w:rPr>
        <w:t>not exceed 160 Days.</w:t>
      </w:r>
      <w:r>
        <w:rPr>
          <w:snapToGrid w:val="0"/>
          <w:u w:val="single"/>
        </w:rPr>
        <w:t xml:space="preserve"> </w:t>
      </w:r>
      <w:r>
        <w:rPr>
          <w:snapToGrid w:val="0"/>
        </w:rPr>
        <w:t>For the avoidance of doubt, if the inadequate Tested Reliable Capacity is the Tested Standard Reliable Capacity, the applicable Contracted Capacity Range is the Standard Capacity Range, and if the inadequate Tested Reliable Capacity is the Tested Winter Reliable Capacity, the applicable Contracted Capacity Range is the Winter Capacity Range. If both the Tested Standard Reliable Capacity and the Tested Winter Reliable Capacity are inadequate, the requirements under this Section 1.4 (</w:t>
      </w:r>
      <w:r>
        <w:rPr>
          <w:i/>
          <w:iCs/>
          <w:snapToGrid w:val="0"/>
        </w:rPr>
        <w:t>Tested Reliable Capacity Below Contracted Capacity Range; Capacity Buydown</w:t>
      </w:r>
      <w:r>
        <w:rPr>
          <w:snapToGrid w:val="0"/>
        </w:rPr>
        <w:t>) apply with respect to both inadequate Tested Reliable Capacities.</w:t>
      </w:r>
    </w:p>
    <w:p w:rsidRPr="000057B0" w:rsidR="00F30D93" w:rsidP="00F30D93" w:rsidRDefault="00F30D93" w14:paraId="229B0BF0" w14:textId="1A3F58D3">
      <w:pPr>
        <w:pStyle w:val="zG04"/>
        <w:rPr>
          <w:snapToGrid w:val="0"/>
        </w:rPr>
      </w:pPr>
      <w:r>
        <w:rPr>
          <w:b/>
          <w:bCs/>
          <w:snapToGrid w:val="0"/>
        </w:rPr>
        <w:t xml:space="preserve">Cure Period Extension. </w:t>
      </w:r>
      <w:r>
        <w:rPr>
          <w:snapToGrid w:val="0"/>
        </w:rPr>
        <w:t>If Seller establishes a cure plan under this Section 1.4.A (</w:t>
      </w:r>
      <w:r>
        <w:rPr>
          <w:i/>
          <w:iCs/>
          <w:snapToGrid w:val="0"/>
        </w:rPr>
        <w:t>Cure Plan and Cure Period</w:t>
      </w:r>
      <w:r>
        <w:rPr>
          <w:snapToGrid w:val="0"/>
        </w:rPr>
        <w:t>) but requires a cure period of more than 160 Days to cure the inadequate Tested Reliable Capacity, then the cure period will be extended for a reasonable additional period of time, but the extension must not exceed 420 Days</w:t>
      </w:r>
      <w:r>
        <w:t xml:space="preserve">. As a condition to GPC granting the cure period extension, by no later than 15 Days before the expiration of the 160-Day cure period, Seller must provide to GPC: </w:t>
      </w:r>
    </w:p>
    <w:p w:rsidRPr="000057B0" w:rsidR="00F30D93" w:rsidP="00F30D93" w:rsidRDefault="00F30D93" w14:paraId="3125AF22" w14:textId="654F7D8A">
      <w:pPr>
        <w:pStyle w:val="zG05"/>
        <w:rPr>
          <w:snapToGrid w:val="0"/>
        </w:rPr>
      </w:pPr>
      <w:r>
        <w:rPr>
          <w:snapToGrid w:val="0"/>
        </w:rPr>
        <w:t xml:space="preserve">A revised cure plan reasonably acceptable to </w:t>
      </w:r>
      <w:r>
        <w:t>GPC</w:t>
      </w:r>
      <w:r>
        <w:rPr>
          <w:snapToGrid w:val="0"/>
        </w:rPr>
        <w:t xml:space="preserve"> setting forth a reasonable extension of the cure period, not to exceed 420 Days; </w:t>
      </w:r>
    </w:p>
    <w:p w:rsidRPr="000057B0" w:rsidR="00F30D93" w:rsidP="00F30D93" w:rsidRDefault="00F30D93" w14:paraId="0DBC86FE" w14:textId="34912117">
      <w:pPr>
        <w:pStyle w:val="zG05"/>
        <w:rPr>
          <w:snapToGrid w:val="0"/>
        </w:rPr>
      </w:pPr>
      <w:r>
        <w:rPr>
          <w:snapToGrid w:val="0"/>
        </w:rPr>
        <w:t xml:space="preserve">A written certification reasonably acceptable to </w:t>
      </w:r>
      <w:r>
        <w:t xml:space="preserve">GPC </w:t>
      </w:r>
      <w:r>
        <w:rPr>
          <w:snapToGrid w:val="0"/>
        </w:rPr>
        <w:t xml:space="preserve">confirming that, for Seller to cure the inadequate Tested Reliable Capacity, Seller must be given a reasonable additional period; and </w:t>
      </w:r>
    </w:p>
    <w:p w:rsidRPr="000057B0" w:rsidR="00670E6F" w:rsidP="00F30D93" w:rsidRDefault="00F30D93" w14:paraId="5E9FA6D1" w14:textId="5F404EE8">
      <w:pPr>
        <w:pStyle w:val="zG05"/>
        <w:rPr>
          <w:snapToGrid w:val="0"/>
        </w:rPr>
      </w:pPr>
      <w:r>
        <w:rPr>
          <w:snapToGrid w:val="0"/>
        </w:rPr>
        <w:t xml:space="preserve">Seller’s election for the extended cure period to cover (to the extent of the degraded capacity) </w:t>
      </w:r>
      <w:r>
        <w:t xml:space="preserve">GPC’s </w:t>
      </w:r>
      <w:r>
        <w:rPr>
          <w:snapToGrid w:val="0"/>
        </w:rPr>
        <w:t xml:space="preserve">Schedules through an Alternate Resource in accordance with PPA Section </w:t>
      </w:r>
      <w:r>
        <w:t>4</w:t>
      </w:r>
      <w:r>
        <w:rPr>
          <w:snapToGrid w:val="0"/>
        </w:rPr>
        <w:t>.1.4</w:t>
      </w:r>
      <w:r>
        <w:t>(iii) (</w:t>
      </w:r>
      <w:r>
        <w:rPr>
          <w:i/>
          <w:iCs/>
        </w:rPr>
        <w:t>Requirements for Exercising Delivery Right from an Alternate Resource</w:t>
      </w:r>
      <w:r>
        <w:t>)</w:t>
      </w:r>
      <w:r>
        <w:rPr>
          <w:snapToGrid w:val="0"/>
        </w:rPr>
        <w:t xml:space="preserve">.  </w:t>
      </w:r>
    </w:p>
    <w:p w:rsidRPr="000057B0" w:rsidR="00F30D93" w:rsidP="00D26961" w:rsidRDefault="00F30D93" w14:paraId="1493775F" w14:textId="6A5F76FF">
      <w:pPr>
        <w:pStyle w:val="zG04"/>
        <w:numPr>
          <w:ilvl w:val="0"/>
          <w:numId w:val="0"/>
        </w:numPr>
        <w:ind w:left="504"/>
        <w:rPr>
          <w:snapToGrid w:val="0"/>
        </w:rPr>
      </w:pPr>
      <w:r>
        <w:rPr>
          <w:snapToGrid w:val="0"/>
        </w:rPr>
        <w:t xml:space="preserve">The total duration of any cure period, as extended, </w:t>
      </w:r>
      <w:r>
        <w:t xml:space="preserve">may </w:t>
      </w:r>
      <w:r>
        <w:rPr>
          <w:snapToGrid w:val="0"/>
        </w:rPr>
        <w:t xml:space="preserve">not exceed 540 Days. </w:t>
      </w:r>
    </w:p>
    <w:p w:rsidRPr="000057B0" w:rsidR="00F30D93" w:rsidP="00F30D93" w:rsidRDefault="00F30D93" w14:paraId="78573AB8" w14:textId="7768C2C3">
      <w:pPr>
        <w:pStyle w:val="zG03"/>
        <w:tabs>
          <w:tab w:val="num" w:pos="497"/>
        </w:tabs>
        <w:ind w:left="180"/>
        <w:rPr>
          <w:snapToGrid w:val="0"/>
        </w:rPr>
      </w:pPr>
      <w:r>
        <w:rPr>
          <w:b/>
          <w:bCs/>
          <w:snapToGrid w:val="0"/>
        </w:rPr>
        <w:t xml:space="preserve">Cured Inadequate Tested Reliable Capacity. </w:t>
      </w:r>
      <w:r>
        <w:rPr>
          <w:snapToGrid w:val="0"/>
        </w:rPr>
        <w:t xml:space="preserve">The inadequate Tested Reliable Capacity </w:t>
      </w:r>
      <w:r>
        <w:t xml:space="preserve">will </w:t>
      </w:r>
      <w:r>
        <w:rPr>
          <w:snapToGrid w:val="0"/>
        </w:rPr>
        <w:t>be deemed cured under this Section 1.4 (</w:t>
      </w:r>
      <w:r>
        <w:rPr>
          <w:i/>
          <w:iCs/>
          <w:snapToGrid w:val="0"/>
        </w:rPr>
        <w:t>Tested Reliable Capacity Below Contracted Capacity Range; Capacity Buydown</w:t>
      </w:r>
      <w:r>
        <w:rPr>
          <w:snapToGrid w:val="0"/>
        </w:rPr>
        <w:t xml:space="preserve">) only if: (i) Seller provides </w:t>
      </w:r>
      <w:r>
        <w:t xml:space="preserve">GPC </w:t>
      </w:r>
      <w:r>
        <w:rPr>
          <w:snapToGrid w:val="0"/>
        </w:rPr>
        <w:t xml:space="preserve">with a written certification reasonably acceptable to </w:t>
      </w:r>
      <w:r>
        <w:t xml:space="preserve">GPC </w:t>
      </w:r>
      <w:r>
        <w:rPr>
          <w:snapToGrid w:val="0"/>
        </w:rPr>
        <w:t>confirming that the inadequate Tested Reliable Capacity has been cured; and (ii) the Tested Reliable Capacity, as demonstrated by the most recent Performance Test, is increased to a value equal to or greater than the lower limit of the applicable Contracted Capacity Range then in effect.</w:t>
      </w:r>
      <w:r>
        <w:t xml:space="preserve"> </w:t>
      </w:r>
      <w:r>
        <w:rPr>
          <w:snapToGrid w:val="0"/>
        </w:rPr>
        <w:t xml:space="preserve">Throughout the duration of any cure period, the applicable Declared Capacity will be deemed to be the applicable Tested Reliable Capacity determined </w:t>
      </w:r>
      <w:r>
        <w:t>in accordance with</w:t>
      </w:r>
      <w:r>
        <w:rPr>
          <w:snapToGrid w:val="0"/>
        </w:rPr>
        <w:t xml:space="preserve"> the most recent Performance Test. For the avoidance of doubt, if the inadequate Tested Reliable Capacity is the Tested Standard Reliable Capacity, the Declared Standard Capacity will be deemed to be the Tested Standard Reliable Capacity determined in accordance with the most recent Performance Test, and if the inadequate Tested Reliable Capacity is the Tested Winter Reliable Capacity, the Declared Winter Capacity will be deemed to be the Tested Winter Reliable Capacity determined in accordance with the most recent Performance Test.</w:t>
      </w:r>
    </w:p>
    <w:p w:rsidRPr="009019D2" w:rsidR="00F30D93" w:rsidP="00F30D93" w:rsidRDefault="00F30D93" w14:paraId="4574A26C" w14:textId="6F97F741">
      <w:pPr>
        <w:pStyle w:val="zG03"/>
        <w:tabs>
          <w:tab w:val="num" w:pos="497"/>
        </w:tabs>
        <w:ind w:left="180"/>
        <w:rPr>
          <w:snapToGrid w:val="0"/>
        </w:rPr>
      </w:pPr>
      <w:r>
        <w:rPr>
          <w:b/>
          <w:bCs/>
          <w:snapToGrid w:val="0"/>
        </w:rPr>
        <w:t>Buydown Liquidated Damages.</w:t>
      </w:r>
      <w:r>
        <w:rPr>
          <w:snapToGrid w:val="0"/>
        </w:rPr>
        <w:t xml:space="preserve"> If Seller fails to: (i) establish the cure plan within the required 10-Day period set forth in Section 1.4.A (</w:t>
      </w:r>
      <w:r>
        <w:rPr>
          <w:i/>
          <w:iCs/>
          <w:snapToGrid w:val="0"/>
        </w:rPr>
        <w:t>Cure Plan and Cure Period</w:t>
      </w:r>
      <w:r>
        <w:rPr>
          <w:snapToGrid w:val="0"/>
        </w:rPr>
        <w:t>) or, if applicable, establish the revised cure plan within the required 15-Day period set forth in Section 1.4.A(i) (</w:t>
      </w:r>
      <w:r>
        <w:rPr>
          <w:i/>
          <w:iCs/>
          <w:snapToGrid w:val="0"/>
        </w:rPr>
        <w:t>Cure Period Extension</w:t>
      </w:r>
      <w:r>
        <w:rPr>
          <w:snapToGrid w:val="0"/>
        </w:rPr>
        <w:t xml:space="preserve">) for a cure period extension; (ii) </w:t>
      </w:r>
      <w:r>
        <w:rPr>
          <w:snapToGrid w:val="0"/>
        </w:rPr>
        <w:lastRenderedPageBreak/>
        <w:t xml:space="preserve">diligently implement the cure plan (including implementation of actions as </w:t>
      </w:r>
      <w:r>
        <w:t>GPC</w:t>
      </w:r>
      <w:r>
        <w:rPr>
          <w:snapToGrid w:val="0"/>
        </w:rPr>
        <w:t xml:space="preserve"> may reasonably request); or (iii) cure the inadequate Tested Reliable Capacity within the applicable cure period, then Seller </w:t>
      </w:r>
      <w:r>
        <w:t>must</w:t>
      </w:r>
      <w:r>
        <w:rPr>
          <w:snapToGrid w:val="0"/>
        </w:rPr>
        <w:t xml:space="preserve"> pay </w:t>
      </w:r>
      <w:r>
        <w:t>GPC</w:t>
      </w:r>
      <w:r>
        <w:rPr>
          <w:snapToGrid w:val="0"/>
        </w:rPr>
        <w:t>, as liquidated damages, the buydown payment for the corresponding Annual Period as shown in Table B-1 (</w:t>
      </w:r>
      <w:r>
        <w:rPr>
          <w:i/>
          <w:iCs/>
          <w:snapToGrid w:val="0"/>
        </w:rPr>
        <w:t>Buydown Payment for Capacity Reduction Below Minimum Guarantee</w:t>
      </w:r>
      <w:r>
        <w:rPr>
          <w:snapToGrid w:val="0"/>
        </w:rPr>
        <w:t xml:space="preserve">) corresponding to the Annual Period immediately following the Annual Period in which the most recent Performance Test was conducted, based on the difference (in kW) between (i) the then-effective lower limit of the Standard Capacity Range and the then-effective Tested Standard Reliable Capacity; or (ii) the then-effective lower limit of the Winter Capacity Range and the then-effective Tested Winter Reliable Capacity, as applicable; </w:t>
      </w:r>
      <w:r>
        <w:rPr>
          <w:i/>
          <w:iCs/>
          <w:snapToGrid w:val="0"/>
        </w:rPr>
        <w:t>provided however</w:t>
      </w:r>
      <w:r>
        <w:rPr>
          <w:snapToGrid w:val="0"/>
        </w:rPr>
        <w:t>, that if both the Tested Standard Reliable Capacity and the Tested Winter Reliable Capacity are inadequate, then Seller shall pay to GPC the liquidated damages buydown payment shown in Table B-1 for whichever of the foregoing (i) or (ii) results in the higher amount of buydown liquidated damages. Additionally, upon Seller making the required buydown payment under this Section 1.4.C (</w:t>
      </w:r>
      <w:r>
        <w:rPr>
          <w:i/>
          <w:iCs/>
          <w:snapToGrid w:val="0"/>
        </w:rPr>
        <w:t>Buydown Liquidated Damages</w:t>
      </w:r>
      <w:r>
        <w:rPr>
          <w:snapToGrid w:val="0"/>
        </w:rPr>
        <w:t xml:space="preserve">): (a) the lower limit of the then-effective applicable Contracted Capacity Range </w:t>
      </w:r>
      <w:r>
        <w:t>will</w:t>
      </w:r>
      <w:r>
        <w:rPr>
          <w:snapToGrid w:val="0"/>
        </w:rPr>
        <w:t xml:space="preserve"> be reset at the applicable Tested Reliable Capacity demonstrated in the most recent Performance Test; and (b) the upper limit of the then-effective applicable Contracted Capacity Range will be lowered by the same amount that the lower limit has been reduced. However, any resetting of the lower and upper limits of that Contracted Capacity Range </w:t>
      </w:r>
      <w:r>
        <w:t>will</w:t>
      </w:r>
      <w:r>
        <w:rPr>
          <w:snapToGrid w:val="0"/>
        </w:rPr>
        <w:t xml:space="preserve"> not limit or modify GPC’s rights or remedies under PPA Section 16.1.9 (</w:t>
      </w:r>
      <w:r>
        <w:rPr>
          <w:i/>
          <w:iCs/>
          <w:snapToGrid w:val="0"/>
        </w:rPr>
        <w:t>Inadequate Tested Reliable Capacity; Curing</w:t>
      </w:r>
      <w:r>
        <w:rPr>
          <w:snapToGrid w:val="0"/>
        </w:rPr>
        <w:t xml:space="preserve">). Subject to PPA Section 16.1.9, Seller’s payment of buydown liquidated damages </w:t>
      </w:r>
      <w:r>
        <w:t>in accordance with</w:t>
      </w:r>
      <w:r>
        <w:rPr>
          <w:snapToGrid w:val="0"/>
        </w:rPr>
        <w:t xml:space="preserve"> this Section 1.4.C </w:t>
      </w:r>
      <w:r>
        <w:t>will</w:t>
      </w:r>
      <w:r>
        <w:rPr>
          <w:snapToGrid w:val="0"/>
        </w:rPr>
        <w:t xml:space="preserve"> be GPC’s sole remedy for a reduction of any Tested Reliable Capacity below the lower end of the then-effective applicable Contracted Capacity Range. </w:t>
      </w:r>
    </w:p>
    <w:p w:rsidR="00D96F4D" w:rsidP="00D96F4D" w:rsidRDefault="00D96F4D" w14:paraId="11346BF9" w14:textId="71F0673B">
      <w:pPr>
        <w:pStyle w:val="zG03"/>
        <w:numPr>
          <w:ilvl w:val="0"/>
          <w:numId w:val="0"/>
        </w:numPr>
        <w:ind w:left="180"/>
        <w:rPr>
          <w:b/>
        </w:rPr>
      </w:pPr>
      <w:r>
        <w:rPr>
          <w:b/>
          <w:highlight w:val="cyan"/>
        </w:rPr>
        <w:t>[</w:t>
      </w:r>
      <w:r>
        <w:rPr>
          <w:b/>
          <w:bCs/>
          <w:i/>
          <w:iCs/>
          <w:highlight w:val="cyan"/>
          <w:u w:val="single"/>
        </w:rPr>
        <w:t>Note to Bidders</w:t>
      </w:r>
      <w:r>
        <w:rPr>
          <w:b/>
          <w:bCs/>
          <w:i/>
          <w:iCs/>
          <w:highlight w:val="cyan"/>
        </w:rPr>
        <w:t>: Table B-1 will be populated using the applicable amounts stated in Attachment 1 (Performance Security and Liquidated Damages Summary) of RFP Exhibit D (Summary of Fees, Costs, Security, and Deadlines)</w:t>
      </w:r>
      <w:r>
        <w:rPr>
          <w:b/>
          <w:i/>
          <w:iCs/>
          <w:highlight w:val="cyan"/>
        </w:rPr>
        <w:t>.</w:t>
      </w:r>
      <w:r>
        <w:rPr>
          <w:b/>
          <w:highlight w:val="cyan"/>
        </w:rPr>
        <w:t>]</w:t>
      </w:r>
    </w:p>
    <w:p w:rsidRPr="0012299D" w:rsidR="00774440" w:rsidP="00D96F4D" w:rsidRDefault="00774440" w14:paraId="331E9794" w14:textId="77777777">
      <w:pPr>
        <w:pStyle w:val="zG03"/>
        <w:numPr>
          <w:ilvl w:val="0"/>
          <w:numId w:val="0"/>
        </w:numPr>
        <w:ind w:left="180"/>
        <w:rPr>
          <w:b/>
          <w:snapToGrid w:val="0"/>
        </w:rPr>
      </w:pPr>
    </w:p>
    <w:tbl>
      <w:tblPr>
        <w:tblStyle w:val="TableGrid"/>
        <w:tblW w:w="0" w:type="auto"/>
        <w:tblInd w:w="134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800"/>
        <w:gridCol w:w="4770"/>
      </w:tblGrid>
      <w:tr w:rsidR="001C07F0" w:rsidTr="006A1845" w14:paraId="536EB606" w14:textId="77777777">
        <w:trPr>
          <w:trHeight w:val="1090"/>
        </w:trPr>
        <w:tc>
          <w:tcPr>
            <w:tcW w:w="6570" w:type="dxa"/>
            <w:gridSpan w:val="2"/>
            <w:shd w:val="clear" w:color="auto" w:fill="D9D9D9" w:themeFill="background1" w:themeFillShade="D9"/>
          </w:tcPr>
          <w:p w:rsidRPr="000057B0" w:rsidR="001C07F0" w:rsidRDefault="001C07F0" w14:paraId="00B2DAA4" w14:textId="77777777">
            <w:pPr>
              <w:adjustRightInd w:val="0"/>
              <w:spacing w:before="0" w:line="360" w:lineRule="atLeast"/>
              <w:jc w:val="center"/>
              <w:textAlignment w:val="baseline"/>
              <w:rPr>
                <w:rFonts w:eastAsia="Times New Roman" w:cs="Arial"/>
                <w:b/>
                <w:bCs/>
              </w:rPr>
            </w:pPr>
            <w:r>
              <w:rPr>
                <w:rFonts w:eastAsia="Times New Roman" w:cs="Arial"/>
                <w:b/>
              </w:rPr>
              <w:t>Table B-1</w:t>
            </w:r>
          </w:p>
          <w:p w:rsidRPr="000057B0" w:rsidR="001C07F0" w:rsidP="004725B5" w:rsidRDefault="001C07F0" w14:paraId="4ECAC184" w14:textId="687A6772">
            <w:pPr>
              <w:adjustRightInd w:val="0"/>
              <w:spacing w:before="0" w:line="360" w:lineRule="atLeast"/>
              <w:jc w:val="center"/>
              <w:textAlignment w:val="baseline"/>
              <w:rPr>
                <w:rFonts w:eastAsia="Times New Roman" w:cs="Arial"/>
                <w:b/>
                <w:bCs/>
              </w:rPr>
            </w:pPr>
            <w:r>
              <w:rPr>
                <w:rFonts w:eastAsia="Times New Roman" w:cs="Arial"/>
                <w:b/>
                <w:bCs/>
              </w:rPr>
              <w:t>Buydown Payment for Capacity Reduction Below Minimum Guarantee</w:t>
            </w:r>
          </w:p>
        </w:tc>
      </w:tr>
      <w:tr w:rsidR="008C74D4" w:rsidTr="006A1845" w14:paraId="6FA3C7FF" w14:textId="77777777">
        <w:tc>
          <w:tcPr>
            <w:tcW w:w="1800" w:type="dxa"/>
            <w:shd w:val="clear" w:color="auto" w:fill="F2F2F2" w:themeFill="background1" w:themeFillShade="F2"/>
          </w:tcPr>
          <w:p w:rsidRPr="004B6C20" w:rsidR="008C74D4" w:rsidRDefault="008C74D4" w14:paraId="0BDF5142" w14:textId="77777777">
            <w:pPr>
              <w:adjustRightInd w:val="0"/>
              <w:spacing w:before="0" w:line="360" w:lineRule="atLeast"/>
              <w:jc w:val="center"/>
              <w:textAlignment w:val="baseline"/>
              <w:rPr>
                <w:rFonts w:eastAsia="Times New Roman" w:cs="Arial"/>
                <w:b/>
                <w:bCs/>
              </w:rPr>
            </w:pPr>
            <w:r>
              <w:rPr>
                <w:rFonts w:eastAsia="Times New Roman" w:cs="Arial"/>
                <w:b/>
                <w:bCs/>
              </w:rPr>
              <w:t xml:space="preserve">Annual Period </w:t>
            </w:r>
          </w:p>
        </w:tc>
        <w:tc>
          <w:tcPr>
            <w:tcW w:w="4770" w:type="dxa"/>
            <w:shd w:val="clear" w:color="auto" w:fill="F2F2F2" w:themeFill="background1" w:themeFillShade="F2"/>
          </w:tcPr>
          <w:p w:rsidRPr="004B6C20" w:rsidR="008C74D4" w:rsidRDefault="008C74D4" w14:paraId="113D16E3" w14:textId="0E75EFCE">
            <w:pPr>
              <w:adjustRightInd w:val="0"/>
              <w:spacing w:before="0" w:line="360" w:lineRule="atLeast"/>
              <w:jc w:val="center"/>
              <w:textAlignment w:val="baseline"/>
              <w:rPr>
                <w:rFonts w:eastAsia="Times New Roman" w:cs="Arial"/>
                <w:b/>
                <w:bCs/>
              </w:rPr>
            </w:pPr>
            <w:r>
              <w:rPr>
                <w:rFonts w:eastAsia="Times New Roman" w:cs="Arial"/>
                <w:b/>
                <w:bCs/>
              </w:rPr>
              <w:t>Buydown Payment ($/kW)</w:t>
            </w:r>
          </w:p>
        </w:tc>
      </w:tr>
      <w:tr w:rsidR="008C74D4" w:rsidTr="006A1845" w14:paraId="4701721F" w14:textId="77777777">
        <w:tc>
          <w:tcPr>
            <w:tcW w:w="1800" w:type="dxa"/>
          </w:tcPr>
          <w:p w:rsidR="008C74D4" w:rsidRDefault="008C74D4" w14:paraId="793C710D" w14:textId="77777777">
            <w:pPr>
              <w:adjustRightInd w:val="0"/>
              <w:spacing w:before="0" w:line="360" w:lineRule="atLeast"/>
              <w:jc w:val="center"/>
              <w:textAlignment w:val="baseline"/>
              <w:rPr>
                <w:rFonts w:eastAsia="Times New Roman" w:cs="Arial"/>
              </w:rPr>
            </w:pPr>
            <w:r>
              <w:rPr>
                <w:rFonts w:eastAsia="Times New Roman" w:cs="Arial"/>
              </w:rPr>
              <w:t>1-5</w:t>
            </w:r>
          </w:p>
        </w:tc>
        <w:tc>
          <w:tcPr>
            <w:tcW w:w="4770" w:type="dxa"/>
          </w:tcPr>
          <w:p w:rsidR="008C74D4" w:rsidRDefault="008C74D4" w14:paraId="1ECA03D3" w14:textId="77777777">
            <w:pPr>
              <w:adjustRightInd w:val="0"/>
              <w:spacing w:before="0" w:line="360" w:lineRule="atLeast"/>
              <w:jc w:val="center"/>
              <w:textAlignment w:val="baseline"/>
              <w:rPr>
                <w:rFonts w:eastAsia="Times New Roman" w:cs="Arial"/>
              </w:rPr>
            </w:pPr>
            <w:r>
              <w:rPr>
                <w:rFonts w:eastAsia="Times New Roman" w:cs="Arial"/>
                <w:highlight w:val="yellow"/>
              </w:rPr>
              <w:t>#Amount</w:t>
            </w:r>
          </w:p>
        </w:tc>
      </w:tr>
      <w:tr w:rsidR="008C74D4" w:rsidTr="006A1845" w14:paraId="114EA994" w14:textId="77777777">
        <w:tc>
          <w:tcPr>
            <w:tcW w:w="1800" w:type="dxa"/>
          </w:tcPr>
          <w:p w:rsidR="008C74D4" w:rsidRDefault="008C74D4" w14:paraId="1D83D925" w14:textId="77777777">
            <w:pPr>
              <w:adjustRightInd w:val="0"/>
              <w:spacing w:before="0" w:line="360" w:lineRule="atLeast"/>
              <w:jc w:val="center"/>
              <w:textAlignment w:val="baseline"/>
              <w:rPr>
                <w:rFonts w:eastAsia="Times New Roman" w:cs="Arial"/>
              </w:rPr>
            </w:pPr>
            <w:r>
              <w:rPr>
                <w:rFonts w:eastAsia="Times New Roman" w:cs="Arial"/>
                <w:highlight w:val="yellow"/>
              </w:rPr>
              <w:t>#6-10</w:t>
            </w:r>
          </w:p>
        </w:tc>
        <w:tc>
          <w:tcPr>
            <w:tcW w:w="4770" w:type="dxa"/>
          </w:tcPr>
          <w:p w:rsidR="008C74D4" w:rsidRDefault="008C74D4" w14:paraId="662E17A9" w14:textId="77777777">
            <w:pPr>
              <w:adjustRightInd w:val="0"/>
              <w:spacing w:before="0" w:line="360" w:lineRule="atLeast"/>
              <w:jc w:val="center"/>
              <w:textAlignment w:val="baseline"/>
              <w:rPr>
                <w:rFonts w:eastAsia="Times New Roman" w:cs="Arial"/>
              </w:rPr>
            </w:pPr>
            <w:r>
              <w:rPr>
                <w:rFonts w:eastAsia="Times New Roman" w:cs="Arial"/>
                <w:highlight w:val="yellow"/>
              </w:rPr>
              <w:t>#Amount</w:t>
            </w:r>
          </w:p>
        </w:tc>
      </w:tr>
      <w:tr w:rsidR="008C74D4" w:rsidTr="006A1845" w14:paraId="5C402F00" w14:textId="77777777">
        <w:tc>
          <w:tcPr>
            <w:tcW w:w="1800" w:type="dxa"/>
          </w:tcPr>
          <w:p w:rsidR="008C74D4" w:rsidRDefault="008C74D4" w14:paraId="11CC5DEC" w14:textId="77777777">
            <w:pPr>
              <w:adjustRightInd w:val="0"/>
              <w:spacing w:before="0" w:line="360" w:lineRule="atLeast"/>
              <w:jc w:val="center"/>
              <w:textAlignment w:val="baseline"/>
              <w:rPr>
                <w:rFonts w:eastAsia="Times New Roman" w:cs="Arial"/>
              </w:rPr>
            </w:pPr>
            <w:r>
              <w:rPr>
                <w:rFonts w:eastAsia="Times New Roman" w:cs="Arial"/>
                <w:highlight w:val="yellow"/>
              </w:rPr>
              <w:t>#11-15</w:t>
            </w:r>
          </w:p>
        </w:tc>
        <w:tc>
          <w:tcPr>
            <w:tcW w:w="4770" w:type="dxa"/>
          </w:tcPr>
          <w:p w:rsidR="008C74D4" w:rsidRDefault="008C74D4" w14:paraId="683BE154" w14:textId="77777777">
            <w:pPr>
              <w:adjustRightInd w:val="0"/>
              <w:spacing w:before="0" w:line="360" w:lineRule="atLeast"/>
              <w:jc w:val="center"/>
              <w:textAlignment w:val="baseline"/>
              <w:rPr>
                <w:rFonts w:eastAsia="Times New Roman" w:cs="Arial"/>
              </w:rPr>
            </w:pPr>
            <w:r>
              <w:rPr>
                <w:rFonts w:eastAsia="Times New Roman" w:cs="Arial"/>
                <w:highlight w:val="yellow"/>
              </w:rPr>
              <w:t>#Amount</w:t>
            </w:r>
          </w:p>
        </w:tc>
      </w:tr>
      <w:tr w:rsidR="008C74D4" w:rsidTr="006A1845" w14:paraId="356D1AD7" w14:textId="77777777">
        <w:tc>
          <w:tcPr>
            <w:tcW w:w="1800" w:type="dxa"/>
          </w:tcPr>
          <w:p w:rsidR="008C74D4" w:rsidRDefault="008C74D4" w14:paraId="25580AE3" w14:textId="77777777">
            <w:pPr>
              <w:adjustRightInd w:val="0"/>
              <w:spacing w:before="0" w:line="360" w:lineRule="atLeast"/>
              <w:jc w:val="center"/>
              <w:textAlignment w:val="baseline"/>
              <w:rPr>
                <w:rFonts w:eastAsia="Times New Roman" w:cs="Arial"/>
              </w:rPr>
            </w:pPr>
            <w:r>
              <w:rPr>
                <w:rFonts w:eastAsia="Times New Roman" w:cs="Arial"/>
                <w:highlight w:val="yellow"/>
              </w:rPr>
              <w:t>#16-20</w:t>
            </w:r>
          </w:p>
        </w:tc>
        <w:tc>
          <w:tcPr>
            <w:tcW w:w="4770" w:type="dxa"/>
          </w:tcPr>
          <w:p w:rsidR="008C74D4" w:rsidRDefault="008C74D4" w14:paraId="3DA671EB" w14:textId="77777777">
            <w:pPr>
              <w:adjustRightInd w:val="0"/>
              <w:spacing w:before="0" w:line="360" w:lineRule="atLeast"/>
              <w:jc w:val="center"/>
              <w:textAlignment w:val="baseline"/>
              <w:rPr>
                <w:rFonts w:eastAsia="Times New Roman" w:cs="Arial"/>
              </w:rPr>
            </w:pPr>
            <w:r>
              <w:rPr>
                <w:rFonts w:eastAsia="Times New Roman" w:cs="Arial"/>
                <w:highlight w:val="yellow"/>
              </w:rPr>
              <w:t>#Amount</w:t>
            </w:r>
          </w:p>
        </w:tc>
      </w:tr>
      <w:tr w:rsidR="00EC7609" w:rsidTr="006A1845" w14:paraId="122A5437" w14:textId="77777777">
        <w:tc>
          <w:tcPr>
            <w:tcW w:w="1800" w:type="dxa"/>
          </w:tcPr>
          <w:p w:rsidRPr="004B6C20" w:rsidR="00EC7609" w:rsidP="00EC7609" w:rsidRDefault="00EC7609" w14:paraId="657AE5F3" w14:textId="3B0F04F5">
            <w:pPr>
              <w:adjustRightInd w:val="0"/>
              <w:spacing w:before="0" w:line="360" w:lineRule="atLeast"/>
              <w:jc w:val="center"/>
              <w:textAlignment w:val="baseline"/>
              <w:rPr>
                <w:rFonts w:eastAsia="Times New Roman" w:cs="Arial"/>
                <w:highlight w:val="yellow"/>
              </w:rPr>
            </w:pPr>
            <w:r>
              <w:rPr>
                <w:rFonts w:eastAsia="Times New Roman" w:cs="Arial"/>
                <w:highlight w:val="yellow"/>
              </w:rPr>
              <w:t>#21-25</w:t>
            </w:r>
          </w:p>
        </w:tc>
        <w:tc>
          <w:tcPr>
            <w:tcW w:w="4770" w:type="dxa"/>
          </w:tcPr>
          <w:p w:rsidRPr="004B6C20" w:rsidR="00EC7609" w:rsidP="00EC7609" w:rsidRDefault="00EC7609" w14:paraId="36D48620" w14:textId="4A3DF376">
            <w:pPr>
              <w:adjustRightInd w:val="0"/>
              <w:spacing w:before="0" w:line="360" w:lineRule="atLeast"/>
              <w:jc w:val="center"/>
              <w:textAlignment w:val="baseline"/>
              <w:rPr>
                <w:rFonts w:eastAsia="Times New Roman" w:cs="Arial"/>
                <w:highlight w:val="yellow"/>
              </w:rPr>
            </w:pPr>
            <w:r>
              <w:rPr>
                <w:rFonts w:eastAsia="Times New Roman" w:cs="Arial"/>
                <w:highlight w:val="yellow"/>
              </w:rPr>
              <w:t>#Amount</w:t>
            </w:r>
          </w:p>
        </w:tc>
      </w:tr>
      <w:tr w:rsidR="00EC7609" w:rsidTr="006A1845" w14:paraId="67F9D48D" w14:textId="77777777">
        <w:tc>
          <w:tcPr>
            <w:tcW w:w="1800" w:type="dxa"/>
          </w:tcPr>
          <w:p w:rsidRPr="004B6C20" w:rsidR="00EC7609" w:rsidP="00EC7609" w:rsidRDefault="00EC7609" w14:paraId="49988E1F" w14:textId="45B1C225">
            <w:pPr>
              <w:adjustRightInd w:val="0"/>
              <w:spacing w:before="0" w:line="360" w:lineRule="atLeast"/>
              <w:jc w:val="center"/>
              <w:textAlignment w:val="baseline"/>
              <w:rPr>
                <w:rFonts w:eastAsia="Times New Roman" w:cs="Arial"/>
                <w:highlight w:val="yellow"/>
              </w:rPr>
            </w:pPr>
            <w:r>
              <w:rPr>
                <w:rFonts w:eastAsia="Times New Roman" w:cs="Arial"/>
                <w:highlight w:val="yellow"/>
              </w:rPr>
              <w:t>#26-30</w:t>
            </w:r>
          </w:p>
        </w:tc>
        <w:tc>
          <w:tcPr>
            <w:tcW w:w="4770" w:type="dxa"/>
          </w:tcPr>
          <w:p w:rsidRPr="004B6C20" w:rsidR="00EC7609" w:rsidP="00EC7609" w:rsidRDefault="00EC7609" w14:paraId="7C9129B4" w14:textId="4F71DBD5">
            <w:pPr>
              <w:adjustRightInd w:val="0"/>
              <w:spacing w:before="0" w:line="360" w:lineRule="atLeast"/>
              <w:jc w:val="center"/>
              <w:textAlignment w:val="baseline"/>
              <w:rPr>
                <w:rFonts w:eastAsia="Times New Roman" w:cs="Arial"/>
                <w:highlight w:val="yellow"/>
              </w:rPr>
            </w:pPr>
            <w:r>
              <w:rPr>
                <w:rFonts w:eastAsia="Times New Roman" w:cs="Arial"/>
                <w:highlight w:val="yellow"/>
              </w:rPr>
              <w:t>#Amount</w:t>
            </w:r>
          </w:p>
        </w:tc>
      </w:tr>
    </w:tbl>
    <w:p w:rsidR="00F30D93" w:rsidP="00BA40BD" w:rsidRDefault="00F30D93" w14:paraId="58D6C871" w14:textId="382B0E52">
      <w:pPr>
        <w:pStyle w:val="zG02"/>
        <w:numPr>
          <w:ilvl w:val="0"/>
          <w:numId w:val="0"/>
        </w:numPr>
      </w:pPr>
      <w:r>
        <w:t>If the cure plan fails to restore the capacity to a value equal to or greater than the lower limit of the then-effective applicable Contracted Capacity Range as set forth in Section 1.1.B (</w:t>
      </w:r>
      <w:r>
        <w:rPr>
          <w:i/>
          <w:iCs/>
        </w:rPr>
        <w:t>Contracted Capacity Range</w:t>
      </w:r>
      <w:r>
        <w:t>) and the applicable Contracted Capacity Range is reset (lowered) as set forth above in this Section 1.4.C, and following that Contracted Capacity Range reset, Seller restores the capacity to a value equal to or greater than the lower limit of the immediately previously effective applicable Contracted Capacity Range as set forth in Section 1.1.B: (I) GPC will not be required to refund to Seller any buydown liquidated damages Seller paid under this Section 1.4.C; and (II) Seller must offer to GPC the restored capacity increment at the Annual Capacity Price and in accordance with the capacity payment terms set forth in this Exhibit B. If GPC accepts Seller’s offer, the then-effective applicable Contracted Capacity Range will be reset (raised) by an amount equal to the portion of the restored capacity increment that GPC accepted. If GPC does not accept the offer, that Contracted Capacity Range will not be reset, but Seller will be free to sell the restored capacity increment to third parties, despite the provisions of PPA Sections 4.1.5 (</w:t>
      </w:r>
      <w:r>
        <w:rPr>
          <w:i/>
          <w:iCs/>
        </w:rPr>
        <w:t>Declared Capacity and GPC’s Scheduling Right for Facility Energy Output and Ancillary Services</w:t>
      </w:r>
      <w:r>
        <w:t>) and 12.2.3 (</w:t>
      </w:r>
      <w:r>
        <w:rPr>
          <w:i/>
          <w:iCs/>
        </w:rPr>
        <w:t>Records and Energy Scheduling</w:t>
      </w:r>
      <w:r>
        <w:t xml:space="preserve">) that require Seller to deliver the entire output to GPC. However, in such event, </w:t>
      </w:r>
      <w:r>
        <w:lastRenderedPageBreak/>
        <w:t xml:space="preserve">GPC will, at all times during the remainder of the Term, have the right to Schedule the entire energy output of the Facility times a fraction the numerator of which is the upper limit of the reset (lowered) applicable Contracted Capacity Range and the denominator of which is the most recent applicable Tested Reliable Capacity.  </w:t>
      </w:r>
    </w:p>
    <w:p w:rsidRPr="00270AEB" w:rsidR="00F30D93" w:rsidP="00F30D93" w:rsidRDefault="00F30D93" w14:paraId="6C5A5CB8" w14:textId="39FC8D08">
      <w:pPr>
        <w:pStyle w:val="zG02"/>
        <w:rPr>
          <w:b/>
          <w:bCs/>
        </w:rPr>
      </w:pPr>
      <w:r>
        <w:rPr>
          <w:b/>
          <w:bCs/>
        </w:rPr>
        <w:t xml:space="preserve">Capacity Pricing. </w:t>
      </w:r>
    </w:p>
    <w:p w:rsidRPr="00F10071" w:rsidR="00F30D93" w:rsidP="00F30D93" w:rsidRDefault="00F30D93" w14:paraId="61A3FA8C" w14:textId="38F1D3C7">
      <w:pPr>
        <w:pStyle w:val="zG03"/>
        <w:tabs>
          <w:tab w:val="num" w:pos="497"/>
        </w:tabs>
        <w:ind w:left="180"/>
      </w:pPr>
      <w:r>
        <w:rPr>
          <w:b/>
          <w:bCs/>
        </w:rPr>
        <w:t xml:space="preserve">Annual Capacity Price. </w:t>
      </w:r>
      <w:r>
        <w:t>Beginning on the Delivery Commencement Date, the Annual Capacity Price for the first Annual Period will be $</w:t>
      </w:r>
      <w:r>
        <w:rPr>
          <w:highlight w:val="yellow"/>
        </w:rPr>
        <w:t>#Price</w:t>
      </w:r>
      <w:r>
        <w:t>/kW-year and will increase per Table B-2 (</w:t>
      </w:r>
      <w:r>
        <w:rPr>
          <w:i/>
        </w:rPr>
        <w:t>Annual Capacity Price</w:t>
      </w:r>
      <w:r>
        <w:t>) on December 1 of each Annual Period after the first Annual Period.</w:t>
      </w:r>
    </w:p>
    <w:p w:rsidRPr="00F10071" w:rsidR="00F30D93" w:rsidP="00F30D93" w:rsidRDefault="00F30D93" w14:paraId="6ACFC8DD" w14:textId="77777777">
      <w:pPr>
        <w:adjustRightInd w:val="0"/>
        <w:spacing w:before="0" w:after="0"/>
        <w:jc w:val="center"/>
        <w:textAlignment w:val="baseline"/>
        <w:rPr>
          <w:rFonts w:eastAsia="Times New Roman" w:cs="Arial"/>
        </w:rPr>
      </w:pPr>
    </w:p>
    <w:p w:rsidRPr="00F10071" w:rsidR="00F30D93" w:rsidP="00F30D93" w:rsidRDefault="00F30D93" w14:paraId="4059B7BA" w14:textId="77777777">
      <w:pPr>
        <w:adjustRightInd w:val="0"/>
        <w:spacing w:before="0" w:after="0"/>
        <w:textAlignment w:val="baseline"/>
        <w:rPr>
          <w:rFonts w:eastAsia="Times New Roman" w:cs="Arial"/>
        </w:rPr>
      </w:pP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3369"/>
        <w:gridCol w:w="2850"/>
      </w:tblGrid>
      <w:tr w:rsidRPr="00F10071" w:rsidR="00F30D93" w14:paraId="02D9DFE2" w14:textId="77777777">
        <w:trPr>
          <w:jc w:val="center"/>
        </w:trPr>
        <w:tc>
          <w:tcPr>
            <w:tcW w:w="6219" w:type="dxa"/>
            <w:gridSpan w:val="2"/>
            <w:shd w:val="clear" w:color="auto" w:fill="D9D9D9" w:themeFill="background1" w:themeFillShade="D9"/>
            <w:vAlign w:val="center"/>
          </w:tcPr>
          <w:p w:rsidRPr="002D38EF" w:rsidR="00F30D93" w:rsidRDefault="00F30D93" w14:paraId="4CEA34B5" w14:textId="664DF6AD">
            <w:pPr>
              <w:adjustRightInd w:val="0"/>
              <w:spacing w:before="0" w:after="0"/>
              <w:jc w:val="center"/>
              <w:textAlignment w:val="baseline"/>
              <w:rPr>
                <w:rFonts w:eastAsia="Times New Roman" w:cs="Arial"/>
                <w:b/>
                <w:bCs/>
              </w:rPr>
            </w:pPr>
            <w:r>
              <w:rPr>
                <w:rFonts w:eastAsia="Times New Roman" w:cs="Arial"/>
                <w:b/>
                <w:bCs/>
              </w:rPr>
              <w:t>Table B-2</w:t>
            </w:r>
          </w:p>
          <w:p w:rsidRPr="00F10071" w:rsidR="00F30D93" w:rsidRDefault="00F30D93" w14:paraId="4FF4F14C" w14:textId="77777777">
            <w:pPr>
              <w:adjustRightInd w:val="0"/>
              <w:spacing w:before="0" w:after="0"/>
              <w:jc w:val="center"/>
              <w:textAlignment w:val="baseline"/>
              <w:rPr>
                <w:rFonts w:eastAsia="Times New Roman" w:cs="Arial"/>
                <w:b/>
              </w:rPr>
            </w:pPr>
            <w:r>
              <w:rPr>
                <w:rFonts w:eastAsia="Times New Roman" w:cs="Arial"/>
                <w:b/>
                <w:bCs/>
              </w:rPr>
              <w:t xml:space="preserve">Annual Capacity Price </w:t>
            </w:r>
          </w:p>
        </w:tc>
      </w:tr>
      <w:tr w:rsidRPr="00F10071" w:rsidR="00F30D93" w14:paraId="7AA2B8D6" w14:textId="77777777">
        <w:trPr>
          <w:jc w:val="center"/>
        </w:trPr>
        <w:tc>
          <w:tcPr>
            <w:tcW w:w="3369" w:type="dxa"/>
            <w:shd w:val="clear" w:color="auto" w:fill="F2F2F2" w:themeFill="background1" w:themeFillShade="F2"/>
            <w:vAlign w:val="center"/>
          </w:tcPr>
          <w:p w:rsidRPr="00FB0606" w:rsidR="00F30D93" w:rsidRDefault="00A71392" w14:paraId="7B6E8A75" w14:textId="4BB51523">
            <w:pPr>
              <w:adjustRightInd w:val="0"/>
              <w:spacing w:before="0" w:after="0"/>
              <w:ind w:left="450" w:hanging="450"/>
              <w:jc w:val="center"/>
              <w:textAlignment w:val="baseline"/>
              <w:rPr>
                <w:rFonts w:eastAsia="Times New Roman" w:cs="Arial"/>
                <w:b/>
              </w:rPr>
            </w:pPr>
            <w:r>
              <w:rPr>
                <w:rFonts w:eastAsia="Times New Roman" w:cs="Arial"/>
                <w:b/>
              </w:rPr>
              <w:t>Annual Period</w:t>
            </w:r>
          </w:p>
        </w:tc>
        <w:tc>
          <w:tcPr>
            <w:tcW w:w="2850" w:type="dxa"/>
            <w:shd w:val="clear" w:color="auto" w:fill="F2F2F2" w:themeFill="background1" w:themeFillShade="F2"/>
            <w:vAlign w:val="center"/>
          </w:tcPr>
          <w:p w:rsidRPr="00213B51" w:rsidR="00F30D93" w:rsidRDefault="00F30D93" w14:paraId="5AC2B4E6" w14:textId="77777777">
            <w:pPr>
              <w:adjustRightInd w:val="0"/>
              <w:spacing w:before="0" w:after="0"/>
              <w:jc w:val="center"/>
              <w:textAlignment w:val="baseline"/>
              <w:rPr>
                <w:rFonts w:eastAsia="Times New Roman" w:cs="Arial"/>
                <w:b/>
              </w:rPr>
            </w:pPr>
            <w:r>
              <w:rPr>
                <w:rFonts w:eastAsia="Times New Roman" w:cs="Arial"/>
                <w:b/>
              </w:rPr>
              <w:t>($/kW-year)</w:t>
            </w:r>
          </w:p>
        </w:tc>
      </w:tr>
      <w:tr w:rsidRPr="00F10071" w:rsidR="00F30D93" w14:paraId="2F0717E7" w14:textId="77777777">
        <w:trPr>
          <w:jc w:val="center"/>
        </w:trPr>
        <w:tc>
          <w:tcPr>
            <w:tcW w:w="3369" w:type="dxa"/>
          </w:tcPr>
          <w:p w:rsidRPr="00F10071" w:rsidR="00F30D93" w:rsidRDefault="00F30D93" w14:paraId="4F99EF6A" w14:textId="77777777">
            <w:pPr>
              <w:adjustRightInd w:val="0"/>
              <w:spacing w:before="0" w:after="0"/>
              <w:ind w:left="450" w:hanging="450"/>
              <w:jc w:val="center"/>
              <w:textAlignment w:val="baseline"/>
              <w:rPr>
                <w:rFonts w:eastAsia="Times New Roman" w:cs="Arial"/>
                <w:b/>
                <w:i/>
              </w:rPr>
            </w:pPr>
          </w:p>
        </w:tc>
        <w:tc>
          <w:tcPr>
            <w:tcW w:w="2850" w:type="dxa"/>
          </w:tcPr>
          <w:p w:rsidRPr="00F10071" w:rsidR="00F30D93" w:rsidRDefault="00F30D93" w14:paraId="5F829125" w14:textId="77777777">
            <w:pPr>
              <w:adjustRightInd w:val="0"/>
              <w:spacing w:before="0" w:after="0"/>
              <w:ind w:left="450" w:hanging="450"/>
              <w:jc w:val="center"/>
              <w:textAlignment w:val="baseline"/>
              <w:rPr>
                <w:rFonts w:eastAsia="Times New Roman" w:cs="Arial"/>
              </w:rPr>
            </w:pPr>
          </w:p>
        </w:tc>
      </w:tr>
      <w:tr w:rsidRPr="00F10071" w:rsidR="00F30D93" w14:paraId="304C5637" w14:textId="77777777">
        <w:trPr>
          <w:jc w:val="center"/>
        </w:trPr>
        <w:tc>
          <w:tcPr>
            <w:tcW w:w="3369" w:type="dxa"/>
          </w:tcPr>
          <w:p w:rsidRPr="00F10071" w:rsidR="00F30D93" w:rsidRDefault="00F30D93" w14:paraId="3E2CBC21" w14:textId="77777777">
            <w:pPr>
              <w:adjustRightInd w:val="0"/>
              <w:spacing w:before="0" w:after="0"/>
              <w:ind w:left="450" w:hanging="220"/>
              <w:jc w:val="center"/>
              <w:textAlignment w:val="baseline"/>
              <w:rPr>
                <w:rFonts w:eastAsia="Times New Roman" w:cs="Arial"/>
                <w:b/>
                <w:i/>
              </w:rPr>
            </w:pPr>
          </w:p>
        </w:tc>
        <w:tc>
          <w:tcPr>
            <w:tcW w:w="2850" w:type="dxa"/>
          </w:tcPr>
          <w:p w:rsidRPr="00F10071" w:rsidR="00F30D93" w:rsidRDefault="00F30D93" w14:paraId="553A1534" w14:textId="77777777">
            <w:pPr>
              <w:adjustRightInd w:val="0"/>
              <w:spacing w:before="0" w:after="0"/>
              <w:ind w:left="450" w:hanging="450"/>
              <w:jc w:val="center"/>
              <w:textAlignment w:val="baseline"/>
              <w:rPr>
                <w:rFonts w:eastAsia="Times New Roman" w:cs="Arial"/>
              </w:rPr>
            </w:pPr>
          </w:p>
        </w:tc>
      </w:tr>
      <w:tr w:rsidRPr="00F10071" w:rsidR="00F30D93" w14:paraId="70DA9CEF" w14:textId="77777777">
        <w:trPr>
          <w:jc w:val="center"/>
        </w:trPr>
        <w:tc>
          <w:tcPr>
            <w:tcW w:w="3369" w:type="dxa"/>
          </w:tcPr>
          <w:p w:rsidRPr="00F10071" w:rsidR="00F30D93" w:rsidRDefault="00F30D93" w14:paraId="7B944C27" w14:textId="77777777">
            <w:pPr>
              <w:adjustRightInd w:val="0"/>
              <w:spacing w:before="0" w:after="0"/>
              <w:ind w:left="450" w:hanging="450"/>
              <w:jc w:val="center"/>
              <w:textAlignment w:val="baseline"/>
              <w:rPr>
                <w:rFonts w:eastAsia="Times New Roman" w:cs="Arial"/>
              </w:rPr>
            </w:pPr>
          </w:p>
        </w:tc>
        <w:tc>
          <w:tcPr>
            <w:tcW w:w="2850" w:type="dxa"/>
          </w:tcPr>
          <w:p w:rsidRPr="00F10071" w:rsidR="00F30D93" w:rsidRDefault="00F30D93" w14:paraId="033A5BA6" w14:textId="77777777">
            <w:pPr>
              <w:adjustRightInd w:val="0"/>
              <w:spacing w:before="0" w:after="0"/>
              <w:ind w:left="450" w:hanging="450"/>
              <w:jc w:val="center"/>
              <w:textAlignment w:val="baseline"/>
              <w:rPr>
                <w:rFonts w:eastAsia="Times New Roman" w:cs="Arial"/>
              </w:rPr>
            </w:pPr>
          </w:p>
        </w:tc>
      </w:tr>
      <w:tr w:rsidRPr="00F10071" w:rsidR="00F30D93" w14:paraId="66AB91DB" w14:textId="77777777">
        <w:trPr>
          <w:jc w:val="center"/>
        </w:trPr>
        <w:tc>
          <w:tcPr>
            <w:tcW w:w="3369" w:type="dxa"/>
          </w:tcPr>
          <w:p w:rsidRPr="00F10071" w:rsidR="00F30D93" w:rsidRDefault="00F30D93" w14:paraId="0DC36E6C" w14:textId="77777777">
            <w:pPr>
              <w:adjustRightInd w:val="0"/>
              <w:spacing w:before="0" w:after="0"/>
              <w:ind w:left="450" w:hanging="450"/>
              <w:jc w:val="center"/>
              <w:textAlignment w:val="baseline"/>
              <w:rPr>
                <w:rFonts w:eastAsia="Times New Roman" w:cs="Arial"/>
              </w:rPr>
            </w:pPr>
          </w:p>
        </w:tc>
        <w:tc>
          <w:tcPr>
            <w:tcW w:w="2850" w:type="dxa"/>
          </w:tcPr>
          <w:p w:rsidRPr="00F10071" w:rsidR="00F30D93" w:rsidRDefault="00F30D93" w14:paraId="1D6FD784" w14:textId="77777777">
            <w:pPr>
              <w:adjustRightInd w:val="0"/>
              <w:spacing w:before="0" w:after="0"/>
              <w:ind w:left="450" w:hanging="450"/>
              <w:jc w:val="center"/>
              <w:textAlignment w:val="baseline"/>
              <w:rPr>
                <w:rFonts w:eastAsia="Times New Roman" w:cs="Arial"/>
              </w:rPr>
            </w:pPr>
          </w:p>
        </w:tc>
      </w:tr>
      <w:tr w:rsidRPr="00F10071" w:rsidR="00F30D93" w14:paraId="4087FF61" w14:textId="77777777">
        <w:trPr>
          <w:jc w:val="center"/>
        </w:trPr>
        <w:tc>
          <w:tcPr>
            <w:tcW w:w="3369" w:type="dxa"/>
          </w:tcPr>
          <w:p w:rsidRPr="00F10071" w:rsidR="00F30D93" w:rsidRDefault="00F30D93" w14:paraId="5F077385" w14:textId="77777777">
            <w:pPr>
              <w:adjustRightInd w:val="0"/>
              <w:spacing w:before="0" w:after="0"/>
              <w:ind w:left="450" w:hanging="450"/>
              <w:jc w:val="center"/>
              <w:textAlignment w:val="baseline"/>
              <w:rPr>
                <w:rFonts w:eastAsia="Times New Roman" w:cs="Arial"/>
              </w:rPr>
            </w:pPr>
          </w:p>
        </w:tc>
        <w:tc>
          <w:tcPr>
            <w:tcW w:w="2850" w:type="dxa"/>
          </w:tcPr>
          <w:p w:rsidRPr="00F10071" w:rsidR="00F30D93" w:rsidRDefault="00F30D93" w14:paraId="3BE7A3E9" w14:textId="77777777">
            <w:pPr>
              <w:adjustRightInd w:val="0"/>
              <w:spacing w:before="0" w:after="0"/>
              <w:ind w:left="450" w:hanging="450"/>
              <w:jc w:val="center"/>
              <w:textAlignment w:val="baseline"/>
              <w:rPr>
                <w:rFonts w:eastAsia="Times New Roman" w:cs="Arial"/>
              </w:rPr>
            </w:pPr>
          </w:p>
        </w:tc>
      </w:tr>
      <w:tr w:rsidRPr="00F10071" w:rsidR="00F30D93" w14:paraId="18024F92" w14:textId="77777777">
        <w:trPr>
          <w:jc w:val="center"/>
        </w:trPr>
        <w:tc>
          <w:tcPr>
            <w:tcW w:w="3369" w:type="dxa"/>
          </w:tcPr>
          <w:p w:rsidRPr="00F10071" w:rsidR="00F30D93" w:rsidRDefault="00F30D93" w14:paraId="3C5D0EFF" w14:textId="77777777">
            <w:pPr>
              <w:adjustRightInd w:val="0"/>
              <w:spacing w:before="0" w:after="0"/>
              <w:ind w:left="450" w:hanging="450"/>
              <w:jc w:val="center"/>
              <w:textAlignment w:val="baseline"/>
              <w:rPr>
                <w:rFonts w:eastAsia="Times New Roman" w:cs="Arial"/>
              </w:rPr>
            </w:pPr>
          </w:p>
        </w:tc>
        <w:tc>
          <w:tcPr>
            <w:tcW w:w="2850" w:type="dxa"/>
          </w:tcPr>
          <w:p w:rsidRPr="00F10071" w:rsidR="00F30D93" w:rsidRDefault="00F30D93" w14:paraId="59150F8C" w14:textId="77777777">
            <w:pPr>
              <w:adjustRightInd w:val="0"/>
              <w:spacing w:before="0" w:after="0"/>
              <w:ind w:left="450" w:hanging="450"/>
              <w:jc w:val="center"/>
              <w:textAlignment w:val="baseline"/>
              <w:rPr>
                <w:rFonts w:eastAsia="Times New Roman" w:cs="Arial"/>
              </w:rPr>
            </w:pPr>
          </w:p>
        </w:tc>
      </w:tr>
      <w:tr w:rsidRPr="00F10071" w:rsidR="00F30D93" w14:paraId="6D125F62" w14:textId="77777777">
        <w:trPr>
          <w:jc w:val="center"/>
        </w:trPr>
        <w:tc>
          <w:tcPr>
            <w:tcW w:w="3369" w:type="dxa"/>
          </w:tcPr>
          <w:p w:rsidRPr="00F10071" w:rsidR="00F30D93" w:rsidRDefault="00F30D93" w14:paraId="2BB3421F" w14:textId="77777777">
            <w:pPr>
              <w:adjustRightInd w:val="0"/>
              <w:spacing w:before="0" w:after="0"/>
              <w:ind w:left="450" w:hanging="450"/>
              <w:jc w:val="center"/>
              <w:textAlignment w:val="baseline"/>
              <w:rPr>
                <w:rFonts w:eastAsia="Times New Roman" w:cs="Arial"/>
              </w:rPr>
            </w:pPr>
          </w:p>
        </w:tc>
        <w:tc>
          <w:tcPr>
            <w:tcW w:w="2850" w:type="dxa"/>
          </w:tcPr>
          <w:p w:rsidRPr="00F10071" w:rsidR="00F30D93" w:rsidRDefault="00F30D93" w14:paraId="16FC6DF0" w14:textId="77777777">
            <w:pPr>
              <w:adjustRightInd w:val="0"/>
              <w:spacing w:before="0" w:after="0"/>
              <w:ind w:left="450" w:hanging="450"/>
              <w:jc w:val="center"/>
              <w:textAlignment w:val="baseline"/>
              <w:rPr>
                <w:rFonts w:eastAsia="Times New Roman" w:cs="Arial"/>
              </w:rPr>
            </w:pPr>
          </w:p>
        </w:tc>
      </w:tr>
      <w:tr w:rsidRPr="00F10071" w:rsidR="00F30D93" w14:paraId="3DCF4905" w14:textId="77777777">
        <w:trPr>
          <w:jc w:val="center"/>
        </w:trPr>
        <w:tc>
          <w:tcPr>
            <w:tcW w:w="3369" w:type="dxa"/>
          </w:tcPr>
          <w:p w:rsidRPr="00F10071" w:rsidR="00F30D93" w:rsidRDefault="00F30D93" w14:paraId="74E23294" w14:textId="77777777">
            <w:pPr>
              <w:adjustRightInd w:val="0"/>
              <w:spacing w:before="0" w:after="0"/>
              <w:ind w:left="450" w:hanging="450"/>
              <w:jc w:val="center"/>
              <w:textAlignment w:val="baseline"/>
              <w:rPr>
                <w:rFonts w:eastAsia="Times New Roman" w:cs="Arial"/>
              </w:rPr>
            </w:pPr>
          </w:p>
        </w:tc>
        <w:tc>
          <w:tcPr>
            <w:tcW w:w="2850" w:type="dxa"/>
          </w:tcPr>
          <w:p w:rsidRPr="00F10071" w:rsidR="00F30D93" w:rsidRDefault="00F30D93" w14:paraId="24BB3AE6" w14:textId="77777777">
            <w:pPr>
              <w:adjustRightInd w:val="0"/>
              <w:spacing w:before="0" w:after="0"/>
              <w:ind w:left="450" w:hanging="450"/>
              <w:jc w:val="center"/>
              <w:textAlignment w:val="baseline"/>
              <w:rPr>
                <w:rFonts w:eastAsia="Times New Roman" w:cs="Arial"/>
              </w:rPr>
            </w:pPr>
          </w:p>
        </w:tc>
      </w:tr>
      <w:tr w:rsidRPr="00F10071" w:rsidR="00F30D93" w14:paraId="3031CD33" w14:textId="77777777">
        <w:trPr>
          <w:jc w:val="center"/>
        </w:trPr>
        <w:tc>
          <w:tcPr>
            <w:tcW w:w="3369" w:type="dxa"/>
          </w:tcPr>
          <w:p w:rsidRPr="00F10071" w:rsidR="00F30D93" w:rsidRDefault="00F30D93" w14:paraId="543118E3" w14:textId="77777777">
            <w:pPr>
              <w:adjustRightInd w:val="0"/>
              <w:spacing w:before="0" w:after="0"/>
              <w:ind w:left="450" w:hanging="450"/>
              <w:jc w:val="center"/>
              <w:textAlignment w:val="baseline"/>
              <w:rPr>
                <w:rFonts w:eastAsia="Times New Roman" w:cs="Arial"/>
              </w:rPr>
            </w:pPr>
          </w:p>
        </w:tc>
        <w:tc>
          <w:tcPr>
            <w:tcW w:w="2850" w:type="dxa"/>
          </w:tcPr>
          <w:p w:rsidRPr="00F10071" w:rsidR="00F30D93" w:rsidRDefault="00F30D93" w14:paraId="7A948EA8" w14:textId="77777777">
            <w:pPr>
              <w:adjustRightInd w:val="0"/>
              <w:spacing w:before="0" w:after="0"/>
              <w:ind w:left="450" w:hanging="450"/>
              <w:jc w:val="center"/>
              <w:textAlignment w:val="baseline"/>
              <w:rPr>
                <w:rFonts w:eastAsia="Times New Roman" w:cs="Arial"/>
              </w:rPr>
            </w:pPr>
          </w:p>
        </w:tc>
      </w:tr>
      <w:tr w:rsidRPr="00F10071" w:rsidR="00F30D93" w14:paraId="18C696BE" w14:textId="77777777">
        <w:trPr>
          <w:jc w:val="center"/>
        </w:trPr>
        <w:tc>
          <w:tcPr>
            <w:tcW w:w="3369" w:type="dxa"/>
          </w:tcPr>
          <w:p w:rsidRPr="00F10071" w:rsidR="00F30D93" w:rsidRDefault="00F30D93" w14:paraId="0199F546" w14:textId="77777777">
            <w:pPr>
              <w:adjustRightInd w:val="0"/>
              <w:spacing w:before="0" w:after="0"/>
              <w:ind w:left="450" w:hanging="450"/>
              <w:jc w:val="center"/>
              <w:textAlignment w:val="baseline"/>
              <w:rPr>
                <w:rFonts w:eastAsia="Times New Roman" w:cs="Arial"/>
              </w:rPr>
            </w:pPr>
          </w:p>
        </w:tc>
        <w:tc>
          <w:tcPr>
            <w:tcW w:w="2850" w:type="dxa"/>
          </w:tcPr>
          <w:p w:rsidRPr="00F10071" w:rsidR="00F30D93" w:rsidRDefault="00F30D93" w14:paraId="0A632672" w14:textId="77777777">
            <w:pPr>
              <w:adjustRightInd w:val="0"/>
              <w:spacing w:before="0" w:after="0"/>
              <w:ind w:left="450" w:hanging="450"/>
              <w:jc w:val="center"/>
              <w:textAlignment w:val="baseline"/>
              <w:rPr>
                <w:rFonts w:eastAsia="Times New Roman" w:cs="Arial"/>
              </w:rPr>
            </w:pPr>
          </w:p>
        </w:tc>
      </w:tr>
      <w:tr w:rsidRPr="00F10071" w:rsidR="00F30D93" w14:paraId="1E7C2BDE" w14:textId="77777777">
        <w:trPr>
          <w:jc w:val="center"/>
        </w:trPr>
        <w:tc>
          <w:tcPr>
            <w:tcW w:w="3369" w:type="dxa"/>
          </w:tcPr>
          <w:p w:rsidRPr="00F10071" w:rsidR="00F30D93" w:rsidRDefault="00F30D93" w14:paraId="1591C643" w14:textId="77777777">
            <w:pPr>
              <w:adjustRightInd w:val="0"/>
              <w:spacing w:before="0" w:after="0"/>
              <w:ind w:left="450" w:hanging="450"/>
              <w:jc w:val="center"/>
              <w:textAlignment w:val="baseline"/>
              <w:rPr>
                <w:rFonts w:eastAsia="Times New Roman" w:cs="Arial"/>
              </w:rPr>
            </w:pPr>
          </w:p>
        </w:tc>
        <w:tc>
          <w:tcPr>
            <w:tcW w:w="2850" w:type="dxa"/>
          </w:tcPr>
          <w:p w:rsidRPr="00F10071" w:rsidR="00F30D93" w:rsidRDefault="00F30D93" w14:paraId="146FC242" w14:textId="77777777">
            <w:pPr>
              <w:adjustRightInd w:val="0"/>
              <w:spacing w:before="0" w:after="0"/>
              <w:ind w:left="450" w:hanging="450"/>
              <w:jc w:val="center"/>
              <w:textAlignment w:val="baseline"/>
              <w:rPr>
                <w:rFonts w:eastAsia="Times New Roman" w:cs="Arial"/>
              </w:rPr>
            </w:pPr>
          </w:p>
        </w:tc>
      </w:tr>
      <w:tr w:rsidRPr="00F10071" w:rsidR="00F30D93" w14:paraId="796CA256" w14:textId="77777777">
        <w:trPr>
          <w:jc w:val="center"/>
        </w:trPr>
        <w:tc>
          <w:tcPr>
            <w:tcW w:w="3369" w:type="dxa"/>
          </w:tcPr>
          <w:p w:rsidRPr="00F10071" w:rsidR="00F30D93" w:rsidRDefault="00F30D93" w14:paraId="1CABA33A" w14:textId="77777777">
            <w:pPr>
              <w:adjustRightInd w:val="0"/>
              <w:spacing w:before="0" w:after="0"/>
              <w:ind w:left="450" w:hanging="450"/>
              <w:jc w:val="center"/>
              <w:textAlignment w:val="baseline"/>
              <w:rPr>
                <w:rFonts w:eastAsia="Times New Roman" w:cs="Arial"/>
                <w:b/>
                <w:i/>
              </w:rPr>
            </w:pPr>
          </w:p>
        </w:tc>
        <w:tc>
          <w:tcPr>
            <w:tcW w:w="2850" w:type="dxa"/>
          </w:tcPr>
          <w:p w:rsidRPr="00F10071" w:rsidR="00F30D93" w:rsidRDefault="00F30D93" w14:paraId="7FA1B368" w14:textId="77777777">
            <w:pPr>
              <w:adjustRightInd w:val="0"/>
              <w:spacing w:before="0" w:after="0"/>
              <w:ind w:left="450" w:hanging="450"/>
              <w:jc w:val="center"/>
              <w:textAlignment w:val="baseline"/>
              <w:rPr>
                <w:rFonts w:eastAsia="Times New Roman" w:cs="Arial"/>
              </w:rPr>
            </w:pPr>
          </w:p>
        </w:tc>
      </w:tr>
      <w:tr w:rsidRPr="00F10071" w:rsidR="00F30D93" w14:paraId="14E211BB" w14:textId="77777777">
        <w:trPr>
          <w:jc w:val="center"/>
        </w:trPr>
        <w:tc>
          <w:tcPr>
            <w:tcW w:w="3369" w:type="dxa"/>
          </w:tcPr>
          <w:p w:rsidRPr="00F10071" w:rsidR="00F30D93" w:rsidRDefault="00F30D93" w14:paraId="579CC815" w14:textId="77777777">
            <w:pPr>
              <w:adjustRightInd w:val="0"/>
              <w:spacing w:before="0" w:after="0"/>
              <w:ind w:left="450" w:hanging="450"/>
              <w:jc w:val="center"/>
              <w:textAlignment w:val="baseline"/>
              <w:rPr>
                <w:rFonts w:eastAsia="Times New Roman" w:cs="Arial"/>
                <w:b/>
                <w:i/>
              </w:rPr>
            </w:pPr>
          </w:p>
        </w:tc>
        <w:tc>
          <w:tcPr>
            <w:tcW w:w="2850" w:type="dxa"/>
          </w:tcPr>
          <w:p w:rsidRPr="00F10071" w:rsidR="00F30D93" w:rsidRDefault="00F30D93" w14:paraId="34B4BDCC" w14:textId="77777777">
            <w:pPr>
              <w:adjustRightInd w:val="0"/>
              <w:spacing w:before="0" w:after="0"/>
              <w:ind w:left="450" w:hanging="450"/>
              <w:jc w:val="center"/>
              <w:textAlignment w:val="baseline"/>
              <w:rPr>
                <w:rFonts w:eastAsia="Times New Roman" w:cs="Arial"/>
              </w:rPr>
            </w:pPr>
          </w:p>
        </w:tc>
      </w:tr>
      <w:tr w:rsidRPr="00F10071" w:rsidR="00F30D93" w14:paraId="796D03A0" w14:textId="77777777">
        <w:trPr>
          <w:jc w:val="center"/>
        </w:trPr>
        <w:tc>
          <w:tcPr>
            <w:tcW w:w="3369" w:type="dxa"/>
          </w:tcPr>
          <w:p w:rsidRPr="00F10071" w:rsidR="00F30D93" w:rsidRDefault="00F30D93" w14:paraId="3FCEE583" w14:textId="77777777">
            <w:pPr>
              <w:adjustRightInd w:val="0"/>
              <w:spacing w:before="0" w:after="0"/>
              <w:ind w:left="450" w:hanging="450"/>
              <w:jc w:val="center"/>
              <w:textAlignment w:val="baseline"/>
              <w:rPr>
                <w:rFonts w:eastAsia="Times New Roman" w:cs="Arial"/>
                <w:b/>
                <w:i/>
              </w:rPr>
            </w:pPr>
          </w:p>
        </w:tc>
        <w:tc>
          <w:tcPr>
            <w:tcW w:w="2850" w:type="dxa"/>
          </w:tcPr>
          <w:p w:rsidRPr="00F10071" w:rsidR="00F30D93" w:rsidRDefault="00F30D93" w14:paraId="7F479D5D" w14:textId="77777777">
            <w:pPr>
              <w:adjustRightInd w:val="0"/>
              <w:spacing w:before="0" w:after="0"/>
              <w:ind w:left="450" w:hanging="450"/>
              <w:jc w:val="center"/>
              <w:textAlignment w:val="baseline"/>
              <w:rPr>
                <w:rFonts w:eastAsia="Times New Roman" w:cs="Arial"/>
              </w:rPr>
            </w:pPr>
          </w:p>
        </w:tc>
      </w:tr>
      <w:tr w:rsidRPr="00F10071" w:rsidR="00F30D93" w14:paraId="2EF88719" w14:textId="77777777">
        <w:trPr>
          <w:jc w:val="center"/>
        </w:trPr>
        <w:tc>
          <w:tcPr>
            <w:tcW w:w="3369" w:type="dxa"/>
          </w:tcPr>
          <w:p w:rsidRPr="00F10071" w:rsidR="00F30D93" w:rsidRDefault="00F30D93" w14:paraId="6631014A" w14:textId="77777777">
            <w:pPr>
              <w:adjustRightInd w:val="0"/>
              <w:spacing w:before="0" w:after="0"/>
              <w:ind w:left="450" w:hanging="450"/>
              <w:jc w:val="center"/>
              <w:textAlignment w:val="baseline"/>
              <w:rPr>
                <w:rFonts w:eastAsia="Times New Roman" w:cs="Arial"/>
                <w:b/>
                <w:i/>
              </w:rPr>
            </w:pPr>
          </w:p>
        </w:tc>
        <w:tc>
          <w:tcPr>
            <w:tcW w:w="2850" w:type="dxa"/>
          </w:tcPr>
          <w:p w:rsidRPr="00F10071" w:rsidR="00F30D93" w:rsidRDefault="00F30D93" w14:paraId="010B70F1" w14:textId="77777777">
            <w:pPr>
              <w:adjustRightInd w:val="0"/>
              <w:spacing w:before="0" w:after="0"/>
              <w:ind w:left="450" w:hanging="450"/>
              <w:jc w:val="center"/>
              <w:textAlignment w:val="baseline"/>
              <w:rPr>
                <w:rFonts w:eastAsia="Times New Roman" w:cs="Arial"/>
              </w:rPr>
            </w:pPr>
          </w:p>
        </w:tc>
      </w:tr>
      <w:tr w:rsidRPr="00F10071" w:rsidR="00F30D93" w14:paraId="1F78D550" w14:textId="77777777">
        <w:trPr>
          <w:jc w:val="center"/>
        </w:trPr>
        <w:tc>
          <w:tcPr>
            <w:tcW w:w="3369" w:type="dxa"/>
          </w:tcPr>
          <w:p w:rsidRPr="00F10071" w:rsidR="00F30D93" w:rsidRDefault="00F30D93" w14:paraId="0F6390BE" w14:textId="77777777">
            <w:pPr>
              <w:adjustRightInd w:val="0"/>
              <w:spacing w:before="0" w:after="0"/>
              <w:ind w:left="450" w:hanging="450"/>
              <w:jc w:val="center"/>
              <w:textAlignment w:val="baseline"/>
              <w:rPr>
                <w:rFonts w:eastAsia="Times New Roman" w:cs="Arial"/>
                <w:b/>
                <w:i/>
              </w:rPr>
            </w:pPr>
          </w:p>
        </w:tc>
        <w:tc>
          <w:tcPr>
            <w:tcW w:w="2850" w:type="dxa"/>
          </w:tcPr>
          <w:p w:rsidRPr="00F10071" w:rsidR="00F30D93" w:rsidRDefault="00F30D93" w14:paraId="79B49303" w14:textId="77777777">
            <w:pPr>
              <w:adjustRightInd w:val="0"/>
              <w:spacing w:before="0" w:after="0"/>
              <w:ind w:left="450" w:hanging="450"/>
              <w:jc w:val="center"/>
              <w:textAlignment w:val="baseline"/>
              <w:rPr>
                <w:rFonts w:eastAsia="Times New Roman" w:cs="Arial"/>
              </w:rPr>
            </w:pPr>
          </w:p>
        </w:tc>
      </w:tr>
    </w:tbl>
    <w:p w:rsidRPr="00F10071" w:rsidR="00F30D93" w:rsidP="00F30D93" w:rsidRDefault="00F30D93" w14:paraId="799C19A1" w14:textId="77777777">
      <w:pPr>
        <w:adjustRightInd w:val="0"/>
        <w:spacing w:before="0" w:after="0"/>
        <w:textAlignment w:val="baseline"/>
        <w:rPr>
          <w:rFonts w:eastAsia="Times New Roman" w:cs="Arial"/>
        </w:rPr>
      </w:pPr>
    </w:p>
    <w:p w:rsidRPr="00F10071" w:rsidR="00F30D93" w:rsidP="00F30D93" w:rsidRDefault="00F30D93" w14:paraId="74901ED6" w14:textId="280D47BD">
      <w:pPr>
        <w:pStyle w:val="zG03"/>
        <w:numPr>
          <w:ilvl w:val="0"/>
          <w:numId w:val="0"/>
        </w:numPr>
        <w:ind w:left="259"/>
      </w:pPr>
      <w:r>
        <w:t xml:space="preserve">The Annual Capacity Price will include all fixed costs, including fixed operation and maintenance charges. </w:t>
      </w:r>
    </w:p>
    <w:p w:rsidRPr="00F10071" w:rsidR="00F30D93" w:rsidP="00F30D93" w:rsidRDefault="00F30D93" w14:paraId="57FBE091" w14:textId="66F9300E">
      <w:pPr>
        <w:pStyle w:val="zG03"/>
        <w:tabs>
          <w:tab w:val="num" w:pos="497"/>
        </w:tabs>
        <w:ind w:left="180"/>
      </w:pPr>
      <w:r>
        <w:rPr>
          <w:b/>
          <w:bCs/>
        </w:rPr>
        <w:t xml:space="preserve">Annual Capacity Price Adjustments. </w:t>
      </w:r>
      <w:r>
        <w:t xml:space="preserve">If during any Annual Period, the Declared Standard Base Capacity is different from the Nominal Standard Base Capability, or the Declared Standard Supplemental Capacity is different from the Nominal Standard Supplemental Capability, then an adjustment to the Annual Capacity Price will be made in a manner that reflects the value of each mode to GPC. The value of each mode to GPC will be determined using the methodology used in the bid evaluation and is significantly influenced by the heat rate of each mode. Because the Base Operating Mode has a lower heat rate, the Declared Standard Base Capacity is more valuable to GPC. If the Declared Standard Base Capacity is less than the Nominal Standard Base Capability, the Annual Capacity Price will be reduced utilizing the Declared Mode Adjustment Factor. Conversely, if the Declared Standard Base Capacity is greater than the Nominal Standard Base Capability, the Annual Capacity Price will be increased utilizing the Declared Mode Adjustment Factor. </w:t>
      </w:r>
    </w:p>
    <w:p w:rsidRPr="00085B2F" w:rsidR="00F30D93" w:rsidP="00F30D93" w:rsidRDefault="00EE2D4B" w14:paraId="74E2F902" w14:textId="00B58818">
      <w:pPr>
        <w:pStyle w:val="zG03"/>
        <w:tabs>
          <w:tab w:val="num" w:pos="497"/>
        </w:tabs>
        <w:ind w:left="180"/>
        <w:rPr>
          <w:b/>
          <w:bCs/>
        </w:rPr>
      </w:pPr>
      <w:r>
        <w:rPr>
          <w:b/>
          <w:bCs/>
        </w:rPr>
        <w:t xml:space="preserve">Declared Mode Adjustment Factor Calculation. </w:t>
      </w:r>
    </w:p>
    <w:p w:rsidRPr="00F10071" w:rsidR="00F30D93" w:rsidP="00F30D93" w:rsidRDefault="00F30D93" w14:paraId="4277B5DE" w14:textId="4F32AFA0">
      <w:pPr>
        <w:pStyle w:val="zG04"/>
      </w:pPr>
      <w:r>
        <w:rPr>
          <w:b/>
          <w:bCs/>
        </w:rPr>
        <w:t xml:space="preserve">Standard Calculation and Example. </w:t>
      </w:r>
      <w:r>
        <w:t>The Declared Mode Adjustment Factor will be calculated for each contract year as follows:</w:t>
      </w:r>
    </w:p>
    <w:p w:rsidR="00F30D93" w:rsidP="00F30D93" w:rsidRDefault="00EE2D4B" w14:paraId="0588CE1C" w14:textId="4FDB7D06">
      <w:pPr>
        <w:pStyle w:val="zG04"/>
        <w:numPr>
          <w:ilvl w:val="0"/>
          <w:numId w:val="0"/>
        </w:numPr>
        <w:ind w:left="504"/>
      </w:pPr>
      <w:r>
        <w:rPr>
          <w:b/>
          <w:bCs/>
        </w:rPr>
        <w:t>Declared Mode Adjustment Factor</w:t>
      </w:r>
      <w:r>
        <w:t xml:space="preserve"> = [(Base Mode Value Factor) * (Declared Standard Base Capacity) + (Supplemental Mode Value Factor) * (Declared Standard Supplemental Capacity)] / [(Declared Standard Base Capacity) + (Declared Standard Supplemental Capacity)]</w:t>
      </w:r>
    </w:p>
    <w:p w:rsidRPr="00F10071" w:rsidR="00F30D93" w:rsidP="00F30D93" w:rsidRDefault="00F30D93" w14:paraId="6C57AE15" w14:textId="77777777">
      <w:pPr>
        <w:pStyle w:val="zG04"/>
        <w:numPr>
          <w:ilvl w:val="0"/>
          <w:numId w:val="0"/>
        </w:numPr>
        <w:ind w:left="504"/>
      </w:pPr>
      <w:r>
        <w:t>Where:</w:t>
      </w:r>
    </w:p>
    <w:p w:rsidRPr="00F10071" w:rsidR="00F30D93" w:rsidP="00F30D93" w:rsidRDefault="00F30D93" w14:paraId="7ABE5862" w14:textId="77777777">
      <w:pPr>
        <w:pStyle w:val="zG04"/>
        <w:numPr>
          <w:ilvl w:val="0"/>
          <w:numId w:val="0"/>
        </w:numPr>
        <w:ind w:left="504"/>
      </w:pPr>
      <w:r>
        <w:tab/>
      </w:r>
      <w:r>
        <w:rPr>
          <w:b/>
          <w:bCs/>
        </w:rPr>
        <w:t>Base Mode Value Factor</w:t>
      </w:r>
      <w:r>
        <w:t xml:space="preserve"> = _________________________</w:t>
      </w:r>
    </w:p>
    <w:p w:rsidRPr="00F10071" w:rsidR="00F30D93" w:rsidP="00F30D93" w:rsidRDefault="00F30D93" w14:paraId="73519212" w14:textId="77777777">
      <w:pPr>
        <w:pStyle w:val="zG04"/>
        <w:numPr>
          <w:ilvl w:val="0"/>
          <w:numId w:val="0"/>
        </w:numPr>
        <w:ind w:left="504"/>
      </w:pPr>
      <w:r>
        <w:tab/>
      </w:r>
      <w:r>
        <w:rPr>
          <w:b/>
          <w:bCs/>
        </w:rPr>
        <w:t>Supplemental Mode Value Factor</w:t>
      </w:r>
      <w:r>
        <w:t xml:space="preserve"> = __________________</w:t>
      </w:r>
    </w:p>
    <w:p w:rsidRPr="00F10071" w:rsidR="00F30D93" w:rsidP="00F30D93" w:rsidRDefault="00F30D93" w14:paraId="4652D26C" w14:textId="0C004BFF">
      <w:pPr>
        <w:pStyle w:val="zG04"/>
        <w:numPr>
          <w:ilvl w:val="0"/>
          <w:numId w:val="0"/>
        </w:numPr>
        <w:ind w:left="504"/>
      </w:pPr>
    </w:p>
    <w:p w:rsidRPr="00AE6A8D" w:rsidR="00F30D93" w:rsidP="00F30D93" w:rsidRDefault="00F30D93" w14:paraId="76C54F44" w14:textId="77777777">
      <w:pPr>
        <w:pStyle w:val="zG04"/>
        <w:numPr>
          <w:ilvl w:val="0"/>
          <w:numId w:val="0"/>
        </w:numPr>
        <w:ind w:left="504"/>
        <w:rPr>
          <w:b/>
          <w:bCs/>
        </w:rPr>
      </w:pPr>
      <w:r>
        <w:rPr>
          <w:b/>
          <w:bCs/>
        </w:rPr>
        <w:lastRenderedPageBreak/>
        <w:t xml:space="preserve">Example: </w:t>
      </w:r>
    </w:p>
    <w:p w:rsidRPr="00F10071" w:rsidR="00F30D93" w:rsidP="00F30D93" w:rsidRDefault="00F30D93" w14:paraId="0A7EE196" w14:textId="63F93D93">
      <w:pPr>
        <w:pStyle w:val="zG04"/>
        <w:numPr>
          <w:ilvl w:val="0"/>
          <w:numId w:val="0"/>
        </w:numPr>
        <w:ind w:left="504"/>
      </w:pPr>
      <w:r>
        <w:t xml:space="preserve">For example, assume that a unit with typical base mode and supplemental (full pressure) mode heat rates and typical base mode and supplemental mode declared capacities has a Base Mode Value Factor of approximately 1.021, and a Supplemental Mode Value Factor of approximately 0.881. Further, assume that </w:t>
      </w:r>
      <w:r w:rsidR="00970E70">
        <w:t xml:space="preserve">the </w:t>
      </w:r>
      <w:r>
        <w:t>unit has a Nominal Standard Base Capability of 510 MW and a Nominal Standard Supplemental Capability of 90 MW. If during an Annual Period, the Declared Standard Base Capacity is 470 MW and the Declared Standard Supplemental Capacity is 92 MW and the Base Mode Value Factor is 1.021 and the Supplemental Mode Value Factor is 0.881, then the Declared Mode Adjustment Factor would be calculated as follows:</w:t>
      </w:r>
    </w:p>
    <w:p w:rsidRPr="00F10071" w:rsidR="00F30D93" w:rsidP="00F30D93" w:rsidRDefault="00EE2D4B" w14:paraId="40A0F0F6" w14:textId="58E76573">
      <w:pPr>
        <w:pStyle w:val="zG04"/>
        <w:numPr>
          <w:ilvl w:val="0"/>
          <w:numId w:val="0"/>
        </w:numPr>
        <w:ind w:left="504"/>
      </w:pPr>
      <w:r>
        <w:t>Declared Mode Adjustment Factor = (1.021 * 470 + 0.881 * 92)/(470 + 92) = 0.998.</w:t>
      </w:r>
    </w:p>
    <w:p w:rsidRPr="00F10071" w:rsidR="00F30D93" w:rsidP="00F30D93" w:rsidRDefault="00F30D93" w14:paraId="7948F36B" w14:textId="402BD6F3">
      <w:pPr>
        <w:pStyle w:val="zG04"/>
      </w:pPr>
      <w:r>
        <w:rPr>
          <w:b/>
          <w:bCs/>
        </w:rPr>
        <w:t xml:space="preserve">Calculation with Two Tiers of Supplemental Mode Capacity. </w:t>
      </w:r>
      <w:r>
        <w:t>If there are two tiers of supplemental mode capacity (e.g., full pressure and power augmentation), the Declared Mode Adjustment Factor will be calculated for each contract year as follows:</w:t>
      </w:r>
    </w:p>
    <w:p w:rsidR="00F30D93" w:rsidP="00F30D93" w:rsidRDefault="00EE2D4B" w14:paraId="7EAF38D8" w14:textId="2ECC52F9">
      <w:pPr>
        <w:pStyle w:val="zG04"/>
        <w:numPr>
          <w:ilvl w:val="0"/>
          <w:numId w:val="0"/>
        </w:numPr>
        <w:ind w:left="504"/>
      </w:pPr>
      <w:r>
        <w:t>Declared Mode Adjustment Factor = (Base Mode Value Factor) * (Declared Standard Base Capacity) + (Tier 1 Supplemental Mode Value Factor) * (Declared Tier 1 Standard Supplemental Capacity) + (Tier 2 Supplemental Mode Value Factor) * (Declared Tier 2 Standard Supplemental Capacity)) / ((Declared Standard Base Capacity) + (Declared Tier 1 Standard Supplemental Capacity) + (Declared Tier 2 Standard Supplemental Capacity))</w:t>
      </w:r>
    </w:p>
    <w:p w:rsidRPr="00F10071" w:rsidR="00F30D93" w:rsidP="00F30D93" w:rsidRDefault="00F30D93" w14:paraId="2324A2BE" w14:textId="77777777">
      <w:pPr>
        <w:pStyle w:val="zG04"/>
        <w:numPr>
          <w:ilvl w:val="0"/>
          <w:numId w:val="0"/>
        </w:numPr>
        <w:ind w:left="504"/>
      </w:pPr>
      <w:r>
        <w:tab/>
        <w:t>Where:</w:t>
      </w:r>
    </w:p>
    <w:p w:rsidRPr="00F10071" w:rsidR="00F30D93" w:rsidP="00F30D93" w:rsidRDefault="00F30D93" w14:paraId="5D046201" w14:textId="7C918D65">
      <w:pPr>
        <w:pStyle w:val="zG04"/>
        <w:numPr>
          <w:ilvl w:val="0"/>
          <w:numId w:val="0"/>
        </w:numPr>
        <w:ind w:left="504"/>
      </w:pPr>
      <w:r>
        <w:tab/>
      </w:r>
      <w:r>
        <w:tab/>
        <w:t>Tier 1 Supplemental Mode Value Factor = ________________________</w:t>
      </w:r>
    </w:p>
    <w:p w:rsidRPr="00F10071" w:rsidR="00F30D93" w:rsidP="00F30D93" w:rsidRDefault="00F30D93" w14:paraId="5395CF66" w14:textId="7B1B29DB">
      <w:pPr>
        <w:pStyle w:val="zG04"/>
        <w:numPr>
          <w:ilvl w:val="0"/>
          <w:numId w:val="0"/>
        </w:numPr>
        <w:ind w:left="504"/>
      </w:pPr>
      <w:r>
        <w:tab/>
      </w:r>
      <w:r>
        <w:tab/>
        <w:t>Tier 2 Supplemental Mode Value Factor = ________________________</w:t>
      </w:r>
    </w:p>
    <w:p w:rsidRPr="00641DA2" w:rsidR="00F30D93" w:rsidP="00F30D93" w:rsidRDefault="00F30D93" w14:paraId="555A40EA" w14:textId="68F7DD7F">
      <w:pPr>
        <w:pStyle w:val="zG01"/>
      </w:pPr>
      <w:r>
        <w:t>Monthly Capacity Payment</w:t>
      </w:r>
    </w:p>
    <w:p w:rsidRPr="00F10071" w:rsidR="00F30D93" w:rsidP="00F30D93" w:rsidRDefault="00F30D93" w14:paraId="02792D2C" w14:textId="62B83CE7">
      <w:pPr>
        <w:pStyle w:val="zG02"/>
      </w:pPr>
      <w:r>
        <w:rPr>
          <w:b/>
          <w:bCs/>
        </w:rPr>
        <w:t>Calculation of Monthly Capacity Payment.</w:t>
      </w:r>
      <w:r>
        <w:t xml:space="preserve"> For each Month of each Annual Period, subject to the provisions of this PPA, the “</w:t>
      </w:r>
      <w:r>
        <w:rPr>
          <w:b/>
          <w:bCs/>
        </w:rPr>
        <w:t>Monthly Capacity Payment (MCP)</w:t>
      </w:r>
      <w:r>
        <w:t xml:space="preserve">” will be determined as follows: </w:t>
      </w:r>
    </w:p>
    <w:p w:rsidRPr="00F10071" w:rsidR="00F30D93" w:rsidP="00695641" w:rsidRDefault="00F30D93" w14:paraId="7DC6B47E" w14:textId="77777777">
      <w:pPr>
        <w:pStyle w:val="zGBody3"/>
        <w:tabs>
          <w:tab w:val="clear" w:pos="1872"/>
        </w:tabs>
      </w:pPr>
      <w:r>
        <w:rPr>
          <w:b/>
        </w:rPr>
        <w:t>MCP</w:t>
      </w:r>
      <w:r>
        <w:t xml:space="preserve"> = MCF – MAA</w:t>
      </w:r>
    </w:p>
    <w:p w:rsidRPr="00F10071" w:rsidR="00F30D93" w:rsidP="00695641" w:rsidRDefault="00F30D93" w14:paraId="4B0738DE" w14:textId="77777777">
      <w:pPr>
        <w:pStyle w:val="zGBody3"/>
        <w:tabs>
          <w:tab w:val="clear" w:pos="1872"/>
        </w:tabs>
      </w:pPr>
      <w:r>
        <w:t>Where:</w:t>
      </w:r>
    </w:p>
    <w:p w:rsidR="00F30D93" w:rsidP="00695641" w:rsidRDefault="00F30D93" w14:paraId="560D0577" w14:textId="6CFD9FBB">
      <w:pPr>
        <w:pStyle w:val="zGBody3"/>
        <w:tabs>
          <w:tab w:val="clear" w:pos="1872"/>
        </w:tabs>
        <w:ind w:left="1872"/>
      </w:pPr>
      <w:r>
        <w:rPr>
          <w:b/>
        </w:rPr>
        <w:t>MCF</w:t>
      </w:r>
      <w:r>
        <w:t xml:space="preserve"> = The Monthly Capacity Fee for the Month calculated by taking the </w:t>
      </w:r>
      <w:r>
        <w:rPr>
          <w:b/>
          <w:bCs/>
          <w:i/>
          <w:iCs/>
          <w:u w:val="single"/>
        </w:rPr>
        <w:t>product of</w:t>
      </w:r>
      <w:r>
        <w:t xml:space="preserve">: (i) the Declared Standard Capacity; </w:t>
      </w:r>
      <w:r>
        <w:rPr>
          <w:b/>
          <w:bCs/>
          <w:i/>
          <w:iCs/>
          <w:u w:val="single"/>
        </w:rPr>
        <w:t>times</w:t>
      </w:r>
      <w:r>
        <w:t xml:space="preserve"> (ii) the Annual Capacity Price; </w:t>
      </w:r>
      <w:r>
        <w:rPr>
          <w:b/>
          <w:bCs/>
          <w:i/>
          <w:iCs/>
          <w:u w:val="single"/>
        </w:rPr>
        <w:t>times</w:t>
      </w:r>
      <w:r>
        <w:t xml:space="preserve"> (iii) the Monthly Value Factor, as shown in the following equation: </w:t>
      </w:r>
    </w:p>
    <w:p w:rsidRPr="008725AF" w:rsidR="00F30D93" w:rsidP="00695641" w:rsidRDefault="00F30D93" w14:paraId="4C977C79" w14:textId="732B8914">
      <w:pPr>
        <w:pStyle w:val="zGBody3"/>
        <w:tabs>
          <w:tab w:val="clear" w:pos="1872"/>
        </w:tabs>
        <w:ind w:left="2304"/>
      </w:pPr>
      <w:r>
        <w:t>DC * ACP * MVF</w:t>
      </w:r>
      <w:r>
        <w:rPr>
          <w:color w:val="FF0000"/>
        </w:rPr>
        <w:t xml:space="preserve"> </w:t>
      </w:r>
      <w:r>
        <w:t>* 1000.</w:t>
      </w:r>
    </w:p>
    <w:p w:rsidR="00F30D93" w:rsidP="00695641" w:rsidRDefault="00F30D93" w14:paraId="6A8F0A6B" w14:textId="77777777">
      <w:pPr>
        <w:pStyle w:val="zGBody3"/>
        <w:tabs>
          <w:tab w:val="clear" w:pos="1872"/>
        </w:tabs>
        <w:ind w:left="2304"/>
      </w:pPr>
      <w:r>
        <w:t xml:space="preserve">Where: </w:t>
      </w:r>
    </w:p>
    <w:p w:rsidRPr="000057B0" w:rsidR="00F30D93" w:rsidP="00695641" w:rsidRDefault="00F30D93" w14:paraId="0C8F8A42" w14:textId="32F9DF7D">
      <w:pPr>
        <w:pStyle w:val="zGBody3"/>
        <w:tabs>
          <w:tab w:val="clear" w:pos="1872"/>
        </w:tabs>
        <w:ind w:left="3456"/>
        <w:rPr>
          <w:rFonts w:eastAsia="Times New Roman"/>
        </w:rPr>
      </w:pPr>
      <w:r>
        <w:rPr>
          <w:rFonts w:eastAsia="Times New Roman"/>
        </w:rPr>
        <w:t>DC = The Declared Standard Capacity for the Month, as determined in accordance with Section 1.3 (</w:t>
      </w:r>
      <w:r>
        <w:rPr>
          <w:rFonts w:eastAsia="Times New Roman"/>
          <w:i/>
          <w:iCs/>
        </w:rPr>
        <w:t>Declared Capacity</w:t>
      </w:r>
      <w:r>
        <w:rPr>
          <w:rFonts w:eastAsia="Times New Roman"/>
        </w:rPr>
        <w:t>).</w:t>
      </w:r>
    </w:p>
    <w:p w:rsidRPr="000057B0" w:rsidR="00F30D93" w:rsidP="00695641" w:rsidRDefault="00F30D93" w14:paraId="79B7C237" w14:textId="064A7A59">
      <w:pPr>
        <w:pStyle w:val="zGBody3"/>
        <w:tabs>
          <w:tab w:val="clear" w:pos="1872"/>
        </w:tabs>
        <w:ind w:left="3456"/>
        <w:rPr>
          <w:rFonts w:eastAsia="Times New Roman"/>
        </w:rPr>
      </w:pPr>
      <w:r>
        <w:rPr>
          <w:rFonts w:eastAsia="Times New Roman"/>
        </w:rPr>
        <w:t>ACP = The applicable Annual Capacity Price from Table B-2 (</w:t>
      </w:r>
      <w:r>
        <w:rPr>
          <w:rFonts w:eastAsia="Times New Roman"/>
          <w:i/>
          <w:iCs/>
        </w:rPr>
        <w:t>Annual Capacity Price</w:t>
      </w:r>
      <w:r>
        <w:rPr>
          <w:rFonts w:eastAsia="Times New Roman"/>
        </w:rPr>
        <w:t>).</w:t>
      </w:r>
    </w:p>
    <w:p w:rsidRPr="000057B0" w:rsidR="00F30D93" w:rsidP="00695641" w:rsidRDefault="00F30D93" w14:paraId="19A2B9AF" w14:textId="1691FE94">
      <w:pPr>
        <w:pStyle w:val="zGBody3"/>
        <w:tabs>
          <w:tab w:val="clear" w:pos="1872"/>
        </w:tabs>
        <w:ind w:left="3456"/>
      </w:pPr>
      <w:r>
        <w:rPr>
          <w:rFonts w:eastAsia="Times New Roman"/>
        </w:rPr>
        <w:t>MVF = The applicable Monthly Value Factor from Table B-3 (</w:t>
      </w:r>
      <w:r>
        <w:rPr>
          <w:rFonts w:eastAsia="Times New Roman"/>
          <w:i/>
          <w:iCs/>
        </w:rPr>
        <w:t>Monthly Value Factor</w:t>
      </w:r>
      <w:r>
        <w:rPr>
          <w:rFonts w:eastAsia="Times New Roman"/>
        </w:rPr>
        <w:t>).</w:t>
      </w:r>
    </w:p>
    <w:p w:rsidR="00F30D93" w:rsidP="00695641" w:rsidRDefault="00F30D93" w14:paraId="1384B9A8" w14:textId="17F8A4B7">
      <w:pPr>
        <w:pStyle w:val="zGBody3"/>
        <w:tabs>
          <w:tab w:val="clear" w:pos="1872"/>
        </w:tabs>
        <w:ind w:left="1872"/>
      </w:pPr>
      <w:r>
        <w:rPr>
          <w:b/>
        </w:rPr>
        <w:t>MAA</w:t>
      </w:r>
      <w:r>
        <w:t xml:space="preserve"> = The Monthly Availability Adjustment for the Month determined in accordance with Part 3 (</w:t>
      </w:r>
      <w:r>
        <w:rPr>
          <w:i/>
          <w:iCs/>
        </w:rPr>
        <w:t>Monthly Availability Adjustment</w:t>
      </w:r>
      <w:r>
        <w:t>).</w:t>
      </w:r>
    </w:p>
    <w:p w:rsidRPr="000057B0" w:rsidR="000B38CB" w:rsidP="00695641" w:rsidRDefault="000B38CB" w14:paraId="6D779091" w14:textId="58E1E6DE">
      <w:pPr>
        <w:pStyle w:val="zGBody3"/>
        <w:tabs>
          <w:tab w:val="clear" w:pos="1872"/>
        </w:tabs>
        <w:ind w:left="1872"/>
        <w:rPr>
          <w:rFonts w:eastAsia="Times New Roman"/>
        </w:rPr>
      </w:pPr>
      <w:r>
        <w:rPr>
          <w:b/>
        </w:rPr>
        <w:t xml:space="preserve">For the avoidance of doubt, </w:t>
      </w:r>
      <w:r w:rsidR="00B4217D">
        <w:rPr>
          <w:b/>
        </w:rPr>
        <w:t>MCF is calculated using the Declared Standard Capacity</w:t>
      </w:r>
      <w:r w:rsidR="00771E6E">
        <w:rPr>
          <w:b/>
        </w:rPr>
        <w:t>, which is based on</w:t>
      </w:r>
      <w:r w:rsidR="00245B28">
        <w:rPr>
          <w:b/>
        </w:rPr>
        <w:t xml:space="preserve"> Reference Conditions for </w:t>
      </w:r>
      <w:r w:rsidR="00831001">
        <w:rPr>
          <w:b/>
        </w:rPr>
        <w:t xml:space="preserve">the Standard Seasonal </w:t>
      </w:r>
      <w:r w:rsidR="00831001">
        <w:rPr>
          <w:b/>
        </w:rPr>
        <w:lastRenderedPageBreak/>
        <w:t>Performance Period</w:t>
      </w:r>
      <w:r w:rsidR="00245B28">
        <w:rPr>
          <w:b/>
        </w:rPr>
        <w:t>,</w:t>
      </w:r>
      <w:r w:rsidR="00B4217D">
        <w:rPr>
          <w:b/>
        </w:rPr>
        <w:t xml:space="preserve"> regardless of the </w:t>
      </w:r>
      <w:r w:rsidR="00771E6E">
        <w:rPr>
          <w:b/>
        </w:rPr>
        <w:t>Seasonal Performance Period in which the Month occurs</w:t>
      </w:r>
      <w:r w:rsidR="00245B28">
        <w:rPr>
          <w:b/>
        </w:rPr>
        <w:t>.</w:t>
      </w:r>
      <w:r w:rsidR="00771E6E">
        <w:rPr>
          <w:b/>
        </w:rPr>
        <w:t xml:space="preserve"> </w:t>
      </w:r>
    </w:p>
    <w:p w:rsidR="003A7F63" w:rsidP="003A7F63" w:rsidRDefault="003A7F63" w14:paraId="66FF8402" w14:textId="77777777">
      <w:pPr>
        <w:pStyle w:val="zG02"/>
      </w:pPr>
      <w:r>
        <w:rPr>
          <w:b/>
          <w:bCs/>
        </w:rPr>
        <w:t>Negative MCP.</w:t>
      </w:r>
      <w:r>
        <w:t xml:space="preserve"> If the amount of the MCP for a Month is negative (i.e., the amount of the Monthly Availability Adjustment exceeds the amount of the Monthly Capacity Fee for the Month), then the Monthly Capacity Payment for the Month will be deemed to be zero dollars ($0) and GPC will not be required to pay Seller a Monthly Capacity Payment for the Month.</w:t>
      </w:r>
    </w:p>
    <w:p w:rsidRPr="00F10071" w:rsidR="00F30D93" w:rsidP="001421CD" w:rsidRDefault="00E3448E" w14:paraId="21EE0CE1" w14:textId="75B52FC8">
      <w:pPr>
        <w:pStyle w:val="zG02"/>
      </w:pPr>
      <w:r>
        <w:rPr>
          <w:b/>
          <w:bCs/>
        </w:rPr>
        <w:t>Pro Rata MCP Calculation.</w:t>
      </w:r>
      <w:r>
        <w:t xml:space="preserve"> If the Delivery Commencement Date occurs on a Day other than the first Day of a Month, or if the last Day of the Term occurs on a Day other than the last Day of a Month, the calculation of the Monthly Capacity Payment and Monthly Availability Adjustment will be determined on a pro rata basis. </w:t>
      </w:r>
    </w:p>
    <w:p w:rsidRPr="000057B0" w:rsidR="00D01E78" w:rsidP="00D01E78" w:rsidRDefault="00D01E78" w14:paraId="476FC153" w14:textId="5C395FAF">
      <w:pPr>
        <w:pStyle w:val="zG02"/>
        <w:numPr>
          <w:ilvl w:val="0"/>
          <w:numId w:val="0"/>
        </w:numPr>
      </w:pPr>
      <w:r>
        <w:rPr>
          <w:b/>
          <w:bCs/>
        </w:rPr>
        <w:t>2.4</w:t>
      </w:r>
      <w:r>
        <w:rPr>
          <w:b/>
          <w:bCs/>
        </w:rPr>
        <w:tab/>
        <w:t xml:space="preserve">MVF; GPC Right to Modify. </w:t>
      </w:r>
      <w:r>
        <w:t>The Monthly Value Factor for each Month is stated in Table B-3 (</w:t>
      </w:r>
      <w:r>
        <w:rPr>
          <w:i/>
        </w:rPr>
        <w:t>Monthly Value Factor (MVF)</w:t>
      </w:r>
      <w:r>
        <w:t>). Despite the Monthly Value Factors in Table B-3, GPC has the right, in GPC’s sole discretion, to modify Table B-3, in whole or in part, once every three Annual Periods by providing notice to Seller, so long as: (i) GPC provides Seller the notice no later than 180 Days before the commencement of the Annual Period; (ii) each MVF is at least equal to 0.05 and is not greater than 0.25; (iii) only a single month has a MVF of 0.25; (iv) the sum of MVFs for any two immediately adjacent calendar months is not greater than 0.40; and (v) the sum of all MVFs for each Annual Period equals 1.0.</w:t>
      </w:r>
    </w:p>
    <w:p w:rsidRPr="00D01E78" w:rsidR="00D01E78" w:rsidP="00F30D93" w:rsidRDefault="00D01E78" w14:paraId="6839BA3D" w14:textId="2558638C">
      <w:pPr>
        <w:pStyle w:val="zG02"/>
        <w:numPr>
          <w:ilvl w:val="0"/>
          <w:numId w:val="0"/>
        </w:numPr>
        <w:rPr>
          <w:b/>
          <w:bCs/>
        </w:rPr>
      </w:pPr>
    </w:p>
    <w:p w:rsidRPr="00F10071" w:rsidR="00F30D93" w:rsidP="00F30D93" w:rsidRDefault="00F30D93" w14:paraId="4470E2F0" w14:textId="77777777">
      <w:pPr>
        <w:adjustRightInd w:val="0"/>
        <w:spacing w:before="0" w:after="0"/>
        <w:ind w:left="450" w:hanging="450"/>
        <w:textAlignment w:val="baseline"/>
        <w:rPr>
          <w:rFonts w:eastAsia="Times New Roman" w:cs="Arial"/>
        </w:rPr>
      </w:pPr>
    </w:p>
    <w:tbl>
      <w:tblPr>
        <w:tblW w:w="0" w:type="auto"/>
        <w:tblInd w:w="1998"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Look w:val="0000" w:firstRow="0" w:lastRow="0" w:firstColumn="0" w:lastColumn="0" w:noHBand="0" w:noVBand="0"/>
      </w:tblPr>
      <w:tblGrid>
        <w:gridCol w:w="1440"/>
        <w:gridCol w:w="3960"/>
      </w:tblGrid>
      <w:tr w:rsidRPr="00F10071" w:rsidR="001C07F0" w:rsidTr="001C07F0" w14:paraId="5A8BB779" w14:textId="77777777">
        <w:tc>
          <w:tcPr>
            <w:tcW w:w="5400" w:type="dxa"/>
            <w:gridSpan w:val="2"/>
            <w:shd w:val="clear" w:color="auto" w:fill="D9D9D9" w:themeFill="background1" w:themeFillShade="D9"/>
          </w:tcPr>
          <w:p w:rsidRPr="0091398F" w:rsidR="001C07F0" w:rsidRDefault="001C07F0" w14:paraId="15F02D6B" w14:textId="77777777">
            <w:pPr>
              <w:adjustRightInd w:val="0"/>
              <w:spacing w:before="0" w:after="0"/>
              <w:ind w:left="450" w:hanging="450"/>
              <w:jc w:val="center"/>
              <w:textAlignment w:val="baseline"/>
              <w:rPr>
                <w:rFonts w:eastAsia="Times New Roman" w:cs="Arial"/>
                <w:b/>
                <w:bCs/>
              </w:rPr>
            </w:pPr>
            <w:r>
              <w:rPr>
                <w:rFonts w:eastAsia="Times New Roman" w:cs="Arial"/>
                <w:b/>
                <w:bCs/>
              </w:rPr>
              <w:t>Table B-3</w:t>
            </w:r>
          </w:p>
          <w:p w:rsidRPr="0091398F" w:rsidR="001C07F0" w:rsidRDefault="001C07F0" w14:paraId="3A0B320C" w14:textId="77777777">
            <w:pPr>
              <w:adjustRightInd w:val="0"/>
              <w:spacing w:before="0" w:after="0"/>
              <w:ind w:left="450" w:hanging="450"/>
              <w:jc w:val="center"/>
              <w:textAlignment w:val="baseline"/>
              <w:rPr>
                <w:rFonts w:eastAsia="Times New Roman" w:cs="Arial"/>
                <w:b/>
                <w:bCs/>
              </w:rPr>
            </w:pPr>
            <w:r>
              <w:rPr>
                <w:rFonts w:eastAsia="Times New Roman" w:cs="Arial"/>
                <w:b/>
                <w:bCs/>
              </w:rPr>
              <w:t>Monthly Value Factor (MVF)</w:t>
            </w:r>
          </w:p>
        </w:tc>
      </w:tr>
      <w:tr w:rsidRPr="00F10071" w:rsidR="001C07F0" w:rsidTr="001C07F0" w14:paraId="1339C1B0" w14:textId="77777777">
        <w:tc>
          <w:tcPr>
            <w:tcW w:w="1440" w:type="dxa"/>
            <w:shd w:val="clear" w:color="auto" w:fill="F2F2F2" w:themeFill="background1" w:themeFillShade="F2"/>
          </w:tcPr>
          <w:p w:rsidRPr="0091398F" w:rsidR="001C07F0" w:rsidRDefault="001C07F0" w14:paraId="3D0A70E1" w14:textId="77777777">
            <w:pPr>
              <w:adjustRightInd w:val="0"/>
              <w:spacing w:before="0" w:after="0"/>
              <w:jc w:val="center"/>
              <w:textAlignment w:val="baseline"/>
              <w:rPr>
                <w:rFonts w:eastAsia="Times New Roman" w:cs="Arial"/>
                <w:b/>
                <w:bCs/>
              </w:rPr>
            </w:pPr>
            <w:r>
              <w:rPr>
                <w:rFonts w:eastAsia="Times New Roman" w:cs="Arial"/>
                <w:b/>
                <w:bCs/>
              </w:rPr>
              <w:t>Month</w:t>
            </w:r>
          </w:p>
        </w:tc>
        <w:tc>
          <w:tcPr>
            <w:tcW w:w="3960" w:type="dxa"/>
            <w:shd w:val="clear" w:color="auto" w:fill="F2F2F2" w:themeFill="background1" w:themeFillShade="F2"/>
          </w:tcPr>
          <w:p w:rsidRPr="0091398F" w:rsidR="001C07F0" w:rsidRDefault="001C07F0" w14:paraId="54992BFF" w14:textId="77777777">
            <w:pPr>
              <w:adjustRightInd w:val="0"/>
              <w:spacing w:before="0" w:after="0"/>
              <w:jc w:val="center"/>
              <w:textAlignment w:val="baseline"/>
              <w:rPr>
                <w:rFonts w:eastAsia="Times New Roman" w:cs="Arial"/>
                <w:b/>
                <w:bCs/>
              </w:rPr>
            </w:pPr>
            <w:r>
              <w:rPr>
                <w:rFonts w:eastAsia="Times New Roman" w:cs="Arial"/>
                <w:b/>
                <w:bCs/>
              </w:rPr>
              <w:t>MVF</w:t>
            </w:r>
          </w:p>
        </w:tc>
      </w:tr>
      <w:tr w:rsidRPr="00F10071" w:rsidR="001C07F0" w:rsidTr="001C07F0" w14:paraId="42631A41" w14:textId="77777777">
        <w:tc>
          <w:tcPr>
            <w:tcW w:w="1440" w:type="dxa"/>
          </w:tcPr>
          <w:p w:rsidRPr="00C16FDD" w:rsidR="001C07F0" w:rsidRDefault="001C07F0" w14:paraId="29C82D91" w14:textId="77777777">
            <w:pPr>
              <w:pStyle w:val="Title2"/>
              <w:adjustRightInd w:val="0"/>
              <w:spacing w:before="0" w:after="0"/>
              <w:textAlignment w:val="baseline"/>
              <w:rPr>
                <w:rFonts w:eastAsia="Times New Roman" w:cs="Arial"/>
                <w:bCs/>
                <w:caps w:val="0"/>
              </w:rPr>
            </w:pPr>
            <w:r>
              <w:rPr>
                <w:rFonts w:eastAsia="Times New Roman" w:cs="Arial"/>
                <w:bCs/>
                <w:caps w:val="0"/>
              </w:rPr>
              <w:t>December</w:t>
            </w:r>
          </w:p>
        </w:tc>
        <w:tc>
          <w:tcPr>
            <w:tcW w:w="3960" w:type="dxa"/>
          </w:tcPr>
          <w:p w:rsidR="001C07F0" w:rsidRDefault="001C07F0" w14:paraId="7F88E917" w14:textId="77777777">
            <w:pPr>
              <w:adjustRightInd w:val="0"/>
              <w:spacing w:before="0" w:after="0"/>
              <w:jc w:val="center"/>
              <w:textAlignment w:val="baseline"/>
              <w:rPr>
                <w:rFonts w:eastAsia="Times New Roman" w:cs="Arial"/>
              </w:rPr>
            </w:pPr>
            <w:r>
              <w:rPr>
                <w:rFonts w:eastAsia="Times New Roman" w:cs="Arial"/>
              </w:rPr>
              <w:t>0.10</w:t>
            </w:r>
          </w:p>
        </w:tc>
      </w:tr>
      <w:tr w:rsidRPr="00F10071" w:rsidR="005874E9" w:rsidTr="001C07F0" w14:paraId="10631ABD" w14:textId="77777777">
        <w:tc>
          <w:tcPr>
            <w:tcW w:w="1440" w:type="dxa"/>
          </w:tcPr>
          <w:p w:rsidRPr="0091398F" w:rsidR="005874E9" w:rsidP="005874E9" w:rsidRDefault="005874E9" w14:paraId="6EF3160A" w14:textId="77777777">
            <w:pPr>
              <w:adjustRightInd w:val="0"/>
              <w:spacing w:before="0" w:after="0"/>
              <w:jc w:val="center"/>
              <w:textAlignment w:val="baseline"/>
              <w:rPr>
                <w:rFonts w:eastAsia="Times New Roman" w:cs="Arial"/>
                <w:b/>
                <w:bCs/>
              </w:rPr>
            </w:pPr>
            <w:r>
              <w:rPr>
                <w:rFonts w:eastAsia="Times New Roman" w:cs="Arial"/>
                <w:b/>
                <w:bCs/>
              </w:rPr>
              <w:t>January</w:t>
            </w:r>
          </w:p>
        </w:tc>
        <w:tc>
          <w:tcPr>
            <w:tcW w:w="3960" w:type="dxa"/>
          </w:tcPr>
          <w:p w:rsidRPr="00F10071" w:rsidR="005874E9" w:rsidP="005874E9" w:rsidRDefault="005874E9" w14:paraId="7EA16315" w14:textId="2D27D273">
            <w:pPr>
              <w:adjustRightInd w:val="0"/>
              <w:spacing w:before="0" w:after="0"/>
              <w:jc w:val="center"/>
              <w:textAlignment w:val="baseline"/>
              <w:rPr>
                <w:rFonts w:eastAsia="Times New Roman" w:cs="Arial"/>
              </w:rPr>
            </w:pPr>
            <w:r>
              <w:rPr>
                <w:rFonts w:eastAsia="Times New Roman" w:cs="Arial"/>
              </w:rPr>
              <w:t>0.25</w:t>
            </w:r>
          </w:p>
        </w:tc>
      </w:tr>
      <w:tr w:rsidRPr="00F10071" w:rsidR="005874E9" w:rsidTr="001C07F0" w14:paraId="681FD7F9" w14:textId="77777777">
        <w:tc>
          <w:tcPr>
            <w:tcW w:w="1440" w:type="dxa"/>
          </w:tcPr>
          <w:p w:rsidRPr="0091398F" w:rsidR="005874E9" w:rsidP="005874E9" w:rsidRDefault="005874E9" w14:paraId="45056CBF" w14:textId="77777777">
            <w:pPr>
              <w:adjustRightInd w:val="0"/>
              <w:spacing w:before="0" w:after="0"/>
              <w:jc w:val="center"/>
              <w:textAlignment w:val="baseline"/>
              <w:rPr>
                <w:rFonts w:eastAsia="Times New Roman" w:cs="Arial"/>
                <w:b/>
                <w:bCs/>
              </w:rPr>
            </w:pPr>
            <w:r>
              <w:rPr>
                <w:rFonts w:eastAsia="Times New Roman" w:cs="Arial"/>
                <w:b/>
                <w:bCs/>
              </w:rPr>
              <w:t>February</w:t>
            </w:r>
          </w:p>
        </w:tc>
        <w:tc>
          <w:tcPr>
            <w:tcW w:w="3960" w:type="dxa"/>
          </w:tcPr>
          <w:p w:rsidRPr="00F10071" w:rsidR="005874E9" w:rsidP="005874E9" w:rsidRDefault="005874E9" w14:paraId="7C29BC0A" w14:textId="749DA0A5">
            <w:pPr>
              <w:adjustRightInd w:val="0"/>
              <w:spacing w:before="0" w:after="0"/>
              <w:jc w:val="center"/>
              <w:textAlignment w:val="baseline"/>
              <w:rPr>
                <w:rFonts w:eastAsia="Times New Roman" w:cs="Arial"/>
              </w:rPr>
            </w:pPr>
            <w:r>
              <w:rPr>
                <w:rFonts w:eastAsia="Times New Roman" w:cs="Arial"/>
              </w:rPr>
              <w:t>0.10</w:t>
            </w:r>
          </w:p>
        </w:tc>
      </w:tr>
      <w:tr w:rsidRPr="00F10071" w:rsidR="005874E9" w:rsidTr="001C07F0" w14:paraId="43FE9185" w14:textId="77777777">
        <w:tc>
          <w:tcPr>
            <w:tcW w:w="1440" w:type="dxa"/>
          </w:tcPr>
          <w:p w:rsidRPr="0091398F" w:rsidR="005874E9" w:rsidP="005874E9" w:rsidRDefault="005874E9" w14:paraId="28AD4D8A" w14:textId="77777777">
            <w:pPr>
              <w:adjustRightInd w:val="0"/>
              <w:spacing w:before="0" w:after="0"/>
              <w:jc w:val="center"/>
              <w:textAlignment w:val="baseline"/>
              <w:rPr>
                <w:rFonts w:eastAsia="Times New Roman" w:cs="Arial"/>
                <w:b/>
                <w:bCs/>
              </w:rPr>
            </w:pPr>
            <w:r>
              <w:rPr>
                <w:rFonts w:eastAsia="Times New Roman" w:cs="Arial"/>
                <w:b/>
                <w:bCs/>
              </w:rPr>
              <w:t>March</w:t>
            </w:r>
          </w:p>
        </w:tc>
        <w:tc>
          <w:tcPr>
            <w:tcW w:w="3960" w:type="dxa"/>
          </w:tcPr>
          <w:p w:rsidRPr="00F10071" w:rsidR="005874E9" w:rsidP="005874E9" w:rsidRDefault="005874E9" w14:paraId="1B84780F" w14:textId="5F2BDBDC">
            <w:pPr>
              <w:adjustRightInd w:val="0"/>
              <w:spacing w:before="0" w:after="0"/>
              <w:jc w:val="center"/>
              <w:textAlignment w:val="baseline"/>
              <w:rPr>
                <w:rFonts w:eastAsia="Times New Roman" w:cs="Arial"/>
              </w:rPr>
            </w:pPr>
            <w:r>
              <w:rPr>
                <w:rFonts w:eastAsia="Times New Roman" w:cs="Arial"/>
              </w:rPr>
              <w:t>0.05</w:t>
            </w:r>
          </w:p>
        </w:tc>
      </w:tr>
      <w:tr w:rsidRPr="00F10071" w:rsidR="005874E9" w:rsidTr="001C07F0" w14:paraId="4641AC13" w14:textId="77777777">
        <w:tc>
          <w:tcPr>
            <w:tcW w:w="1440" w:type="dxa"/>
          </w:tcPr>
          <w:p w:rsidRPr="0091398F" w:rsidR="005874E9" w:rsidP="005874E9" w:rsidRDefault="005874E9" w14:paraId="18216C64" w14:textId="77777777">
            <w:pPr>
              <w:adjustRightInd w:val="0"/>
              <w:spacing w:before="0" w:after="0"/>
              <w:jc w:val="center"/>
              <w:textAlignment w:val="baseline"/>
              <w:rPr>
                <w:rFonts w:eastAsia="Times New Roman" w:cs="Arial"/>
                <w:b/>
                <w:bCs/>
              </w:rPr>
            </w:pPr>
            <w:r>
              <w:rPr>
                <w:rFonts w:eastAsia="Times New Roman" w:cs="Arial"/>
                <w:b/>
                <w:bCs/>
              </w:rPr>
              <w:t>April</w:t>
            </w:r>
          </w:p>
        </w:tc>
        <w:tc>
          <w:tcPr>
            <w:tcW w:w="3960" w:type="dxa"/>
          </w:tcPr>
          <w:p w:rsidRPr="00F10071" w:rsidR="005874E9" w:rsidP="005874E9" w:rsidRDefault="005874E9" w14:paraId="55480055" w14:textId="4AF51C58">
            <w:pPr>
              <w:adjustRightInd w:val="0"/>
              <w:spacing w:before="0" w:after="0"/>
              <w:jc w:val="center"/>
              <w:textAlignment w:val="baseline"/>
              <w:rPr>
                <w:rFonts w:eastAsia="Times New Roman" w:cs="Arial"/>
              </w:rPr>
            </w:pPr>
            <w:r>
              <w:rPr>
                <w:rFonts w:eastAsia="Times New Roman" w:cs="Arial"/>
              </w:rPr>
              <w:t>0.05</w:t>
            </w:r>
          </w:p>
        </w:tc>
      </w:tr>
      <w:tr w:rsidRPr="00F10071" w:rsidR="005874E9" w:rsidTr="001C07F0" w14:paraId="78D236FB" w14:textId="77777777">
        <w:tc>
          <w:tcPr>
            <w:tcW w:w="1440" w:type="dxa"/>
          </w:tcPr>
          <w:p w:rsidRPr="0091398F" w:rsidR="005874E9" w:rsidP="005874E9" w:rsidRDefault="005874E9" w14:paraId="60731DA8" w14:textId="77777777">
            <w:pPr>
              <w:adjustRightInd w:val="0"/>
              <w:spacing w:before="0" w:after="0"/>
              <w:jc w:val="center"/>
              <w:textAlignment w:val="baseline"/>
              <w:rPr>
                <w:rFonts w:eastAsia="Times New Roman" w:cs="Arial"/>
                <w:b/>
                <w:bCs/>
              </w:rPr>
            </w:pPr>
            <w:r>
              <w:rPr>
                <w:rFonts w:eastAsia="Times New Roman" w:cs="Arial"/>
                <w:b/>
                <w:bCs/>
              </w:rPr>
              <w:t>May</w:t>
            </w:r>
          </w:p>
        </w:tc>
        <w:tc>
          <w:tcPr>
            <w:tcW w:w="3960" w:type="dxa"/>
          </w:tcPr>
          <w:p w:rsidRPr="00F10071" w:rsidR="005874E9" w:rsidP="005874E9" w:rsidRDefault="005874E9" w14:paraId="3B459E2F" w14:textId="03024FCD">
            <w:pPr>
              <w:adjustRightInd w:val="0"/>
              <w:spacing w:before="0" w:after="0"/>
              <w:jc w:val="center"/>
              <w:textAlignment w:val="baseline"/>
              <w:rPr>
                <w:rFonts w:eastAsia="Times New Roman" w:cs="Arial"/>
              </w:rPr>
            </w:pPr>
            <w:r>
              <w:rPr>
                <w:rFonts w:eastAsia="Times New Roman" w:cs="Arial"/>
              </w:rPr>
              <w:t>0.05</w:t>
            </w:r>
          </w:p>
        </w:tc>
      </w:tr>
      <w:tr w:rsidRPr="00F10071" w:rsidR="005874E9" w:rsidTr="001C07F0" w14:paraId="46622C3C" w14:textId="77777777">
        <w:tc>
          <w:tcPr>
            <w:tcW w:w="1440" w:type="dxa"/>
          </w:tcPr>
          <w:p w:rsidRPr="0091398F" w:rsidR="005874E9" w:rsidP="005874E9" w:rsidRDefault="005874E9" w14:paraId="33942715" w14:textId="77777777">
            <w:pPr>
              <w:adjustRightInd w:val="0"/>
              <w:spacing w:before="0" w:after="0"/>
              <w:jc w:val="center"/>
              <w:textAlignment w:val="baseline"/>
              <w:rPr>
                <w:rFonts w:eastAsia="Times New Roman" w:cs="Arial"/>
                <w:b/>
                <w:bCs/>
              </w:rPr>
            </w:pPr>
            <w:r>
              <w:rPr>
                <w:rFonts w:eastAsia="Times New Roman" w:cs="Arial"/>
                <w:b/>
                <w:bCs/>
              </w:rPr>
              <w:t>June</w:t>
            </w:r>
          </w:p>
        </w:tc>
        <w:tc>
          <w:tcPr>
            <w:tcW w:w="3960" w:type="dxa"/>
          </w:tcPr>
          <w:p w:rsidRPr="00F10071" w:rsidR="005874E9" w:rsidP="005874E9" w:rsidRDefault="005874E9" w14:paraId="55AC19AF" w14:textId="6D300B22">
            <w:pPr>
              <w:adjustRightInd w:val="0"/>
              <w:spacing w:before="0" w:after="0"/>
              <w:jc w:val="center"/>
              <w:textAlignment w:val="baseline"/>
              <w:rPr>
                <w:rFonts w:eastAsia="Times New Roman" w:cs="Arial"/>
              </w:rPr>
            </w:pPr>
            <w:r>
              <w:rPr>
                <w:rFonts w:eastAsia="Times New Roman" w:cs="Arial"/>
              </w:rPr>
              <w:t>0.05</w:t>
            </w:r>
          </w:p>
        </w:tc>
      </w:tr>
      <w:tr w:rsidRPr="00F10071" w:rsidR="005874E9" w:rsidTr="001C07F0" w14:paraId="553CD003" w14:textId="77777777">
        <w:tc>
          <w:tcPr>
            <w:tcW w:w="1440" w:type="dxa"/>
          </w:tcPr>
          <w:p w:rsidRPr="0091398F" w:rsidR="005874E9" w:rsidP="005874E9" w:rsidRDefault="005874E9" w14:paraId="3F47D596" w14:textId="77777777">
            <w:pPr>
              <w:adjustRightInd w:val="0"/>
              <w:spacing w:before="0" w:after="0"/>
              <w:jc w:val="center"/>
              <w:textAlignment w:val="baseline"/>
              <w:rPr>
                <w:rFonts w:eastAsia="Times New Roman" w:cs="Arial"/>
                <w:b/>
                <w:bCs/>
              </w:rPr>
            </w:pPr>
            <w:r>
              <w:rPr>
                <w:rFonts w:eastAsia="Times New Roman" w:cs="Arial"/>
                <w:b/>
                <w:bCs/>
              </w:rPr>
              <w:t>July</w:t>
            </w:r>
          </w:p>
        </w:tc>
        <w:tc>
          <w:tcPr>
            <w:tcW w:w="3960" w:type="dxa"/>
          </w:tcPr>
          <w:p w:rsidRPr="00F10071" w:rsidR="005874E9" w:rsidP="005874E9" w:rsidRDefault="005874E9" w14:paraId="41D9A286" w14:textId="03988C50">
            <w:pPr>
              <w:adjustRightInd w:val="0"/>
              <w:spacing w:before="0" w:after="0"/>
              <w:jc w:val="center"/>
              <w:textAlignment w:val="baseline"/>
              <w:rPr>
                <w:rFonts w:eastAsia="Times New Roman" w:cs="Arial"/>
              </w:rPr>
            </w:pPr>
            <w:r>
              <w:rPr>
                <w:rFonts w:eastAsia="Times New Roman" w:cs="Arial"/>
              </w:rPr>
              <w:t>0.10</w:t>
            </w:r>
          </w:p>
        </w:tc>
      </w:tr>
      <w:tr w:rsidRPr="00F10071" w:rsidR="005874E9" w:rsidTr="001C07F0" w14:paraId="48736279" w14:textId="77777777">
        <w:tc>
          <w:tcPr>
            <w:tcW w:w="1440" w:type="dxa"/>
          </w:tcPr>
          <w:p w:rsidRPr="0091398F" w:rsidR="005874E9" w:rsidP="005874E9" w:rsidRDefault="005874E9" w14:paraId="1904DB0F" w14:textId="77777777">
            <w:pPr>
              <w:adjustRightInd w:val="0"/>
              <w:spacing w:before="0" w:after="0"/>
              <w:jc w:val="center"/>
              <w:textAlignment w:val="baseline"/>
              <w:rPr>
                <w:rFonts w:eastAsia="Times New Roman" w:cs="Arial"/>
                <w:b/>
                <w:bCs/>
              </w:rPr>
            </w:pPr>
            <w:r>
              <w:rPr>
                <w:rFonts w:eastAsia="Times New Roman" w:cs="Arial"/>
                <w:b/>
                <w:bCs/>
              </w:rPr>
              <w:t>August</w:t>
            </w:r>
          </w:p>
        </w:tc>
        <w:tc>
          <w:tcPr>
            <w:tcW w:w="3960" w:type="dxa"/>
          </w:tcPr>
          <w:p w:rsidRPr="00F10071" w:rsidR="005874E9" w:rsidP="005874E9" w:rsidRDefault="005874E9" w14:paraId="6A548B5D" w14:textId="05132806">
            <w:pPr>
              <w:adjustRightInd w:val="0"/>
              <w:spacing w:before="0" w:after="0"/>
              <w:jc w:val="center"/>
              <w:textAlignment w:val="baseline"/>
              <w:rPr>
                <w:rFonts w:eastAsia="Times New Roman" w:cs="Arial"/>
              </w:rPr>
            </w:pPr>
            <w:r>
              <w:rPr>
                <w:rFonts w:eastAsia="Times New Roman" w:cs="Arial"/>
              </w:rPr>
              <w:t>0.10</w:t>
            </w:r>
          </w:p>
        </w:tc>
      </w:tr>
      <w:tr w:rsidRPr="00F10071" w:rsidR="005874E9" w:rsidTr="001C07F0" w14:paraId="1EE2BCAF" w14:textId="77777777">
        <w:tc>
          <w:tcPr>
            <w:tcW w:w="1440" w:type="dxa"/>
          </w:tcPr>
          <w:p w:rsidRPr="0091398F" w:rsidR="005874E9" w:rsidP="005874E9" w:rsidRDefault="005874E9" w14:paraId="0D95A72F" w14:textId="77777777">
            <w:pPr>
              <w:adjustRightInd w:val="0"/>
              <w:spacing w:before="0" w:after="0"/>
              <w:jc w:val="center"/>
              <w:textAlignment w:val="baseline"/>
              <w:rPr>
                <w:rFonts w:eastAsia="Times New Roman" w:cs="Arial"/>
                <w:b/>
                <w:bCs/>
              </w:rPr>
            </w:pPr>
            <w:r>
              <w:rPr>
                <w:rFonts w:eastAsia="Times New Roman" w:cs="Arial"/>
                <w:b/>
                <w:bCs/>
              </w:rPr>
              <w:t>September</w:t>
            </w:r>
          </w:p>
        </w:tc>
        <w:tc>
          <w:tcPr>
            <w:tcW w:w="3960" w:type="dxa"/>
          </w:tcPr>
          <w:p w:rsidRPr="00F10071" w:rsidR="005874E9" w:rsidP="005874E9" w:rsidRDefault="005874E9" w14:paraId="413B66C7" w14:textId="69CCB951">
            <w:pPr>
              <w:adjustRightInd w:val="0"/>
              <w:spacing w:before="0" w:after="0"/>
              <w:jc w:val="center"/>
              <w:textAlignment w:val="baseline"/>
              <w:rPr>
                <w:rFonts w:eastAsia="Times New Roman" w:cs="Arial"/>
              </w:rPr>
            </w:pPr>
            <w:r>
              <w:rPr>
                <w:rFonts w:eastAsia="Times New Roman" w:cs="Arial"/>
              </w:rPr>
              <w:t>0.05</w:t>
            </w:r>
          </w:p>
        </w:tc>
      </w:tr>
      <w:tr w:rsidRPr="00F10071" w:rsidR="005874E9" w:rsidTr="001C07F0" w14:paraId="042E153D" w14:textId="77777777">
        <w:tc>
          <w:tcPr>
            <w:tcW w:w="1440" w:type="dxa"/>
          </w:tcPr>
          <w:p w:rsidRPr="0091398F" w:rsidR="005874E9" w:rsidP="005874E9" w:rsidRDefault="005874E9" w14:paraId="7B6D379F" w14:textId="77777777">
            <w:pPr>
              <w:adjustRightInd w:val="0"/>
              <w:spacing w:before="0" w:after="0"/>
              <w:jc w:val="center"/>
              <w:textAlignment w:val="baseline"/>
              <w:rPr>
                <w:rFonts w:eastAsia="Times New Roman" w:cs="Arial"/>
                <w:b/>
                <w:bCs/>
              </w:rPr>
            </w:pPr>
            <w:r>
              <w:rPr>
                <w:rFonts w:eastAsia="Times New Roman" w:cs="Arial"/>
                <w:b/>
                <w:bCs/>
              </w:rPr>
              <w:t>October</w:t>
            </w:r>
          </w:p>
        </w:tc>
        <w:tc>
          <w:tcPr>
            <w:tcW w:w="3960" w:type="dxa"/>
          </w:tcPr>
          <w:p w:rsidRPr="00F10071" w:rsidR="005874E9" w:rsidP="005874E9" w:rsidRDefault="005874E9" w14:paraId="27FBDBDA" w14:textId="696C6572">
            <w:pPr>
              <w:adjustRightInd w:val="0"/>
              <w:spacing w:before="0" w:after="0"/>
              <w:jc w:val="center"/>
              <w:textAlignment w:val="baseline"/>
              <w:rPr>
                <w:rFonts w:eastAsia="Times New Roman" w:cs="Arial"/>
              </w:rPr>
            </w:pPr>
            <w:r>
              <w:rPr>
                <w:rFonts w:eastAsia="Times New Roman" w:cs="Arial"/>
              </w:rPr>
              <w:t>0.05</w:t>
            </w:r>
          </w:p>
        </w:tc>
      </w:tr>
      <w:tr w:rsidRPr="00F10071" w:rsidR="005874E9" w:rsidTr="001C07F0" w14:paraId="0EEAAB19" w14:textId="77777777">
        <w:tc>
          <w:tcPr>
            <w:tcW w:w="1440" w:type="dxa"/>
          </w:tcPr>
          <w:p w:rsidRPr="0091398F" w:rsidR="005874E9" w:rsidP="005874E9" w:rsidRDefault="005874E9" w14:paraId="76F16CDE" w14:textId="77777777">
            <w:pPr>
              <w:adjustRightInd w:val="0"/>
              <w:spacing w:before="0" w:after="0"/>
              <w:jc w:val="center"/>
              <w:textAlignment w:val="baseline"/>
              <w:rPr>
                <w:rFonts w:eastAsia="Times New Roman" w:cs="Arial"/>
                <w:b/>
                <w:bCs/>
              </w:rPr>
            </w:pPr>
            <w:r>
              <w:rPr>
                <w:rFonts w:eastAsia="Times New Roman" w:cs="Arial"/>
                <w:b/>
                <w:bCs/>
              </w:rPr>
              <w:t>November</w:t>
            </w:r>
          </w:p>
        </w:tc>
        <w:tc>
          <w:tcPr>
            <w:tcW w:w="3960" w:type="dxa"/>
          </w:tcPr>
          <w:p w:rsidRPr="00F10071" w:rsidR="005874E9" w:rsidP="005874E9" w:rsidRDefault="005874E9" w14:paraId="26EA8B31" w14:textId="11E283D6">
            <w:pPr>
              <w:adjustRightInd w:val="0"/>
              <w:spacing w:before="0" w:after="0"/>
              <w:jc w:val="center"/>
              <w:textAlignment w:val="baseline"/>
              <w:rPr>
                <w:rFonts w:eastAsia="Times New Roman" w:cs="Arial"/>
              </w:rPr>
            </w:pPr>
            <w:r>
              <w:rPr>
                <w:rFonts w:eastAsia="Times New Roman" w:cs="Arial"/>
              </w:rPr>
              <w:t>0.05</w:t>
            </w:r>
          </w:p>
        </w:tc>
      </w:tr>
    </w:tbl>
    <w:p w:rsidRPr="00F10071" w:rsidR="00F30D93" w:rsidP="00F30D93" w:rsidRDefault="00F30D93" w14:paraId="630B1F35" w14:textId="77777777">
      <w:pPr>
        <w:adjustRightInd w:val="0"/>
        <w:spacing w:before="0" w:after="0"/>
        <w:ind w:left="450" w:hanging="450"/>
        <w:textAlignment w:val="baseline"/>
        <w:rPr>
          <w:rFonts w:eastAsia="Times New Roman" w:cs="Arial"/>
        </w:rPr>
      </w:pPr>
    </w:p>
    <w:p w:rsidR="0050423F" w:rsidP="0050423F" w:rsidRDefault="00D8080D" w14:paraId="41A61A1E" w14:textId="6BBC2750">
      <w:pPr>
        <w:pStyle w:val="zG02"/>
        <w:numPr>
          <w:ilvl w:val="0"/>
          <w:numId w:val="0"/>
        </w:numPr>
      </w:pPr>
      <w:r>
        <w:rPr>
          <w:b/>
          <w:bCs/>
        </w:rPr>
        <w:t>2.5</w:t>
      </w:r>
      <w:r>
        <w:rPr>
          <w:b/>
          <w:bCs/>
        </w:rPr>
        <w:tab/>
        <w:t xml:space="preserve">No GPC Payment Obligation Before </w:t>
      </w:r>
      <w:r w:rsidR="00231EF1">
        <w:rPr>
          <w:b/>
          <w:bCs/>
        </w:rPr>
        <w:t>the Delivery Commencement Date</w:t>
      </w:r>
      <w:r>
        <w:rPr>
          <w:b/>
          <w:bCs/>
        </w:rPr>
        <w:t>.</w:t>
      </w:r>
      <w:r>
        <w:t xml:space="preserve"> GPC will not owe Seller any payment or other compensation for the Facility capacity or energy for any Month before the Month of the Delivery Commencement Date, even if Seller achieves Commercial Operation of the Facility</w:t>
      </w:r>
      <w:r w:rsidR="00231EF1">
        <w:t xml:space="preserve"> more than nine Months</w:t>
      </w:r>
      <w:r>
        <w:t xml:space="preserve"> before the RCOD.</w:t>
      </w:r>
    </w:p>
    <w:p w:rsidRPr="000057B0" w:rsidR="00F30D93" w:rsidP="00F30D93" w:rsidRDefault="00F30D93" w14:paraId="2740E823" w14:textId="221F9279">
      <w:pPr>
        <w:pStyle w:val="zG01"/>
      </w:pPr>
      <w:r>
        <w:t>Monthly Availability Adjustment</w:t>
      </w:r>
    </w:p>
    <w:p w:rsidRPr="000057B0" w:rsidR="00F30D93" w:rsidP="00F30D93" w:rsidRDefault="00F30D93" w14:paraId="00164429" w14:textId="69847834">
      <w:pPr>
        <w:pStyle w:val="zG02"/>
      </w:pPr>
      <w:r>
        <w:rPr>
          <w:b/>
          <w:bCs/>
        </w:rPr>
        <w:t>Calculation of Monthly Availability Adjustment.</w:t>
      </w:r>
      <w:r>
        <w:t xml:space="preserve"> For each Month of each Annual Period, GPC will determine the “</w:t>
      </w:r>
      <w:r>
        <w:rPr>
          <w:b/>
        </w:rPr>
        <w:t>Monthly Availability Adjustment (MAA)</w:t>
      </w:r>
      <w:r>
        <w:t xml:space="preserve">” by taking the </w:t>
      </w:r>
      <w:r>
        <w:rPr>
          <w:i/>
          <w:iCs/>
        </w:rPr>
        <w:t>greater</w:t>
      </w:r>
      <w:r>
        <w:t xml:space="preserve"> of: (i) the </w:t>
      </w:r>
      <w:r>
        <w:rPr>
          <w:i/>
          <w:iCs/>
        </w:rPr>
        <w:t>product</w:t>
      </w:r>
      <w:r>
        <w:t xml:space="preserve"> of: (a) the Monthly Capacity Fee, </w:t>
      </w:r>
      <w:r>
        <w:rPr>
          <w:i/>
          <w:iCs/>
        </w:rPr>
        <w:t>times</w:t>
      </w:r>
      <w:r>
        <w:t xml:space="preserve"> (b) the Monthly Availability Factor; or (ii) Replacement Costs, as shown in the following equation:  </w:t>
      </w:r>
    </w:p>
    <w:p w:rsidRPr="000057B0" w:rsidR="00F30D93" w:rsidP="00F30D93" w:rsidRDefault="00F30D93" w14:paraId="71418A45" w14:textId="36F9E49F">
      <w:pPr>
        <w:pStyle w:val="zG02"/>
        <w:numPr>
          <w:ilvl w:val="0"/>
          <w:numId w:val="0"/>
        </w:numPr>
      </w:pPr>
      <w:r>
        <w:rPr>
          <w:b/>
        </w:rPr>
        <w:t>MAA</w:t>
      </w:r>
      <w:r>
        <w:t xml:space="preserve"> = the greater of: (i) (MCF * MAF), or (ii) (Replacement Costs)</w:t>
      </w:r>
    </w:p>
    <w:p w:rsidRPr="000057B0" w:rsidR="00F30D93" w:rsidP="00F30D93" w:rsidRDefault="00F30D93" w14:paraId="7A626DCE" w14:textId="77777777">
      <w:pPr>
        <w:pStyle w:val="zG02"/>
        <w:numPr>
          <w:ilvl w:val="0"/>
          <w:numId w:val="0"/>
        </w:numPr>
      </w:pPr>
      <w:r>
        <w:t>Where:</w:t>
      </w:r>
    </w:p>
    <w:p w:rsidRPr="000057B0" w:rsidR="00F30D93" w:rsidP="00F30D93" w:rsidRDefault="00F30D93" w14:paraId="2D1B5F50" w14:textId="1A044918">
      <w:pPr>
        <w:pStyle w:val="zG02"/>
        <w:numPr>
          <w:ilvl w:val="0"/>
          <w:numId w:val="0"/>
        </w:numPr>
        <w:ind w:left="576"/>
      </w:pPr>
      <w:r>
        <w:rPr>
          <w:b/>
        </w:rPr>
        <w:t>MCF</w:t>
      </w:r>
      <w:r>
        <w:t xml:space="preserve"> = The Monthly Capacity Fee for the Month determined in accordance with Section 2.1 (</w:t>
      </w:r>
      <w:r>
        <w:rPr>
          <w:i/>
          <w:iCs/>
        </w:rPr>
        <w:t>Calculation of Monthly Capacity Payment</w:t>
      </w:r>
      <w:r>
        <w:t>).</w:t>
      </w:r>
    </w:p>
    <w:p w:rsidRPr="000057B0" w:rsidR="00F30D93" w:rsidP="00F30D93" w:rsidRDefault="00F30D93" w14:paraId="0E24540F" w14:textId="5C69A748">
      <w:pPr>
        <w:pStyle w:val="zG02"/>
        <w:numPr>
          <w:ilvl w:val="0"/>
          <w:numId w:val="0"/>
        </w:numPr>
        <w:ind w:left="576"/>
      </w:pPr>
      <w:r>
        <w:rPr>
          <w:b/>
        </w:rPr>
        <w:lastRenderedPageBreak/>
        <w:t>MAF</w:t>
      </w:r>
      <w:r>
        <w:t xml:space="preserve"> = The Monthly Availability Factor for the Month from Table B-4 (</w:t>
      </w:r>
      <w:r>
        <w:rPr>
          <w:i/>
          <w:iCs/>
        </w:rPr>
        <w:t>Monthly Availability Factor</w:t>
      </w:r>
      <w:r>
        <w:t>) based on the MAP for the Month, as determined in accordance with this Part 3 (</w:t>
      </w:r>
      <w:r>
        <w:rPr>
          <w:i/>
          <w:iCs/>
        </w:rPr>
        <w:t>Monthly Availability Adjustment</w:t>
      </w:r>
      <w:r>
        <w:t>).</w:t>
      </w:r>
    </w:p>
    <w:p w:rsidRPr="000057B0" w:rsidR="00F30D93" w:rsidP="00F30D93" w:rsidRDefault="00F30D93" w14:paraId="22B98EAE" w14:textId="77777777">
      <w:pPr>
        <w:pStyle w:val="zG02"/>
        <w:numPr>
          <w:ilvl w:val="0"/>
          <w:numId w:val="0"/>
        </w:numPr>
        <w:ind w:left="576"/>
      </w:pPr>
      <w:r>
        <w:rPr>
          <w:b/>
        </w:rPr>
        <w:t>MAP</w:t>
      </w:r>
      <w:r>
        <w:t xml:space="preserve"> = The Monthly Availability Percentage for the Month as determined in accordance with this Part 3 (</w:t>
      </w:r>
      <w:r>
        <w:rPr>
          <w:i/>
          <w:iCs/>
        </w:rPr>
        <w:t>Monthly Availability Adjustment</w:t>
      </w:r>
      <w:r>
        <w:t>).</w:t>
      </w:r>
    </w:p>
    <w:p w:rsidRPr="000057B0" w:rsidR="00D3022E" w:rsidP="00D3022E" w:rsidRDefault="00F30D93" w14:paraId="1B74E55C" w14:textId="5ED3C63B">
      <w:pPr>
        <w:pStyle w:val="zG02"/>
        <w:numPr>
          <w:ilvl w:val="0"/>
          <w:numId w:val="0"/>
        </w:numPr>
        <w:ind w:left="576"/>
      </w:pPr>
      <w:r>
        <w:rPr>
          <w:b/>
        </w:rPr>
        <w:t>Replacement Costs</w:t>
      </w:r>
      <w:r>
        <w:t xml:space="preserve"> = The total Replacement Costs determined in accordance with Part 4 (</w:t>
      </w:r>
      <w:r>
        <w:rPr>
          <w:i/>
          <w:iCs/>
        </w:rPr>
        <w:t>Calculation of Replacement Costs)</w:t>
      </w:r>
      <w:r w:rsidRPr="00DF5F6C" w:rsidR="00DF5F6C">
        <w:t xml:space="preserve"> for the Month if the MAP for such Month is below 96%. For any Month in which the MAP is greater than or equal to 96%, the Replacement Costs will be deemed $0 for purposes of the MAA calculation.</w:t>
      </w:r>
    </w:p>
    <w:p w:rsidRPr="000057B0" w:rsidR="00F30D93" w:rsidP="00F30D93" w:rsidRDefault="00F30D93" w14:paraId="1F8C0682" w14:textId="3DA26E79">
      <w:pPr>
        <w:pStyle w:val="zG02"/>
      </w:pPr>
      <w:r>
        <w:rPr>
          <w:b/>
          <w:bCs/>
        </w:rPr>
        <w:t>Calculation of Monthly Availability Percentage.</w:t>
      </w:r>
      <w:r>
        <w:t xml:space="preserve"> For each Month of each Annual Period, the Monthly Availability Percentage (MAP) for a Month will be determined as follows:</w:t>
      </w:r>
    </w:p>
    <w:p w:rsidRPr="00F10071" w:rsidR="00F30D93" w:rsidP="00F30D93" w:rsidRDefault="00F30D93" w14:paraId="59E2713B" w14:textId="77777777">
      <w:pPr>
        <w:adjustRightInd w:val="0"/>
        <w:spacing w:before="0" w:after="0"/>
        <w:ind w:left="450" w:hanging="450"/>
        <w:textAlignment w:val="baseline"/>
        <w:rPr>
          <w:rFonts w:eastAsia="Times New Roman" w:cs="Arial"/>
        </w:rPr>
      </w:pPr>
    </w:p>
    <w:p w:rsidRPr="00F10071" w:rsidR="00F30D93" w:rsidP="00F30D93" w:rsidRDefault="00F30D93" w14:paraId="5F1ED3A0" w14:textId="58F2E1A4">
      <w:pPr>
        <w:adjustRightInd w:val="0"/>
        <w:spacing w:before="0" w:after="0"/>
        <w:ind w:left="446" w:firstLine="274"/>
        <w:jc w:val="center"/>
        <w:textAlignment w:val="baseline"/>
        <w:rPr>
          <w:rFonts w:eastAsia="Times New Roman" w:cs="Arial"/>
        </w:rPr>
      </w:pPr>
      <w:r>
        <w:rPr>
          <w:b/>
        </w:rPr>
        <w:t>MAP</w:t>
      </w:r>
      <w:r>
        <w:rPr>
          <w:rFonts w:eastAsia="Times New Roman" w:cs="Arial"/>
        </w:rPr>
        <w:t xml:space="preserve">  =  100% * (1.0 - </w:t>
      </w:r>
      <w:r>
        <w:rPr>
          <w:rFonts w:eastAsia="Times New Roman" w:cs="Arial"/>
          <w:u w:val="single"/>
        </w:rPr>
        <w:t>(FOH + EFDH – ARDH) )</w:t>
      </w:r>
    </w:p>
    <w:p w:rsidRPr="00F10071" w:rsidR="00F30D93" w:rsidP="00F30D93" w:rsidRDefault="00F30D93" w14:paraId="3CA9903F" w14:textId="77777777">
      <w:pPr>
        <w:adjustRightInd w:val="0"/>
        <w:spacing w:before="0" w:after="240"/>
        <w:ind w:left="3330" w:firstLine="1278"/>
        <w:textAlignment w:val="baseline"/>
        <w:rPr>
          <w:rFonts w:eastAsia="Times New Roman" w:cs="Arial"/>
        </w:rPr>
      </w:pPr>
      <w:r>
        <w:rPr>
          <w:rFonts w:eastAsia="Times New Roman" w:cs="Arial"/>
        </w:rPr>
        <w:t xml:space="preserve">                  DH</w:t>
      </w:r>
    </w:p>
    <w:p w:rsidRPr="00F10071" w:rsidR="00F30D93" w:rsidP="00F30D93" w:rsidRDefault="00F30D93" w14:paraId="500F82AC" w14:textId="77777777">
      <w:pPr>
        <w:pStyle w:val="zG02"/>
        <w:numPr>
          <w:ilvl w:val="0"/>
          <w:numId w:val="0"/>
        </w:numPr>
      </w:pPr>
      <w:r>
        <w:tab/>
        <w:t>Where:</w:t>
      </w:r>
    </w:p>
    <w:p w:rsidR="00F30D93" w:rsidP="00F30D93" w:rsidRDefault="00F30D93" w14:paraId="7E14ECC1" w14:textId="4ED6AB31">
      <w:pPr>
        <w:pStyle w:val="zG02"/>
        <w:numPr>
          <w:ilvl w:val="0"/>
          <w:numId w:val="0"/>
        </w:numPr>
        <w:ind w:left="1152"/>
      </w:pPr>
      <w:r>
        <w:rPr>
          <w:b/>
        </w:rPr>
        <w:t>FOH</w:t>
      </w:r>
      <w:r>
        <w:t xml:space="preserve"> = The sum of Unplanned (Forced) Outage Hours for the Month in which the Facility would have been dispatched in accordance with GPC’s Schedules during the Month.</w:t>
      </w:r>
    </w:p>
    <w:p w:rsidR="002E54F4" w:rsidP="00F30D93" w:rsidRDefault="00F30D93" w14:paraId="215728DC" w14:textId="77777777">
      <w:pPr>
        <w:pStyle w:val="zG02"/>
        <w:numPr>
          <w:ilvl w:val="1"/>
          <w:numId w:val="0"/>
        </w:numPr>
        <w:ind w:left="1152"/>
      </w:pPr>
      <w:r>
        <w:rPr>
          <w:b/>
        </w:rPr>
        <w:t>EFDH</w:t>
      </w:r>
      <w:r>
        <w:t xml:space="preserve"> = The sum of Equivalent Unplanned (Forced) Derated Hours for the Month in which the Facility was or would have been dispatched in accordance with GPC’s Schedules during the Month.  </w:t>
      </w:r>
    </w:p>
    <w:p w:rsidR="3315BD22" w:rsidP="3315BD22" w:rsidRDefault="3315BD22" w14:paraId="251CCB94" w14:textId="49E2630B">
      <w:pPr>
        <w:pStyle w:val="zG02"/>
        <w:numPr>
          <w:ilvl w:val="0"/>
          <w:numId w:val="0"/>
        </w:numPr>
        <w:ind w:left="1152"/>
      </w:pPr>
    </w:p>
    <w:p w:rsidR="3315BD22" w:rsidP="3315BD22" w:rsidRDefault="3315BD22" w14:paraId="017D564F" w14:textId="5E878DBD">
      <w:pPr>
        <w:pStyle w:val="zG02"/>
        <w:numPr>
          <w:ilvl w:val="0"/>
          <w:numId w:val="0"/>
        </w:numPr>
        <w:ind w:left="1152"/>
      </w:pPr>
    </w:p>
    <w:p w:rsidR="00F30D93" w:rsidP="00F30D93" w:rsidRDefault="00D65BA7" w14:paraId="03CB9404" w14:textId="6C414593">
      <w:pPr>
        <w:pStyle w:val="zG02"/>
        <w:numPr>
          <w:ilvl w:val="0"/>
          <w:numId w:val="0"/>
        </w:numPr>
        <w:ind w:left="1152"/>
      </w:pPr>
      <w:r>
        <w:t xml:space="preserve">The following are two example calculations for EFDH: </w:t>
      </w:r>
    </w:p>
    <w:p w:rsidRPr="000057B0" w:rsidR="00F30D93" w:rsidP="00F30D93" w:rsidRDefault="00796061" w14:paraId="33FA0025" w14:textId="2C3D0C05">
      <w:pPr>
        <w:pStyle w:val="zG02"/>
        <w:numPr>
          <w:ilvl w:val="0"/>
          <w:numId w:val="0"/>
        </w:numPr>
        <w:ind w:left="2304"/>
      </w:pPr>
      <w:r>
        <w:rPr>
          <w:b/>
          <w:bCs/>
          <w:u w:val="single"/>
        </w:rPr>
        <w:t>Example 1</w:t>
      </w:r>
      <w:r>
        <w:rPr>
          <w:b/>
          <w:bCs/>
        </w:rPr>
        <w:t xml:space="preserve">: </w:t>
      </w:r>
      <w:r>
        <w:t xml:space="preserve">If a </w:t>
      </w:r>
      <w:r w:rsidR="00970E70">
        <w:t>u</w:t>
      </w:r>
      <w:r>
        <w:t>nit with an applicable Declared Capacity of 500 MW was derated by 200 MW for 20 Hours, EFDH = 20 Hours * 200 MW/ 500 MW = 8 Hours.</w:t>
      </w:r>
    </w:p>
    <w:p w:rsidRPr="000057B0" w:rsidR="00F30D93" w:rsidP="00F30D93" w:rsidRDefault="00796061" w14:paraId="18E4691B" w14:textId="3D02DB48">
      <w:pPr>
        <w:pStyle w:val="zG02"/>
        <w:numPr>
          <w:ilvl w:val="0"/>
          <w:numId w:val="0"/>
        </w:numPr>
        <w:ind w:left="2304"/>
      </w:pPr>
      <w:r>
        <w:rPr>
          <w:b/>
          <w:u w:val="single"/>
        </w:rPr>
        <w:t>E</w:t>
      </w:r>
      <w:r>
        <w:rPr>
          <w:b/>
          <w:bCs/>
          <w:u w:val="single"/>
        </w:rPr>
        <w:t>xample 2</w:t>
      </w:r>
      <w:r>
        <w:rPr>
          <w:b/>
          <w:bCs/>
        </w:rPr>
        <w:t>:</w:t>
      </w:r>
      <w:r>
        <w:t xml:space="preserve"> If a </w:t>
      </w:r>
      <w:r w:rsidR="00970E70">
        <w:t>u</w:t>
      </w:r>
      <w:r>
        <w:t>nit with an applicable Declared Capacity of 500 MW was derated by 200 MW for 10 Hours and 100 MW for another 10 Hours, EFDH = (10 * 200 MW / 500 MW) + (10 * 100 MW / 500 MW) = 6 Hours.</w:t>
      </w:r>
    </w:p>
    <w:p w:rsidRPr="000057B0" w:rsidR="00F30D93" w:rsidP="00F30D93" w:rsidRDefault="00F30D93" w14:paraId="0DA0E63C" w14:textId="0DB59784">
      <w:pPr>
        <w:pStyle w:val="zG02"/>
        <w:numPr>
          <w:ilvl w:val="0"/>
          <w:numId w:val="0"/>
        </w:numPr>
        <w:ind w:left="1152"/>
      </w:pPr>
      <w:r>
        <w:rPr>
          <w:b/>
        </w:rPr>
        <w:t>ARDH</w:t>
      </w:r>
      <w:r>
        <w:t xml:space="preserve"> = The sum of “</w:t>
      </w:r>
      <w:r>
        <w:rPr>
          <w:b/>
          <w:bCs/>
        </w:rPr>
        <w:t>Alternate Resource Delivery Hours</w:t>
      </w:r>
      <w:r>
        <w:t>” for the Month, which are the Unplanned (Forced) Outage Hours or Equivalent Unplanned (Forced) Derated Hours for the Month in which delivery is made from an Alternate Resource in accordance with PPA Section 4.1.4 (</w:t>
      </w:r>
      <w:r>
        <w:rPr>
          <w:i/>
          <w:iCs/>
        </w:rPr>
        <w:t>Unavailability</w:t>
      </w:r>
      <w:r>
        <w:t>).</w:t>
      </w:r>
    </w:p>
    <w:p w:rsidRPr="000057B0" w:rsidR="00F30D93" w:rsidP="00F30D93" w:rsidRDefault="00F30D93" w14:paraId="70AD52D4" w14:textId="14251FB9">
      <w:pPr>
        <w:pStyle w:val="zG02"/>
        <w:numPr>
          <w:ilvl w:val="0"/>
          <w:numId w:val="0"/>
        </w:numPr>
        <w:ind w:left="1152"/>
      </w:pPr>
      <w:r>
        <w:rPr>
          <w:b/>
        </w:rPr>
        <w:t>DH</w:t>
      </w:r>
      <w:r>
        <w:t xml:space="preserve"> = The sum of “</w:t>
      </w:r>
      <w:r>
        <w:rPr>
          <w:b/>
          <w:bCs/>
        </w:rPr>
        <w:t>Dispatch Hours</w:t>
      </w:r>
      <w:r>
        <w:t>” for the Month, which are the Hours in which the Facility was or would have been dispatched in accordance with GPC’s Schedules during the Month. However, if the sum of the Dispatch Hours for the Month is less than 200 hours, then DH will be deemed to be equal to 200 Hours.</w:t>
      </w:r>
    </w:p>
    <w:p w:rsidRPr="000057B0" w:rsidR="00F30D93" w:rsidP="00F30D93" w:rsidRDefault="00F30D93" w14:paraId="444F7059" w14:textId="04114CB9">
      <w:pPr>
        <w:pStyle w:val="zG02"/>
        <w:numPr>
          <w:ilvl w:val="0"/>
          <w:numId w:val="0"/>
        </w:numPr>
        <w:ind w:left="576"/>
      </w:pPr>
      <w:r>
        <w:t>The calculation of the MAP will not include energy Scheduled during any period of: (i) Scheduled Outages or Maintenance Outages; (ii) Facility ramping; (iii) an FME declared by Seller in accordance with PPA Part 15 (</w:t>
      </w:r>
      <w:r>
        <w:rPr>
          <w:i/>
          <w:iCs/>
        </w:rPr>
        <w:t>Force Majeure</w:t>
      </w:r>
      <w:r>
        <w:t>) for which Seller has not elected Alternate Delivery in accordance with PPA Section 4.1.4(iii) (</w:t>
      </w:r>
      <w:r>
        <w:rPr>
          <w:i/>
          <w:iCs/>
        </w:rPr>
        <w:t>Requirements for Exercising Delivery Right from an Alternate Resource</w:t>
      </w:r>
      <w:r>
        <w:t>); or (iv) Unavailability Events to the extent they are directly caused by the acts or omissions of GPC.</w:t>
      </w:r>
    </w:p>
    <w:p w:rsidRPr="000057B0" w:rsidR="00F30D93" w:rsidP="00F30D93" w:rsidRDefault="00F30D93" w14:paraId="2E80CCC3" w14:textId="1E02FB6D">
      <w:pPr>
        <w:pStyle w:val="zG02"/>
        <w:rPr>
          <w:b/>
          <w:bCs/>
        </w:rPr>
      </w:pPr>
      <w:r>
        <w:rPr>
          <w:b/>
          <w:bCs/>
        </w:rPr>
        <w:t>Monthly Availability Factor (Applicable to both AGC and Non-AGC Scheduling)</w:t>
      </w:r>
    </w:p>
    <w:p w:rsidRPr="000057B0" w:rsidR="00F30D93" w:rsidP="00F30D93" w:rsidRDefault="00F30D93" w14:paraId="1E3C1E0C" w14:textId="7C35B79A">
      <w:pPr>
        <w:pStyle w:val="zG02"/>
        <w:numPr>
          <w:ilvl w:val="0"/>
          <w:numId w:val="0"/>
        </w:numPr>
        <w:rPr>
          <w:rFonts w:eastAsia="Times New Roman"/>
        </w:rPr>
      </w:pPr>
      <w:r>
        <w:rPr>
          <w:rFonts w:eastAsia="Times New Roman"/>
        </w:rPr>
        <w:t>Seller guarantees a minimum MAP of 96% for each Month of each Annual Period.</w:t>
      </w:r>
    </w:p>
    <w:p w:rsidRPr="009B6F9E" w:rsidR="00F30D93" w:rsidP="00F30D93" w:rsidRDefault="00F30D93" w14:paraId="03597799" w14:textId="7E6DAE91">
      <w:pPr>
        <w:pStyle w:val="zG02"/>
        <w:numPr>
          <w:ilvl w:val="0"/>
          <w:numId w:val="0"/>
        </w:numPr>
        <w:rPr>
          <w:b/>
          <w:bCs/>
        </w:rPr>
      </w:pPr>
      <w:r>
        <w:rPr>
          <w:rFonts w:eastAsia="Times New Roman"/>
        </w:rPr>
        <w:t xml:space="preserve">The Monthly Availability Factor (MAF) for each Month of each Annual Period </w:t>
      </w:r>
      <w:r>
        <w:t>will</w:t>
      </w:r>
      <w:r>
        <w:rPr>
          <w:rFonts w:eastAsia="Times New Roman"/>
        </w:rPr>
        <w:t xml:space="preserve"> be determined in accordance with Table B-4 (</w:t>
      </w:r>
      <w:r>
        <w:rPr>
          <w:rFonts w:eastAsia="Times New Roman"/>
          <w:i/>
        </w:rPr>
        <w:t>Monthly Availability Factor (MAF)</w:t>
      </w:r>
      <w:r>
        <w:rPr>
          <w:rFonts w:eastAsia="Times New Roman"/>
        </w:rPr>
        <w:t xml:space="preserve">), based on the MAP for the applicable Month. </w:t>
      </w:r>
    </w:p>
    <w:p w:rsidRPr="00F10071" w:rsidR="00F30D93" w:rsidP="00F30D93" w:rsidRDefault="00F30D93" w14:paraId="370E87FC" w14:textId="77777777">
      <w:pPr>
        <w:widowControl w:val="0"/>
        <w:adjustRightInd w:val="0"/>
        <w:spacing w:before="0" w:after="0"/>
        <w:ind w:firstLine="720"/>
        <w:textAlignment w:val="baseline"/>
        <w:outlineLvl w:val="0"/>
        <w:rPr>
          <w:rFonts w:eastAsia="Times New Roman" w:cs="Arial"/>
        </w:rPr>
      </w:pPr>
    </w:p>
    <w:tbl>
      <w:tblPr>
        <w:tblW w:w="8288"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Look w:val="0000" w:firstRow="0" w:lastRow="0" w:firstColumn="0" w:lastColumn="0" w:noHBand="0" w:noVBand="0"/>
      </w:tblPr>
      <w:tblGrid>
        <w:gridCol w:w="4868"/>
        <w:gridCol w:w="3420"/>
      </w:tblGrid>
      <w:tr w:rsidRPr="003A4DB0" w:rsidR="00F30D93" w14:paraId="320854F3" w14:textId="77777777">
        <w:trPr>
          <w:jc w:val="center"/>
        </w:trPr>
        <w:tc>
          <w:tcPr>
            <w:tcW w:w="8288" w:type="dxa"/>
            <w:gridSpan w:val="2"/>
            <w:shd w:val="clear" w:color="auto" w:fill="D9D9D9" w:themeFill="background1" w:themeFillShade="D9"/>
          </w:tcPr>
          <w:p w:rsidRPr="0089291E" w:rsidR="00F30D93" w:rsidRDefault="00F30D93" w14:paraId="4383A8D6" w14:textId="1375E6B9">
            <w:pPr>
              <w:widowControl w:val="0"/>
              <w:adjustRightInd w:val="0"/>
              <w:spacing w:before="0" w:after="0" w:line="360" w:lineRule="atLeast"/>
              <w:jc w:val="center"/>
              <w:textAlignment w:val="baseline"/>
              <w:rPr>
                <w:rFonts w:eastAsia="Times New Roman" w:cs="Arial"/>
                <w:b/>
                <w:bCs/>
              </w:rPr>
            </w:pPr>
            <w:r>
              <w:rPr>
                <w:rFonts w:eastAsia="Times New Roman" w:cs="Arial"/>
                <w:b/>
                <w:bCs/>
              </w:rPr>
              <w:t>Table B-4</w:t>
            </w:r>
          </w:p>
          <w:p w:rsidRPr="003A4DB0" w:rsidR="00F30D93" w:rsidRDefault="00F30D93" w14:paraId="2CF0EEDD" w14:textId="77777777">
            <w:pPr>
              <w:widowControl w:val="0"/>
              <w:adjustRightInd w:val="0"/>
              <w:spacing w:before="0" w:after="0" w:line="360" w:lineRule="atLeast"/>
              <w:jc w:val="center"/>
              <w:textAlignment w:val="baseline"/>
              <w:rPr>
                <w:rFonts w:eastAsia="Times New Roman" w:cs="Arial"/>
                <w:b/>
                <w:bCs/>
                <w:u w:val="single"/>
              </w:rPr>
            </w:pPr>
            <w:r>
              <w:rPr>
                <w:rFonts w:eastAsia="Times New Roman" w:cs="Arial"/>
                <w:b/>
                <w:bCs/>
              </w:rPr>
              <w:lastRenderedPageBreak/>
              <w:t>Monthly Availability Factor (MAF)</w:t>
            </w:r>
          </w:p>
        </w:tc>
      </w:tr>
      <w:tr w:rsidRPr="003A4DB0" w:rsidR="00F30D93" w14:paraId="56971E18" w14:textId="77777777">
        <w:trPr>
          <w:jc w:val="center"/>
        </w:trPr>
        <w:tc>
          <w:tcPr>
            <w:tcW w:w="4868" w:type="dxa"/>
            <w:shd w:val="clear" w:color="auto" w:fill="F2F2F2" w:themeFill="background1" w:themeFillShade="F2"/>
          </w:tcPr>
          <w:p w:rsidRPr="0089291E" w:rsidR="00F30D93" w:rsidRDefault="00F30D93" w14:paraId="04AFBEC1" w14:textId="77777777">
            <w:pPr>
              <w:widowControl w:val="0"/>
              <w:adjustRightInd w:val="0"/>
              <w:spacing w:before="0" w:after="0" w:line="360" w:lineRule="atLeast"/>
              <w:ind w:left="450" w:hanging="450"/>
              <w:jc w:val="center"/>
              <w:textAlignment w:val="baseline"/>
              <w:rPr>
                <w:rFonts w:eastAsia="Times New Roman" w:cs="Arial"/>
                <w:b/>
                <w:bCs/>
              </w:rPr>
            </w:pPr>
            <w:r>
              <w:rPr>
                <w:rFonts w:eastAsia="Times New Roman" w:cs="Arial"/>
                <w:b/>
                <w:bCs/>
              </w:rPr>
              <w:lastRenderedPageBreak/>
              <w:t>MAP</w:t>
            </w:r>
          </w:p>
        </w:tc>
        <w:tc>
          <w:tcPr>
            <w:tcW w:w="3420" w:type="dxa"/>
            <w:shd w:val="clear" w:color="auto" w:fill="F2F2F2" w:themeFill="background1" w:themeFillShade="F2"/>
          </w:tcPr>
          <w:p w:rsidRPr="003A4DB0" w:rsidR="00F30D93" w:rsidRDefault="00F30D93" w14:paraId="6535A8BC" w14:textId="7AA3630A">
            <w:pPr>
              <w:widowControl w:val="0"/>
              <w:adjustRightInd w:val="0"/>
              <w:spacing w:before="0" w:after="0" w:line="360" w:lineRule="atLeast"/>
              <w:ind w:left="450" w:hanging="450"/>
              <w:jc w:val="center"/>
              <w:textAlignment w:val="baseline"/>
              <w:rPr>
                <w:rFonts w:eastAsia="Times New Roman" w:cs="Arial"/>
                <w:b/>
                <w:bCs/>
                <w:u w:val="single"/>
              </w:rPr>
            </w:pPr>
            <w:r>
              <w:rPr>
                <w:rFonts w:eastAsia="Times New Roman" w:cs="Arial"/>
                <w:b/>
                <w:bCs/>
              </w:rPr>
              <w:t>MAF</w:t>
            </w:r>
          </w:p>
        </w:tc>
      </w:tr>
      <w:tr w:rsidRPr="00F10071" w:rsidR="00F30D93" w14:paraId="138395A0" w14:textId="77777777">
        <w:trPr>
          <w:jc w:val="center"/>
        </w:trPr>
        <w:tc>
          <w:tcPr>
            <w:tcW w:w="4868" w:type="dxa"/>
          </w:tcPr>
          <w:p w:rsidRPr="00F10071" w:rsidR="00F30D93" w:rsidRDefault="00F30D93" w14:paraId="7E6A6AD6" w14:textId="77777777">
            <w:pPr>
              <w:widowControl w:val="0"/>
              <w:adjustRightInd w:val="0"/>
              <w:spacing w:before="0" w:after="0" w:line="360" w:lineRule="atLeast"/>
              <w:ind w:left="450" w:hanging="450"/>
              <w:textAlignment w:val="baseline"/>
              <w:rPr>
                <w:rFonts w:eastAsia="Times New Roman" w:cs="Arial"/>
              </w:rPr>
            </w:pPr>
            <w:r>
              <w:rPr>
                <w:rFonts w:eastAsia="Times New Roman" w:cs="Arial"/>
              </w:rPr>
              <w:t>Greater than or equal to 96%</w:t>
            </w:r>
          </w:p>
        </w:tc>
        <w:tc>
          <w:tcPr>
            <w:tcW w:w="3420" w:type="dxa"/>
          </w:tcPr>
          <w:p w:rsidRPr="00F10071" w:rsidR="00F30D93" w:rsidRDefault="00F30D93" w14:paraId="53919811" w14:textId="77777777">
            <w:pPr>
              <w:widowControl w:val="0"/>
              <w:adjustRightInd w:val="0"/>
              <w:spacing w:before="0" w:after="0" w:line="360" w:lineRule="atLeast"/>
              <w:ind w:left="450" w:hanging="450"/>
              <w:jc w:val="center"/>
              <w:textAlignment w:val="baseline"/>
              <w:rPr>
                <w:rFonts w:eastAsia="Times New Roman" w:cs="Arial"/>
              </w:rPr>
            </w:pPr>
            <w:r>
              <w:rPr>
                <w:rFonts w:eastAsia="Times New Roman" w:cs="Arial"/>
              </w:rPr>
              <w:t>0</w:t>
            </w:r>
          </w:p>
        </w:tc>
      </w:tr>
      <w:tr w:rsidRPr="00F10071" w:rsidR="00F30D93" w14:paraId="071B5AF9" w14:textId="77777777">
        <w:trPr>
          <w:jc w:val="center"/>
        </w:trPr>
        <w:tc>
          <w:tcPr>
            <w:tcW w:w="4868" w:type="dxa"/>
          </w:tcPr>
          <w:p w:rsidRPr="00F10071" w:rsidR="00F30D93" w:rsidRDefault="00F30D93" w14:paraId="3A0FDF9C" w14:textId="14228021">
            <w:pPr>
              <w:widowControl w:val="0"/>
              <w:adjustRightInd w:val="0"/>
              <w:spacing w:before="0" w:after="0" w:line="360" w:lineRule="atLeast"/>
              <w:ind w:left="450" w:hanging="450"/>
              <w:textAlignment w:val="baseline"/>
              <w:rPr>
                <w:rFonts w:eastAsia="Times New Roman" w:cs="Arial"/>
              </w:rPr>
            </w:pPr>
            <w:r>
              <w:rPr>
                <w:rFonts w:eastAsia="Times New Roman" w:cs="Arial"/>
              </w:rPr>
              <w:t>Less than 96% but at least 60%</w:t>
            </w:r>
          </w:p>
        </w:tc>
        <w:tc>
          <w:tcPr>
            <w:tcW w:w="3420" w:type="dxa"/>
          </w:tcPr>
          <w:p w:rsidRPr="00F10071" w:rsidR="00F30D93" w:rsidRDefault="00F30D93" w14:paraId="0E023E43" w14:textId="790246ED">
            <w:pPr>
              <w:widowControl w:val="0"/>
              <w:adjustRightInd w:val="0"/>
              <w:spacing w:before="0" w:after="0" w:line="360" w:lineRule="atLeast"/>
              <w:ind w:left="450" w:hanging="450"/>
              <w:jc w:val="center"/>
              <w:textAlignment w:val="baseline"/>
              <w:rPr>
                <w:rFonts w:eastAsia="Times New Roman" w:cs="Arial"/>
              </w:rPr>
            </w:pPr>
            <w:r>
              <w:rPr>
                <w:rFonts w:eastAsia="Times New Roman" w:cs="Arial"/>
              </w:rPr>
              <w:t>(96% – MAP) * 1.5</w:t>
            </w:r>
          </w:p>
        </w:tc>
      </w:tr>
      <w:tr w:rsidRPr="00F10071" w:rsidR="00F30D93" w14:paraId="7310A556" w14:textId="77777777">
        <w:trPr>
          <w:jc w:val="center"/>
        </w:trPr>
        <w:tc>
          <w:tcPr>
            <w:tcW w:w="4868" w:type="dxa"/>
          </w:tcPr>
          <w:p w:rsidRPr="00F10071" w:rsidR="00F30D93" w:rsidRDefault="00F30D93" w14:paraId="3F7DB2A3" w14:textId="0A9A3833">
            <w:pPr>
              <w:widowControl w:val="0"/>
              <w:adjustRightInd w:val="0"/>
              <w:spacing w:before="0" w:after="0" w:line="360" w:lineRule="atLeast"/>
              <w:ind w:left="450" w:hanging="450"/>
              <w:textAlignment w:val="baseline"/>
              <w:rPr>
                <w:rFonts w:eastAsia="Times New Roman" w:cs="Arial"/>
              </w:rPr>
            </w:pPr>
            <w:r>
              <w:rPr>
                <w:rFonts w:eastAsia="Times New Roman" w:cs="Arial"/>
              </w:rPr>
              <w:t>Less than 60%</w:t>
            </w:r>
          </w:p>
        </w:tc>
        <w:tc>
          <w:tcPr>
            <w:tcW w:w="3420" w:type="dxa"/>
          </w:tcPr>
          <w:p w:rsidRPr="00F10071" w:rsidR="00F30D93" w:rsidRDefault="00F30D93" w14:paraId="543AE92F" w14:textId="77777777">
            <w:pPr>
              <w:widowControl w:val="0"/>
              <w:adjustRightInd w:val="0"/>
              <w:spacing w:before="0" w:after="0" w:line="360" w:lineRule="atLeast"/>
              <w:ind w:left="450" w:hanging="450"/>
              <w:jc w:val="center"/>
              <w:textAlignment w:val="baseline"/>
              <w:rPr>
                <w:rFonts w:eastAsia="Times New Roman" w:cs="Arial"/>
              </w:rPr>
            </w:pPr>
            <w:r>
              <w:rPr>
                <w:rFonts w:eastAsia="Times New Roman" w:cs="Arial"/>
              </w:rPr>
              <w:t>1.0</w:t>
            </w:r>
          </w:p>
        </w:tc>
      </w:tr>
    </w:tbl>
    <w:p w:rsidRPr="00F10071" w:rsidR="00F30D93" w:rsidP="00F30D93" w:rsidRDefault="00F30D93" w14:paraId="60A3B858" w14:textId="77777777">
      <w:pPr>
        <w:widowControl w:val="0"/>
        <w:adjustRightInd w:val="0"/>
        <w:spacing w:before="0" w:after="0"/>
        <w:ind w:firstLine="720"/>
        <w:textAlignment w:val="baseline"/>
        <w:outlineLvl w:val="0"/>
        <w:rPr>
          <w:rFonts w:eastAsia="Times New Roman" w:cs="Arial"/>
        </w:rPr>
      </w:pPr>
    </w:p>
    <w:p w:rsidR="00705099" w:rsidP="00F30D93" w:rsidRDefault="00F30D93" w14:paraId="110C097B" w14:textId="53CFC2C6">
      <w:pPr>
        <w:pStyle w:val="zG02"/>
        <w:numPr>
          <w:ilvl w:val="0"/>
          <w:numId w:val="0"/>
        </w:numPr>
      </w:pPr>
      <w:r>
        <w:t xml:space="preserve">For an MAP greater than or equal to 96%, the MAF will equal zero. There will be no increase in the Monthly Capacity Payment for an MAP equal to or greater than 96%. </w:t>
      </w:r>
    </w:p>
    <w:p w:rsidR="00385875" w:rsidP="00F30D93" w:rsidRDefault="00F30D93" w14:paraId="70DD161B" w14:textId="2018A0C1">
      <w:pPr>
        <w:pStyle w:val="zG02"/>
        <w:numPr>
          <w:ilvl w:val="0"/>
          <w:numId w:val="0"/>
        </w:numPr>
      </w:pPr>
      <w:r>
        <w:t xml:space="preserve">For a MAP of at least 60% but less than 96%, the MAF is equal to: (i) one and one-half; </w:t>
      </w:r>
      <w:r>
        <w:rPr>
          <w:i/>
          <w:iCs/>
        </w:rPr>
        <w:t>times</w:t>
      </w:r>
      <w:r>
        <w:t xml:space="preserve"> (ii) each percent or fraction of MAP shortfall below 96%. For example, if the MAP is 95.2%, there will be an 0.8% shortfall below 96%, and the MAF will be 1.2% (i.e., 1.5 * 0.8% = 1.2%).</w:t>
      </w:r>
    </w:p>
    <w:p w:rsidRPr="00F10071" w:rsidR="00F30D93" w:rsidP="00F30D93" w:rsidRDefault="00F30D93" w14:paraId="03E3FB96" w14:textId="6E113AF9">
      <w:pPr>
        <w:pStyle w:val="zG02"/>
        <w:numPr>
          <w:ilvl w:val="0"/>
          <w:numId w:val="0"/>
        </w:numPr>
        <w:rPr>
          <w:b/>
        </w:rPr>
      </w:pPr>
      <w:r>
        <w:t xml:space="preserve">If the MAP is less than 60%, the Monthly Capacity Fee is reduced to zero and the Monthly Capacity Payment will equal zero dollars ($0) for such Month. </w:t>
      </w:r>
    </w:p>
    <w:p w:rsidRPr="00F10071" w:rsidR="00F30D93" w:rsidP="00F30D93" w:rsidRDefault="00F30D93" w14:paraId="5C376762" w14:textId="04F3EE48">
      <w:pPr>
        <w:pStyle w:val="zG01"/>
      </w:pPr>
      <w:r>
        <w:t xml:space="preserve">Calculation of Replacement Costs </w:t>
      </w:r>
    </w:p>
    <w:p w:rsidRPr="009B6F9E" w:rsidR="00F30D93" w:rsidP="00F30D93" w:rsidRDefault="00F30D93" w14:paraId="5485F5CA" w14:textId="57D8A815">
      <w:pPr>
        <w:pStyle w:val="zG02"/>
        <w:rPr>
          <w:bCs/>
        </w:rPr>
      </w:pPr>
      <w:r>
        <w:rPr>
          <w:b/>
          <w:bCs/>
        </w:rPr>
        <w:t>Calculation of Replacement Costs.</w:t>
      </w:r>
      <w:r>
        <w:t xml:space="preserve"> </w:t>
      </w:r>
    </w:p>
    <w:p w:rsidR="00942F28" w:rsidP="00F30D93" w:rsidRDefault="00F30D93" w14:paraId="6C078750" w14:textId="1624351C">
      <w:pPr>
        <w:pStyle w:val="zG02"/>
        <w:numPr>
          <w:ilvl w:val="0"/>
          <w:numId w:val="0"/>
        </w:numPr>
        <w:rPr>
          <w:rFonts w:eastAsia="Times New Roman"/>
          <w:bCs/>
        </w:rPr>
      </w:pPr>
      <w:r>
        <w:rPr>
          <w:bCs/>
        </w:rPr>
        <w:t>For any given Hour for which there is Undelivered Energy, “</w:t>
      </w:r>
      <w:r>
        <w:rPr>
          <w:b/>
        </w:rPr>
        <w:t>Replacement Costs</w:t>
      </w:r>
      <w:r>
        <w:rPr>
          <w:bCs/>
        </w:rPr>
        <w:t xml:space="preserve">” will be calculated as </w:t>
      </w:r>
      <w:r>
        <w:rPr>
          <w:rFonts w:eastAsia="Times New Roman"/>
          <w:bCs/>
        </w:rPr>
        <w:t xml:space="preserve">the sum of: (i) the </w:t>
      </w:r>
      <w:r>
        <w:rPr>
          <w:b/>
          <w:i/>
          <w:u w:val="single"/>
        </w:rPr>
        <w:t>product of</w:t>
      </w:r>
      <w:r>
        <w:rPr>
          <w:rFonts w:eastAsia="Times New Roman"/>
          <w:bCs/>
        </w:rPr>
        <w:t xml:space="preserve">: (a) the Undelivered Energy for the Hour as determined by GPC; </w:t>
      </w:r>
      <w:r>
        <w:rPr>
          <w:b/>
          <w:i/>
          <w:u w:val="single"/>
        </w:rPr>
        <w:t>times</w:t>
      </w:r>
      <w:r>
        <w:rPr>
          <w:rFonts w:eastAsia="Times New Roman"/>
          <w:bCs/>
        </w:rPr>
        <w:t xml:space="preserve"> (b) </w:t>
      </w:r>
      <w:r>
        <w:rPr>
          <w:b/>
          <w:i/>
          <w:u w:val="single"/>
        </w:rPr>
        <w:t>the difference of</w:t>
      </w:r>
      <w:r>
        <w:rPr>
          <w:rFonts w:eastAsia="Times New Roman"/>
          <w:bCs/>
        </w:rPr>
        <w:t xml:space="preserve">: (I) the Replacement Price for the Hour; </w:t>
      </w:r>
      <w:r>
        <w:rPr>
          <w:b/>
          <w:i/>
          <w:u w:val="single"/>
        </w:rPr>
        <w:t>minus</w:t>
      </w:r>
      <w:r>
        <w:rPr>
          <w:rFonts w:eastAsia="Times New Roman"/>
          <w:bCs/>
        </w:rPr>
        <w:t xml:space="preserve"> (II) the Energy Price for the Hour; </w:t>
      </w:r>
      <w:r>
        <w:rPr>
          <w:b/>
          <w:i/>
          <w:u w:val="single"/>
        </w:rPr>
        <w:t>plus</w:t>
      </w:r>
      <w:r>
        <w:rPr>
          <w:rFonts w:eastAsia="Times New Roman"/>
          <w:bCs/>
        </w:rPr>
        <w:t xml:space="preserve"> (ii) all documented energy imbalance charges, transmission costs, penalties, charges, and other costs and expenses that </w:t>
      </w:r>
      <w:r>
        <w:rPr>
          <w:bCs/>
        </w:rPr>
        <w:t>GPC</w:t>
      </w:r>
      <w:r>
        <w:rPr>
          <w:rFonts w:eastAsia="Times New Roman"/>
          <w:bCs/>
        </w:rPr>
        <w:t xml:space="preserve"> incurs because of the non-delivery of such Undelivered Energy or because of purchasing energy to replace Undelivered Energy, including in accordance with applicable transmission or other tariffs. If the sum of (i) and (ii) is a negative amount for a given Hour, then the Replacement Costs for the Hour </w:t>
      </w:r>
      <w:r>
        <w:rPr>
          <w:bCs/>
        </w:rPr>
        <w:t>will</w:t>
      </w:r>
      <w:r>
        <w:rPr>
          <w:rFonts w:eastAsia="Times New Roman"/>
          <w:bCs/>
        </w:rPr>
        <w:t xml:space="preserve"> be deemed to be equal to zero dollars ($0).</w:t>
      </w:r>
    </w:p>
    <w:p w:rsidR="00F30D93" w:rsidP="00F30D93" w:rsidRDefault="00F30D93" w14:paraId="69E6B1AC" w14:textId="4472327C">
      <w:pPr>
        <w:pStyle w:val="zG02"/>
        <w:numPr>
          <w:ilvl w:val="0"/>
          <w:numId w:val="0"/>
        </w:numPr>
        <w:rPr>
          <w:bCs/>
        </w:rPr>
      </w:pPr>
      <w:r>
        <w:rPr>
          <w:bCs/>
        </w:rPr>
        <w:tab/>
        <w:t>Where:</w:t>
      </w:r>
    </w:p>
    <w:p w:rsidRPr="000057B0" w:rsidR="00F30D93" w:rsidP="00F30D93" w:rsidRDefault="00F30D93" w14:paraId="3E8EE2B2" w14:textId="23593AEB">
      <w:pPr>
        <w:pStyle w:val="zG02"/>
        <w:numPr>
          <w:ilvl w:val="0"/>
          <w:numId w:val="0"/>
        </w:numPr>
        <w:ind w:left="1152"/>
        <w:rPr>
          <w:bCs/>
        </w:rPr>
      </w:pPr>
      <w:r>
        <w:rPr>
          <w:b/>
        </w:rPr>
        <w:t>Energy Price</w:t>
      </w:r>
      <w:r>
        <w:rPr>
          <w:bCs/>
        </w:rPr>
        <w:t xml:space="preserve"> = For a given Hour, the applicable price of the Undelivered Energy for such Hour as determined in accordance with Exhibit C</w:t>
      </w:r>
      <w:r>
        <w:t xml:space="preserve"> (</w:t>
      </w:r>
      <w:r>
        <w:rPr>
          <w:i/>
        </w:rPr>
        <w:t>Energy Payment Calculation</w:t>
      </w:r>
      <w:r>
        <w:t>)</w:t>
      </w:r>
      <w:r>
        <w:rPr>
          <w:bCs/>
        </w:rPr>
        <w:t xml:space="preserve">, if the Undelivered Energy had been delivered from the Facility in accordance with this PPA. </w:t>
      </w:r>
    </w:p>
    <w:p w:rsidRPr="000057B0" w:rsidR="00F30D93" w:rsidP="2BFC3E39" w:rsidRDefault="00F30D93" w14:paraId="0A9BAE98" w14:textId="03B5910F">
      <w:pPr>
        <w:pStyle w:val="zG02"/>
        <w:numPr>
          <w:ilvl w:val="1"/>
          <w:numId w:val="0"/>
        </w:numPr>
        <w:ind w:left="1152"/>
        <w:rPr>
          <w:bCs/>
        </w:rPr>
      </w:pPr>
      <w:r>
        <w:rPr>
          <w:b/>
        </w:rPr>
        <w:t>Replacement Price</w:t>
      </w:r>
      <w:r>
        <w:rPr>
          <w:bCs/>
        </w:rPr>
        <w:t xml:space="preserve"> = For any given Hour for which there is Undelivered Energy, </w:t>
      </w:r>
      <w:r w:rsidR="00CB012B">
        <w:rPr>
          <w:bCs/>
        </w:rPr>
        <w:t>an amount equal to</w:t>
      </w:r>
      <w:r>
        <w:rPr>
          <w:bCs/>
        </w:rPr>
        <w:t xml:space="preserve">: (i) </w:t>
      </w:r>
      <w:r w:rsidR="00CB012B">
        <w:rPr>
          <w:bCs/>
        </w:rPr>
        <w:t>for any portion of Undelivered Energy for the Hour for which GPC does not purchase replacement energy,</w:t>
      </w:r>
      <w:r>
        <w:rPr>
          <w:bCs/>
        </w:rPr>
        <w:t xml:space="preserve"> the GPC System Incremental Cost for the Hour; or (ii) </w:t>
      </w:r>
      <w:r w:rsidR="00640E93">
        <w:rPr>
          <w:bCs/>
        </w:rPr>
        <w:t xml:space="preserve">for any </w:t>
      </w:r>
      <w:r w:rsidRPr="007547B8" w:rsidR="007547B8">
        <w:rPr>
          <w:bCs/>
        </w:rPr>
        <w:t>portion of Undelivered Energy for the Hour for which GPC does purchase replacement energy</w:t>
      </w:r>
      <w:r>
        <w:rPr>
          <w:bCs/>
        </w:rPr>
        <w:t xml:space="preserve">, the price </w:t>
      </w:r>
      <w:r w:rsidR="007547B8">
        <w:rPr>
          <w:bCs/>
        </w:rPr>
        <w:t xml:space="preserve">at </w:t>
      </w:r>
      <w:r>
        <w:rPr>
          <w:bCs/>
        </w:rPr>
        <w:t xml:space="preserve">which GPC purchases </w:t>
      </w:r>
      <w:r w:rsidR="00112453">
        <w:rPr>
          <w:bCs/>
        </w:rPr>
        <w:t>such replacement</w:t>
      </w:r>
      <w:r>
        <w:rPr>
          <w:bCs/>
        </w:rPr>
        <w:t xml:space="preserve"> energy , plus documented costs and fees reasonably incurred by GPC in purchasing the replacement energy (e.g., broker fees), plus documented transmission charges and transmission losses, if any, reasonably incurred by GPC to deliver the replacement energy to </w:t>
      </w:r>
      <w:r w:rsidR="00112453">
        <w:t xml:space="preserve">a delivery point designated by GPC at which GPC is able to </w:t>
      </w:r>
      <w:r w:rsidRPr="00BD41A3" w:rsidR="00BD41A3">
        <w:t>procure Firm Transmission in accordance with the Southern OATT</w:t>
      </w:r>
      <w:r>
        <w:rPr>
          <w:bCs/>
        </w:rPr>
        <w:t xml:space="preserve">, </w:t>
      </w:r>
      <w:r w:rsidR="001D3B62">
        <w:rPr>
          <w:bCs/>
          <w:i/>
          <w:iCs/>
        </w:rPr>
        <w:t>plus</w:t>
      </w:r>
      <w:r>
        <w:rPr>
          <w:i/>
        </w:rPr>
        <w:t xml:space="preserve"> </w:t>
      </w:r>
      <w:r>
        <w:rPr>
          <w:bCs/>
        </w:rPr>
        <w:t>administrative costs, if any, reasonably incurred by GPC for the replacement energy (in each case stated in terms of $/MWh of replacement energy)</w:t>
      </w:r>
      <w:r w:rsidR="001D3B62">
        <w:rPr>
          <w:bCs/>
        </w:rPr>
        <w:t>.</w:t>
      </w:r>
      <w:r>
        <w:rPr>
          <w:bCs/>
        </w:rPr>
        <w:t xml:space="preserve"> </w:t>
      </w:r>
      <w:r w:rsidR="001D3B62">
        <w:rPr>
          <w:bCs/>
        </w:rPr>
        <w:t>For the avoidance of doubt</w:t>
      </w:r>
      <w:r>
        <w:rPr>
          <w:bCs/>
        </w:rPr>
        <w:t xml:space="preserve">, GPC will not be required to enter into any transaction or agreement to purchase energy with any Person to determine the Replacement Price.  </w:t>
      </w:r>
    </w:p>
    <w:p w:rsidRPr="000057B0" w:rsidR="00F6517C" w:rsidP="00F6517C" w:rsidRDefault="00F6517C" w14:paraId="6D2EED31" w14:textId="49DECB87">
      <w:pPr>
        <w:pStyle w:val="zG02"/>
        <w:numPr>
          <w:ilvl w:val="0"/>
          <w:numId w:val="0"/>
        </w:numPr>
        <w:ind w:left="1152"/>
        <w:rPr>
          <w:bCs/>
        </w:rPr>
      </w:pPr>
      <w:r>
        <w:rPr>
          <w:b/>
        </w:rPr>
        <w:t>GPC System Incremental Cost</w:t>
      </w:r>
      <w:r>
        <w:rPr>
          <w:bCs/>
        </w:rPr>
        <w:t xml:space="preserve"> = For a given Hour, the incremental cost, measured in dollars per MWh, for GPC and its Affiliates to supply the next MWh of energy, after serving the requirements of all of GPC’s and its Affiliates’ native load customers, all other power sales of GPC and its Affiliates (including both firm and non-firm sales), and all contractual obligations of GPC and its Affiliates during such Hour. GPC System Incremental Cost will include marginal replacement fuel cost, variable operation and maintenance costs, fuel handling costs, emission allowance replacement costs, compensation for transmission losses, delivered cost of energy purchases from others, start-up and unit commitment costs, and any other energy-related costs, all as determined by GPC after the </w:t>
      </w:r>
      <w:r>
        <w:rPr>
          <w:bCs/>
        </w:rPr>
        <w:lastRenderedPageBreak/>
        <w:t xml:space="preserve">applicable Hour. </w:t>
      </w:r>
    </w:p>
    <w:p w:rsidRPr="000057B0" w:rsidR="00F30D93" w:rsidP="00F30D93" w:rsidRDefault="00F30D93" w14:paraId="5079929A" w14:textId="33853328">
      <w:pPr>
        <w:pStyle w:val="zG02"/>
        <w:numPr>
          <w:ilvl w:val="0"/>
          <w:numId w:val="0"/>
        </w:numPr>
        <w:ind w:left="1152"/>
        <w:rPr>
          <w:bCs/>
        </w:rPr>
      </w:pPr>
      <w:r>
        <w:rPr>
          <w:b/>
        </w:rPr>
        <w:t>Undelivered Energy</w:t>
      </w:r>
      <w:r>
        <w:rPr>
          <w:bCs/>
        </w:rPr>
        <w:t xml:space="preserve"> = For a given Hour, the amount of energy GPC Scheduled for delivery during the Hour that Seller does not deliver in accordance with this PPA, excluding energy that is not provided because of an FME declared by Seller in accordance with PPA Part 15 (</w:t>
      </w:r>
      <w:r>
        <w:rPr>
          <w:bCs/>
          <w:i/>
          <w:iCs/>
        </w:rPr>
        <w:t>Force Majeure</w:t>
      </w:r>
      <w:r>
        <w:rPr>
          <w:bCs/>
        </w:rPr>
        <w:t>) for which Seller has not elected Alternate Delivery in accordance with PPA Section 4.1.4(iii) (</w:t>
      </w:r>
      <w:r>
        <w:rPr>
          <w:bCs/>
          <w:i/>
          <w:iCs/>
        </w:rPr>
        <w:t>Requirements for Exercising Delivery Right from an Alternate Resource</w:t>
      </w:r>
      <w:r>
        <w:rPr>
          <w:bCs/>
        </w:rPr>
        <w:t xml:space="preserve">), but including energy that is not delivered because of a Forced Outage or a Forced Derate. However, solely for purposes of this variable, Undelivered Energy for any Hour must not exceed the difference (if positive) of: (i) the applicable Declared Capacity for the Hour; minus (ii) Delivered Energy for the Hour, and so long as the difference is negative, the Undelivered Energy for the Hour will be equal to zero MWh.  </w:t>
      </w:r>
    </w:p>
    <w:p w:rsidRPr="000057B0" w:rsidR="00F30D93" w:rsidP="002734EC" w:rsidRDefault="00F30D93" w14:paraId="62FA0C3D" w14:textId="49BF29D3">
      <w:pPr>
        <w:pStyle w:val="zG02"/>
        <w:numPr>
          <w:ilvl w:val="0"/>
          <w:numId w:val="0"/>
        </w:numPr>
        <w:rPr>
          <w:bCs/>
        </w:rPr>
      </w:pPr>
      <w:r>
        <w:rPr>
          <w:b/>
        </w:rPr>
        <w:t>Delivered Energy</w:t>
      </w:r>
      <w:r>
        <w:rPr>
          <w:bCs/>
        </w:rPr>
        <w:t xml:space="preserve"> = For any Hour, the quantity of energy (expressed in MWh) that Seller delivered to the POD in accordance with GPC’s Schedule, excluding test energy and including ramp energy delivered to GPC at the POD.</w:t>
      </w:r>
    </w:p>
    <w:p w:rsidRPr="000057B0" w:rsidR="00F30D93" w:rsidP="00F30D93" w:rsidRDefault="00F30D93" w14:paraId="2DB46863" w14:textId="0DFD7F19">
      <w:pPr>
        <w:pStyle w:val="zG02"/>
        <w:numPr>
          <w:ilvl w:val="0"/>
          <w:numId w:val="0"/>
        </w:numPr>
        <w:rPr>
          <w:b/>
          <w:bCs/>
        </w:rPr>
      </w:pPr>
      <w:r>
        <w:rPr>
          <w:bCs/>
        </w:rPr>
        <w:t>Seller acknowledges and agrees that neither GPC nor its Affiliates will be required to utilize or change their utilization of their individually or collectively owned or controlled assets (including electric generation facilities), purchased power, or market positions to minimize the Replacement Price or Replacement Costs for any given Hour. Further, Seller acknowledges and agrees that GPC will have the right (but will not be required) to purchase energy to replace any Undelivered Energy from any Person(s) in GPC’s reasonable discretion and that the purchase may be utilized in the determination of the Replacement Price or Replacement Costs under this Section 4.1 (</w:t>
      </w:r>
      <w:r>
        <w:rPr>
          <w:bCs/>
          <w:i/>
          <w:iCs/>
        </w:rPr>
        <w:t>Calculation of Replacement Costs</w:t>
      </w:r>
      <w:r>
        <w:rPr>
          <w:bCs/>
        </w:rPr>
        <w:t>).</w:t>
      </w:r>
    </w:p>
    <w:p w:rsidRPr="000057B0" w:rsidR="00F30D93" w:rsidP="00F30D93" w:rsidRDefault="00F30D93" w14:paraId="7D156AD6" w14:textId="46B60456">
      <w:pPr>
        <w:pStyle w:val="zG02"/>
      </w:pPr>
      <w:r>
        <w:rPr>
          <w:b/>
          <w:bCs/>
        </w:rPr>
        <w:t>Calculating Monthly Availability Adjustment for Billing Purposes.</w:t>
      </w:r>
      <w:r>
        <w:t xml:space="preserve"> To determine the Monthly Availability Adjustment (MAA) for billing purposes, GPC will provide to Seller, as soon as practicable after, then end of each Month during, each Annual Period, a written statement that sets forth the amount of Replacement Costs, including the Replacement Price for each applicable Hour, except that the calculations may be based on an estimate of the </w:t>
      </w:r>
      <w:r>
        <w:rPr>
          <w:bCs/>
        </w:rPr>
        <w:t>GPC</w:t>
      </w:r>
      <w:r>
        <w:t xml:space="preserve"> System Incremental Cost for the applicable Hours during the Month. If the calculations are based on an estimate of the </w:t>
      </w:r>
      <w:r>
        <w:rPr>
          <w:bCs/>
        </w:rPr>
        <w:t>GPC</w:t>
      </w:r>
      <w:r>
        <w:t xml:space="preserve"> System Incremental Cost, GPC subsequently will recalculate the actual Replacement Costs based on the actual </w:t>
      </w:r>
      <w:r>
        <w:rPr>
          <w:bCs/>
        </w:rPr>
        <w:t>GPC</w:t>
      </w:r>
      <w:r>
        <w:t xml:space="preserve"> System Incremental Cost for each applicable Hour, recalculate the MAA for the applicable Month based on the actual Replacement Costs, and recalculate the MCP for the applicable Month based on the actual MAA. GPC will then true-up the MCP as follows: </w:t>
      </w:r>
    </w:p>
    <w:p w:rsidRPr="000057B0" w:rsidR="00F30D93" w:rsidP="00F30D93" w:rsidRDefault="00F30D93" w14:paraId="39B0A1E2" w14:textId="54B0405D">
      <w:pPr>
        <w:pStyle w:val="zG03"/>
        <w:tabs>
          <w:tab w:val="num" w:pos="497"/>
        </w:tabs>
        <w:ind w:left="180"/>
      </w:pPr>
      <w:r>
        <w:rPr>
          <w:b/>
          <w:bCs/>
        </w:rPr>
        <w:t xml:space="preserve">Previously Paid or Billed MCP &gt; Recalculated MCP. </w:t>
      </w:r>
      <w:r>
        <w:t xml:space="preserve">If the previously paid or billed MCP (based on estimated values of </w:t>
      </w:r>
      <w:r>
        <w:rPr>
          <w:bCs/>
        </w:rPr>
        <w:t>GPC</w:t>
      </w:r>
      <w:r>
        <w:t xml:space="preserve"> System Incremental Cost) is greater than the recalculated MCP (based on actual values of </w:t>
      </w:r>
      <w:r>
        <w:rPr>
          <w:bCs/>
        </w:rPr>
        <w:t>GPC</w:t>
      </w:r>
      <w:r>
        <w:t xml:space="preserve"> System Incremental Cost), the true-up will be implemented through a credit provided to GPC in the corresponding amount of the difference, which will be applied in future invoices for MCP under PPA Part 5 (</w:t>
      </w:r>
      <w:r>
        <w:rPr>
          <w:i/>
          <w:iCs/>
        </w:rPr>
        <w:t>Billing and Collections</w:t>
      </w:r>
      <w:r>
        <w:t>), or if at end of Term, Seller will pay to GPC in accordance with PPA Part 5.</w:t>
      </w:r>
    </w:p>
    <w:p w:rsidRPr="000057B0" w:rsidR="00F30D93" w:rsidP="00E96757" w:rsidRDefault="00F30D93" w14:paraId="4FB40729" w14:textId="2B445FC9">
      <w:pPr>
        <w:pStyle w:val="zG03"/>
      </w:pPr>
      <w:r>
        <w:rPr>
          <w:b/>
          <w:bCs/>
        </w:rPr>
        <w:t>Previously Paid or Billed MCP &lt; Recalculated MCP.</w:t>
      </w:r>
      <w:r>
        <w:t xml:space="preserve"> If the previously paid or billed MCP (based on estimated values of GPC System Incremental Cost) is less than the recalculated MCP (based on actual values of GPC System Incremental Cost), the true-up will be implemented through an additional amount billed to GPC in the corresponding amount of the difference, which GPC will pay in accordance with PPA Part 5 (</w:t>
      </w:r>
      <w:r>
        <w:rPr>
          <w:i/>
          <w:iCs/>
        </w:rPr>
        <w:t>Billing and Collections</w:t>
      </w:r>
      <w:r>
        <w:t>)</w:t>
      </w:r>
      <w:bookmarkEnd w:id="391"/>
      <w:r>
        <w:t>.</w:t>
      </w:r>
    </w:p>
    <w:p w:rsidRPr="00F10071" w:rsidR="00506657" w:rsidP="00506657" w:rsidRDefault="00506657" w14:paraId="0744D6BE" w14:textId="77777777">
      <w:pPr>
        <w:adjustRightInd w:val="0"/>
        <w:spacing w:before="0" w:after="480"/>
        <w:ind w:left="720"/>
        <w:textAlignment w:val="baseline"/>
        <w:rPr>
          <w:rFonts w:eastAsia="Times New Roman" w:cs="Arial"/>
        </w:rPr>
      </w:pPr>
    </w:p>
    <w:p w:rsidRPr="00F10071" w:rsidR="00506657" w:rsidP="00506657" w:rsidRDefault="00506657" w14:paraId="76EEFCB4" w14:textId="77777777">
      <w:pPr>
        <w:adjustRightInd w:val="0"/>
        <w:spacing w:before="0" w:after="240" w:line="360" w:lineRule="atLeast"/>
        <w:jc w:val="center"/>
        <w:textAlignment w:val="baseline"/>
        <w:outlineLvl w:val="0"/>
        <w:rPr>
          <w:rFonts w:eastAsia="Times New Roman" w:cs="Arial"/>
          <w:b/>
        </w:rPr>
        <w:sectPr w:rsidRPr="00F10071" w:rsidR="00506657" w:rsidSect="005B310E">
          <w:headerReference w:type="default" r:id="rId33"/>
          <w:footerReference w:type="default" r:id="rId34"/>
          <w:pgSz w:w="12240" w:h="15840" w:code="1"/>
          <w:pgMar w:top="1440" w:right="1440" w:bottom="1440" w:left="1440" w:header="720" w:footer="720" w:gutter="0"/>
          <w:paperSrc w:first="15" w:other="15"/>
          <w:cols w:space="1440"/>
        </w:sectPr>
      </w:pPr>
    </w:p>
    <w:p w:rsidRPr="00F10071" w:rsidR="00506657" w:rsidP="00C825D9" w:rsidRDefault="00517474" w14:paraId="496182BF" w14:textId="636974E9">
      <w:pPr>
        <w:pStyle w:val="zGTitleExhibit"/>
        <w:rPr>
          <w:rFonts w:cs="Arial"/>
        </w:rPr>
      </w:pPr>
      <w:bookmarkStart w:name="_Toc212473094" w:id="402"/>
      <w:bookmarkStart w:name="_Toc227840790" w:id="403"/>
      <w:r>
        <w:rPr>
          <w:rFonts w:cs="Arial"/>
        </w:rPr>
        <w:lastRenderedPageBreak/>
        <w:t>Exhibit C – Energy Payment Calculation</w:t>
      </w:r>
      <w:bookmarkEnd w:id="402"/>
      <w:bookmarkEnd w:id="403"/>
    </w:p>
    <w:p w:rsidRPr="002968D6" w:rsidR="00506657" w:rsidP="004206E0" w:rsidRDefault="00506657" w14:paraId="38FED13E" w14:textId="680B3E62">
      <w:pPr>
        <w:pStyle w:val="zG01"/>
        <w:numPr>
          <w:ilvl w:val="0"/>
          <w:numId w:val="15"/>
        </w:numPr>
      </w:pPr>
      <w:r>
        <w:t>Monthly Energy Payment</w:t>
      </w:r>
    </w:p>
    <w:p w:rsidRPr="00F10071" w:rsidR="00506657" w:rsidP="002730AB" w:rsidRDefault="00F67A5C" w14:paraId="22AE19C2" w14:textId="5F931FC1">
      <w:pPr>
        <w:pStyle w:val="zG02"/>
      </w:pPr>
      <w:r>
        <w:rPr>
          <w:b/>
          <w:bCs/>
        </w:rPr>
        <w:t>Monthly Energy Payment Calculation.</w:t>
      </w:r>
      <w:r>
        <w:t xml:space="preserve"> The Monthly Energy Payment (MEP) will be determined as follows:</w:t>
      </w:r>
    </w:p>
    <w:p w:rsidRPr="00F67A5C" w:rsidR="00F67A5C" w:rsidP="000E5BC8" w:rsidRDefault="00506657" w14:paraId="24CCC12C" w14:textId="77777777">
      <w:pPr>
        <w:pStyle w:val="zGNormal"/>
        <w:ind w:firstLine="1152"/>
        <w:rPr>
          <w:b/>
        </w:rPr>
      </w:pPr>
      <w:r>
        <w:rPr>
          <w:b/>
        </w:rPr>
        <w:t>MEP</w:t>
      </w:r>
      <w:r>
        <w:t xml:space="preserve"> = MEP</w:t>
      </w:r>
      <w:r>
        <w:rPr>
          <w:vertAlign w:val="subscript"/>
        </w:rPr>
        <w:t>FAC</w:t>
      </w:r>
      <w:r>
        <w:t xml:space="preserve"> + MEP</w:t>
      </w:r>
      <w:r>
        <w:rPr>
          <w:vertAlign w:val="subscript"/>
        </w:rPr>
        <w:t>AR</w:t>
      </w:r>
      <w:r>
        <w:t xml:space="preserve"> </w:t>
      </w:r>
    </w:p>
    <w:p w:rsidR="00B8502C" w:rsidP="000E5BC8" w:rsidRDefault="00B8502C" w14:paraId="5B8C6837" w14:textId="77777777">
      <w:pPr>
        <w:pStyle w:val="zGNormal"/>
        <w:ind w:left="288" w:firstLine="1152"/>
      </w:pPr>
    </w:p>
    <w:p w:rsidR="00F67A5C" w:rsidP="000E5BC8" w:rsidRDefault="00506657" w14:paraId="7AC74A2F" w14:textId="3BFC5D19">
      <w:pPr>
        <w:pStyle w:val="zGNormal"/>
        <w:ind w:left="288" w:firstLine="1152"/>
        <w:rPr>
          <w:b/>
        </w:rPr>
      </w:pPr>
      <w:r>
        <w:t>Where:</w:t>
      </w:r>
    </w:p>
    <w:p w:rsidR="00B8502C" w:rsidP="000E5BC8" w:rsidRDefault="000E5BC8" w14:paraId="11D0C762" w14:textId="77777777">
      <w:pPr>
        <w:pStyle w:val="zGNormal"/>
      </w:pPr>
      <w:r>
        <w:tab/>
      </w:r>
    </w:p>
    <w:p w:rsidRPr="00021FCA" w:rsidR="00FB5BE9" w:rsidP="00B8502C" w:rsidRDefault="00FB5BE9" w14:paraId="2986D1A3" w14:textId="7E836543">
      <w:pPr>
        <w:pStyle w:val="zGNormal"/>
        <w:ind w:firstLine="1152"/>
        <w:rPr>
          <w:b/>
        </w:rPr>
      </w:pPr>
      <w:r>
        <w:rPr>
          <w:b/>
        </w:rPr>
        <w:t>MEP</w:t>
      </w:r>
      <w:r>
        <w:rPr>
          <w:b/>
          <w:vertAlign w:val="subscript"/>
        </w:rPr>
        <w:t>FAC</w:t>
      </w:r>
      <w:r>
        <w:t xml:space="preserve"> = MVOM</w:t>
      </w:r>
      <w:r>
        <w:rPr>
          <w:vertAlign w:val="subscript"/>
        </w:rPr>
        <w:t>GAS-FAC</w:t>
      </w:r>
      <w:r>
        <w:t xml:space="preserve"> + MSC</w:t>
      </w:r>
      <w:r>
        <w:rPr>
          <w:vertAlign w:val="subscript"/>
        </w:rPr>
        <w:t xml:space="preserve">GAS-FAC </w:t>
      </w:r>
      <w:r>
        <w:t>+ MFA</w:t>
      </w:r>
      <w:r>
        <w:rPr>
          <w:vertAlign w:val="subscript"/>
        </w:rPr>
        <w:t xml:space="preserve">GAS-FAC </w:t>
      </w:r>
      <w:r>
        <w:t>*</w:t>
      </w:r>
    </w:p>
    <w:p w:rsidR="000B1209" w:rsidP="000E5BC8" w:rsidRDefault="00FD5039" w14:paraId="64923681" w14:textId="77777777">
      <w:pPr>
        <w:pStyle w:val="zGNormal"/>
      </w:pPr>
      <w:r>
        <w:tab/>
      </w:r>
      <w:r>
        <w:tab/>
      </w:r>
      <w:r>
        <w:tab/>
      </w:r>
    </w:p>
    <w:p w:rsidR="00FD5039" w:rsidP="000B1209" w:rsidRDefault="00021FCA" w14:paraId="7661C9C1" w14:textId="33ED0DE0">
      <w:pPr>
        <w:pStyle w:val="zGNormal"/>
        <w:ind w:left="1152" w:firstLine="1152"/>
        <w:rPr>
          <w:b/>
        </w:rPr>
      </w:pPr>
      <w:r>
        <w:t>*To the extent that energy is being provided from the Facility.</w:t>
      </w:r>
    </w:p>
    <w:p w:rsidR="000B1209" w:rsidP="00DB53EE" w:rsidRDefault="000B1209" w14:paraId="1F9182BD" w14:textId="77777777">
      <w:pPr>
        <w:pStyle w:val="zGNormal"/>
        <w:ind w:firstLine="1152"/>
      </w:pPr>
    </w:p>
    <w:p w:rsidRPr="000057B0" w:rsidR="00FB5BE9" w:rsidP="00DB53EE" w:rsidRDefault="00FB5BE9" w14:paraId="1BC558D6" w14:textId="38AB52BA">
      <w:pPr>
        <w:pStyle w:val="zGNormal"/>
        <w:ind w:firstLine="1152"/>
        <w:rPr>
          <w:b/>
        </w:rPr>
      </w:pPr>
      <w:r>
        <w:rPr>
          <w:b/>
        </w:rPr>
        <w:t>MEP</w:t>
      </w:r>
      <w:r>
        <w:rPr>
          <w:b/>
          <w:vertAlign w:val="subscript"/>
        </w:rPr>
        <w:t>AR</w:t>
      </w:r>
      <w:r>
        <w:t xml:space="preserve"> = MVOM</w:t>
      </w:r>
      <w:r>
        <w:rPr>
          <w:vertAlign w:val="subscript"/>
        </w:rPr>
        <w:t>GAS-AR</w:t>
      </w:r>
      <w:r>
        <w:t xml:space="preserve"> + MSC</w:t>
      </w:r>
      <w:r>
        <w:rPr>
          <w:vertAlign w:val="subscript"/>
        </w:rPr>
        <w:t>GAS-AR</w:t>
      </w:r>
      <w:r>
        <w:t xml:space="preserve"> + MFC</w:t>
      </w:r>
      <w:r>
        <w:rPr>
          <w:vertAlign w:val="subscript"/>
        </w:rPr>
        <w:t>GAS-AR</w:t>
      </w:r>
      <w:r>
        <w:t>**</w:t>
      </w:r>
    </w:p>
    <w:p w:rsidRPr="000057B0" w:rsidR="00695641" w:rsidP="00695641" w:rsidRDefault="00695641" w14:paraId="753F835C" w14:textId="77777777">
      <w:pPr>
        <w:pStyle w:val="zGNormal"/>
      </w:pPr>
    </w:p>
    <w:p w:rsidRPr="000057B0" w:rsidR="001C229D" w:rsidP="000B1209" w:rsidRDefault="00021FCA" w14:paraId="010DA912" w14:textId="283A12AF">
      <w:pPr>
        <w:pStyle w:val="zGNormal"/>
        <w:ind w:left="1152" w:firstLine="1152"/>
      </w:pPr>
      <w:r>
        <w:t>**To the extent energy is being provided</w:t>
      </w:r>
      <w:r>
        <w:rPr>
          <w:i/>
          <w:iCs/>
        </w:rPr>
        <w:t xml:space="preserve"> </w:t>
      </w:r>
      <w:r>
        <w:t>from an Alternate Resource.</w:t>
      </w:r>
    </w:p>
    <w:p w:rsidRPr="000057B0" w:rsidR="00695641" w:rsidP="00695641" w:rsidRDefault="00695641" w14:paraId="05AC6F27" w14:textId="77777777">
      <w:pPr>
        <w:pStyle w:val="zGNormal"/>
        <w:rPr>
          <w:b/>
        </w:rPr>
      </w:pPr>
    </w:p>
    <w:p w:rsidR="00F67A5C" w:rsidP="00DB53EE" w:rsidRDefault="00506657" w14:paraId="4A498892" w14:textId="26BC7A9F">
      <w:pPr>
        <w:pStyle w:val="zGNormal"/>
        <w:ind w:left="3456" w:hanging="2304"/>
      </w:pPr>
      <w:r>
        <w:rPr>
          <w:b/>
        </w:rPr>
        <w:t>MVOM</w:t>
      </w:r>
      <w:r>
        <w:rPr>
          <w:b/>
          <w:vertAlign w:val="subscript"/>
        </w:rPr>
        <w:t xml:space="preserve"> GAS-FAC</w:t>
      </w:r>
      <w:r>
        <w:t xml:space="preserve"> =</w:t>
      </w:r>
      <w:r>
        <w:tab/>
        <w:t>Monthly Variable O&amp;M Charge for energy provided from the Facility when dispatched on Natural Gas determined in accordance with Section 1.2 (</w:t>
      </w:r>
      <w:r>
        <w:rPr>
          <w:i/>
          <w:iCs/>
        </w:rPr>
        <w:t>Monthly Variable O&amp;M (MVOM) Charges</w:t>
      </w:r>
      <w:r>
        <w:t>).</w:t>
      </w:r>
    </w:p>
    <w:p w:rsidRPr="000057B0" w:rsidR="00B82703" w:rsidP="00DB53EE" w:rsidRDefault="00B82703" w14:paraId="3B1470F1" w14:textId="77777777">
      <w:pPr>
        <w:pStyle w:val="zGNormal"/>
        <w:ind w:left="3456" w:hanging="2304"/>
        <w:rPr>
          <w:b/>
        </w:rPr>
      </w:pPr>
    </w:p>
    <w:p w:rsidRPr="000057B0" w:rsidR="00506657" w:rsidP="00DB53EE" w:rsidRDefault="00506657" w14:paraId="27F2DC7B" w14:textId="38C051C5">
      <w:pPr>
        <w:pStyle w:val="zGNormal"/>
        <w:ind w:left="3456" w:hanging="2304"/>
      </w:pPr>
      <w:r>
        <w:rPr>
          <w:b/>
        </w:rPr>
        <w:t>MVOM</w:t>
      </w:r>
      <w:r>
        <w:rPr>
          <w:b/>
          <w:vertAlign w:val="subscript"/>
        </w:rPr>
        <w:t xml:space="preserve"> GAS-AR</w:t>
      </w:r>
      <w:r>
        <w:t xml:space="preserve"> =</w:t>
      </w:r>
      <w:r>
        <w:tab/>
        <w:t>Monthly Variable O&amp;M Charge for energy provided from Alternate Resources when the Facility would have been dispatched on Natural Gas determined in accordance with Section 1.2 (</w:t>
      </w:r>
      <w:r>
        <w:rPr>
          <w:i/>
          <w:iCs/>
        </w:rPr>
        <w:t>Monthly Variable O&amp;M (MVOM) Charges</w:t>
      </w:r>
      <w:r>
        <w:t>).</w:t>
      </w:r>
    </w:p>
    <w:p w:rsidRPr="000057B0" w:rsidR="00F67A5C" w:rsidP="000E5BC8" w:rsidRDefault="00F67A5C" w14:paraId="02038F5C" w14:textId="77777777">
      <w:pPr>
        <w:pStyle w:val="zGNormal"/>
      </w:pPr>
    </w:p>
    <w:p w:rsidRPr="000057B0" w:rsidR="00506657" w:rsidP="00DB53EE" w:rsidRDefault="00506657" w14:paraId="2B012457" w14:textId="450DBBFF">
      <w:pPr>
        <w:pStyle w:val="zGNormal"/>
        <w:ind w:left="3456" w:hanging="2304"/>
      </w:pPr>
      <w:r>
        <w:rPr>
          <w:b/>
        </w:rPr>
        <w:t>MSC</w:t>
      </w:r>
      <w:r>
        <w:rPr>
          <w:b/>
          <w:vertAlign w:val="subscript"/>
        </w:rPr>
        <w:t xml:space="preserve"> GAS-AR</w:t>
      </w:r>
      <w:r>
        <w:t xml:space="preserve"> = </w:t>
      </w:r>
      <w:r>
        <w:tab/>
        <w:t>Monthly Startup Charge for energy provided from Alternate Resources when the Facility would have been dispatched on Natural Gas determined in accordance with Section 1.3 (</w:t>
      </w:r>
      <w:r>
        <w:rPr>
          <w:i/>
          <w:iCs/>
        </w:rPr>
        <w:t>Monthly Startup Charges (MSC)</w:t>
      </w:r>
      <w:r>
        <w:t>).</w:t>
      </w:r>
    </w:p>
    <w:p w:rsidRPr="000057B0" w:rsidR="008F267E" w:rsidP="00DB53EE" w:rsidRDefault="008F267E" w14:paraId="2F03D142" w14:textId="77777777">
      <w:pPr>
        <w:pStyle w:val="zGNormal"/>
        <w:ind w:left="3456" w:hanging="2304"/>
      </w:pPr>
    </w:p>
    <w:p w:rsidRPr="000057B0" w:rsidR="00F67A5C" w:rsidP="0080052B" w:rsidRDefault="0080052B" w14:paraId="556234ED" w14:textId="24472F3B">
      <w:pPr>
        <w:pStyle w:val="zGNormal"/>
        <w:ind w:left="3456" w:hanging="2304"/>
      </w:pPr>
      <w:r>
        <w:rPr>
          <w:b/>
        </w:rPr>
        <w:t>MSC</w:t>
      </w:r>
      <w:r>
        <w:rPr>
          <w:b/>
          <w:vertAlign w:val="subscript"/>
        </w:rPr>
        <w:t xml:space="preserve"> GAS-FAC</w:t>
      </w:r>
      <w:r>
        <w:t xml:space="preserve"> = </w:t>
      </w:r>
      <w:r>
        <w:tab/>
        <w:t>Monthly Startup Charge for energy provided from the Facility when dispatched on Natural Gas determined in accordance with Section 1.3 (</w:t>
      </w:r>
      <w:r>
        <w:rPr>
          <w:i/>
          <w:iCs/>
        </w:rPr>
        <w:t>Monthly Startup Charges (MSC)</w:t>
      </w:r>
      <w:r>
        <w:t>).</w:t>
      </w:r>
    </w:p>
    <w:p w:rsidRPr="000057B0" w:rsidR="008F267E" w:rsidP="0080052B" w:rsidRDefault="008F267E" w14:paraId="5C525BA8" w14:textId="77777777">
      <w:pPr>
        <w:pStyle w:val="zGNormal"/>
        <w:ind w:left="3456" w:hanging="2304"/>
      </w:pPr>
    </w:p>
    <w:p w:rsidRPr="000057B0" w:rsidR="00506657" w:rsidP="00DB53EE" w:rsidRDefault="00506657" w14:paraId="65DBE649" w14:textId="23E3CCA5">
      <w:pPr>
        <w:pStyle w:val="zGNormal"/>
        <w:ind w:left="3456" w:hanging="2304"/>
      </w:pPr>
      <w:r>
        <w:rPr>
          <w:b/>
        </w:rPr>
        <w:t>MFA</w:t>
      </w:r>
      <w:r>
        <w:rPr>
          <w:b/>
          <w:vertAlign w:val="subscript"/>
        </w:rPr>
        <w:t>GAS-FAC</w:t>
      </w:r>
      <w:r>
        <w:t xml:space="preserve"> =</w:t>
      </w:r>
      <w:r>
        <w:tab/>
      </w:r>
      <w:r>
        <w:tab/>
        <w:t>Monthly Fuel Adjustment for operation of the Facility on Natural Gas</w:t>
      </w:r>
      <w:bookmarkStart w:name="_DV_C1278" w:id="404"/>
      <w:r>
        <w:t xml:space="preserve"> determined in accordance with Section </w:t>
      </w:r>
      <w:bookmarkStart w:name="_DV_C1279" w:id="405"/>
      <w:bookmarkEnd w:id="404"/>
      <w:r>
        <w:t>1.4.A (</w:t>
      </w:r>
      <w:r>
        <w:rPr>
          <w:i/>
          <w:iCs/>
        </w:rPr>
        <w:t>Monthly Fuel Adjustment (MFAGAS) for Operation on Natural Gas</w:t>
      </w:r>
      <w:r>
        <w:t>). The Monthly Fuel Adjustment for operation on Natural Gas</w:t>
      </w:r>
      <w:bookmarkStart w:name="_DV_C1280" w:id="406"/>
      <w:bookmarkEnd w:id="405"/>
      <w:r>
        <w:t xml:space="preserve"> does not apply when Seller is delivering energy from Alternate Resources</w:t>
      </w:r>
      <w:bookmarkStart w:name="_DV_C1281" w:id="407"/>
      <w:bookmarkEnd w:id="406"/>
      <w:r>
        <w:t>.</w:t>
      </w:r>
      <w:bookmarkEnd w:id="407"/>
    </w:p>
    <w:p w:rsidRPr="000057B0" w:rsidR="00F67A5C" w:rsidP="000E5BC8" w:rsidRDefault="00F67A5C" w14:paraId="383A6B47" w14:textId="77777777">
      <w:pPr>
        <w:pStyle w:val="zGNormal"/>
      </w:pPr>
    </w:p>
    <w:p w:rsidRPr="000057B0" w:rsidR="00506657" w:rsidP="00DB53EE" w:rsidRDefault="00506657" w14:paraId="401E5FB4" w14:textId="6E691478">
      <w:pPr>
        <w:pStyle w:val="zGNormal"/>
        <w:ind w:left="3456" w:hanging="2304"/>
      </w:pPr>
      <w:r>
        <w:rPr>
          <w:b/>
        </w:rPr>
        <w:t>MFC</w:t>
      </w:r>
      <w:r>
        <w:rPr>
          <w:b/>
          <w:vertAlign w:val="subscript"/>
        </w:rPr>
        <w:t>GAS-AR</w:t>
      </w:r>
      <w:r>
        <w:rPr>
          <w:b/>
          <w:bCs/>
          <w:vertAlign w:val="subscript"/>
        </w:rPr>
        <w:t xml:space="preserve"> </w:t>
      </w:r>
      <w:r>
        <w:t>=</w:t>
      </w:r>
      <w:r>
        <w:tab/>
      </w:r>
      <w:r>
        <w:tab/>
        <w:t>Monthly Fuel Charge for Natural Gas for energy provided from Alternate Resources determined in accordance with Section 1.5 (</w:t>
      </w:r>
      <w:r>
        <w:rPr>
          <w:i/>
          <w:iCs/>
        </w:rPr>
        <w:t>Monthly Fuel Charge</w:t>
      </w:r>
      <w:r>
        <w:t>).</w:t>
      </w:r>
    </w:p>
    <w:p w:rsidRPr="000057B0" w:rsidR="00F67A5C" w:rsidP="000E5BC8" w:rsidRDefault="00F67A5C" w14:paraId="19311F79" w14:textId="77777777">
      <w:pPr>
        <w:pStyle w:val="zGNormal"/>
      </w:pPr>
    </w:p>
    <w:p w:rsidRPr="000057B0" w:rsidR="00F67A5C" w:rsidP="000E5BC8" w:rsidRDefault="00F67A5C" w14:paraId="74D4ED58" w14:textId="77777777">
      <w:pPr>
        <w:pStyle w:val="zGNormal"/>
      </w:pPr>
      <w:bookmarkStart w:name="_DV_M1229" w:id="408"/>
      <w:bookmarkEnd w:id="408"/>
    </w:p>
    <w:p w:rsidRPr="000057B0" w:rsidR="00506657" w:rsidP="00DB53EE" w:rsidRDefault="00506657" w14:paraId="047C6266" w14:textId="27755D5D">
      <w:pPr>
        <w:pStyle w:val="zGNormal"/>
        <w:ind w:left="1152"/>
        <w:rPr>
          <w:w w:val="0"/>
        </w:rPr>
      </w:pPr>
      <w:r>
        <w:rPr>
          <w:b/>
          <w:w w:val="0"/>
        </w:rPr>
        <w:t>DFP</w:t>
      </w:r>
      <w:r>
        <w:rPr>
          <w:b/>
          <w:vertAlign w:val="subscript"/>
        </w:rPr>
        <w:t>GAS</w:t>
      </w:r>
      <w:r>
        <w:rPr>
          <w:w w:val="0"/>
        </w:rPr>
        <w:t xml:space="preserve"> =</w:t>
      </w:r>
      <w:r>
        <w:rPr>
          <w:w w:val="0"/>
        </w:rPr>
        <w:tab/>
      </w:r>
      <w:r>
        <w:rPr>
          <w:w w:val="0"/>
        </w:rPr>
        <w:tab/>
        <w:t>Daily Fuel Price for Natural Gas in $/MMBtu.</w:t>
      </w:r>
    </w:p>
    <w:p w:rsidRPr="000057B0" w:rsidR="00506657" w:rsidP="00506657" w:rsidRDefault="00506657" w14:paraId="32D78945" w14:textId="77777777">
      <w:pPr>
        <w:tabs>
          <w:tab w:val="left" w:pos="720"/>
          <w:tab w:val="left" w:pos="1440"/>
          <w:tab w:val="left" w:pos="2160"/>
          <w:tab w:val="left" w:pos="3240"/>
        </w:tabs>
        <w:adjustRightInd w:val="0"/>
        <w:spacing w:before="0" w:after="0"/>
        <w:ind w:left="3240" w:hanging="1467"/>
        <w:textAlignment w:val="baseline"/>
        <w:rPr>
          <w:rFonts w:eastAsia="MS Mincho" w:cs="Arial"/>
          <w:w w:val="0"/>
        </w:rPr>
      </w:pPr>
    </w:p>
    <w:p w:rsidRPr="000057B0" w:rsidR="00506657" w:rsidP="00DB53EE" w:rsidRDefault="00180573" w14:paraId="11B9E7F9" w14:textId="6A15BAF6">
      <w:pPr>
        <w:pStyle w:val="zGNormal"/>
      </w:pPr>
      <w:r>
        <w:t xml:space="preserve">If GPC disputes any Monthly Energy Payment as calculated by Seller, GPC will make a minimum Monthly Energy Payment for the applicable Month equal to </w:t>
      </w:r>
      <w:r>
        <w:rPr>
          <w:rStyle w:val="zGNormalChar"/>
        </w:rPr>
        <w:t>the</w:t>
      </w:r>
      <w:r>
        <w:t xml:space="preserve"> amount not disputed by GPC. Any undisputed payment made by GPC will remain subject to further adjustment in accordance with PPA Section 5.2 (</w:t>
      </w:r>
      <w:r>
        <w:rPr>
          <w:i/>
          <w:iCs/>
        </w:rPr>
        <w:t>Billing Disputes and Final Accounting</w:t>
      </w:r>
      <w:r>
        <w:t>).</w:t>
      </w:r>
    </w:p>
    <w:p w:rsidRPr="000057B0" w:rsidR="0093700D" w:rsidP="002730AB" w:rsidRDefault="00506657" w14:paraId="23A3D082" w14:textId="180CD466">
      <w:pPr>
        <w:pStyle w:val="zG02"/>
        <w:rPr>
          <w:b/>
        </w:rPr>
      </w:pPr>
      <w:r>
        <w:rPr>
          <w:b/>
          <w:bCs/>
        </w:rPr>
        <w:t>Monthly Variable O&amp;M (MVOM) Charges.</w:t>
      </w:r>
      <w:r>
        <w:t xml:space="preserve"> </w:t>
      </w:r>
      <w:r>
        <w:rPr>
          <w:w w:val="0"/>
        </w:rPr>
        <w:t xml:space="preserve">The MVOM Charges </w:t>
      </w:r>
      <w:r>
        <w:t>will</w:t>
      </w:r>
      <w:r>
        <w:rPr>
          <w:w w:val="0"/>
        </w:rPr>
        <w:t xml:space="preserve"> be the sum of the Hourly Variable O&amp;M Charges for each delivered output level (from the Facility or Alternate Resource) that is Scheduled during a </w:t>
      </w:r>
      <w:r>
        <w:rPr>
          <w:w w:val="0"/>
        </w:rPr>
        <w:lastRenderedPageBreak/>
        <w:t>given Month. The Variable O&amp;M Charges for each delivered or Scheduled output level is the product of the delivered or Scheduled output level and the corresponding Variable O&amp;M Rate. Variable O&amp;M charges also apply to energy delivered from the Facility during ramping.</w:t>
      </w:r>
    </w:p>
    <w:p w:rsidRPr="000057B0" w:rsidR="00506657" w:rsidP="002730AB" w:rsidRDefault="00506657" w14:paraId="1FB2036B" w14:textId="214D0ACB">
      <w:pPr>
        <w:pStyle w:val="zG02"/>
        <w:numPr>
          <w:ilvl w:val="0"/>
          <w:numId w:val="0"/>
        </w:numPr>
        <w:rPr>
          <w:b/>
        </w:rPr>
      </w:pPr>
      <w:r>
        <w:t>The Monthly Variable O&amp;M Charges will be determined as follows:</w:t>
      </w:r>
    </w:p>
    <w:p w:rsidRPr="00286C60" w:rsidR="00A80DEA" w:rsidP="002730AB" w:rsidRDefault="00A80DEA" w14:paraId="47A1649A" w14:textId="77777777">
      <w:pPr>
        <w:pStyle w:val="zG02"/>
        <w:numPr>
          <w:ilvl w:val="0"/>
          <w:numId w:val="0"/>
        </w:numPr>
        <w:rPr>
          <w:b/>
          <w:bCs/>
        </w:rPr>
      </w:pPr>
    </w:p>
    <w:p w:rsidRPr="000057B0" w:rsidR="00506657" w:rsidP="00506657" w:rsidRDefault="00506657" w14:paraId="0B39EEA0" w14:textId="77777777">
      <w:pPr>
        <w:suppressAutoHyphens/>
        <w:adjustRightInd w:val="0"/>
        <w:spacing w:before="0" w:after="240"/>
        <w:ind w:left="2880" w:hanging="1440"/>
        <w:textAlignment w:val="baseline"/>
        <w:rPr>
          <w:rFonts w:eastAsia="Times New Roman" w:cs="Arial"/>
          <w:w w:val="0"/>
        </w:rPr>
      </w:pPr>
      <w:r>
        <w:rPr>
          <w:b/>
          <w:w w:val="0"/>
        </w:rPr>
        <w:t>MVOM</w:t>
      </w:r>
      <w:r>
        <w:rPr>
          <w:b/>
          <w:vertAlign w:val="subscript"/>
        </w:rPr>
        <w:t>GAS-FAC</w:t>
      </w:r>
      <w:r>
        <w:rPr>
          <w:rFonts w:eastAsia="Times New Roman" w:cs="Arial"/>
          <w:w w:val="0"/>
        </w:rPr>
        <w:t xml:space="preserve"> =</w:t>
      </w:r>
      <w:r>
        <w:rPr>
          <w:rFonts w:eastAsia="Times New Roman" w:cs="Arial"/>
          <w:w w:val="0"/>
        </w:rPr>
        <w:tab/>
        <w:t>∑ [(</w:t>
      </w:r>
      <w:r>
        <w:rPr>
          <w:rFonts w:eastAsia="Times New Roman" w:cs="Arial"/>
        </w:rPr>
        <w:t>SE</w:t>
      </w:r>
      <w:r>
        <w:rPr>
          <w:rFonts w:eastAsia="Times New Roman" w:cs="Arial"/>
          <w:vertAlign w:val="subscript"/>
        </w:rPr>
        <w:t>GAS-FAC</w:t>
      </w:r>
      <w:r>
        <w:rPr>
          <w:rFonts w:eastAsia="Times New Roman" w:cs="Arial"/>
          <w:w w:val="0"/>
        </w:rPr>
        <w:t xml:space="preserve"> </w:t>
      </w:r>
      <w:r>
        <w:rPr>
          <w:rFonts w:eastAsia="Times New Roman" w:cs="Arial"/>
          <w:i/>
          <w:w w:val="0"/>
          <w:vertAlign w:val="subscript"/>
        </w:rPr>
        <w:t>*</w:t>
      </w:r>
      <w:r>
        <w:rPr>
          <w:rFonts w:eastAsia="Times New Roman" w:cs="Arial"/>
          <w:w w:val="0"/>
        </w:rPr>
        <w:t xml:space="preserve"> VOM</w:t>
      </w:r>
      <w:r>
        <w:rPr>
          <w:rFonts w:eastAsia="Times New Roman" w:cs="Arial"/>
          <w:vertAlign w:val="subscript"/>
        </w:rPr>
        <w:t>GAS</w:t>
      </w:r>
      <w:r>
        <w:rPr>
          <w:rFonts w:eastAsia="Times New Roman" w:cs="Arial"/>
          <w:w w:val="0"/>
        </w:rPr>
        <w:t>)</w:t>
      </w:r>
      <w:r>
        <w:rPr>
          <w:rFonts w:eastAsia="Times New Roman" w:cs="Arial"/>
          <w:w w:val="0"/>
          <w:vertAlign w:val="subscript"/>
        </w:rPr>
        <w:t>Hour_1</w:t>
      </w:r>
      <w:r>
        <w:rPr>
          <w:rFonts w:eastAsia="Times New Roman" w:cs="Arial"/>
          <w:w w:val="0"/>
        </w:rPr>
        <w:t xml:space="preserve"> …(</w:t>
      </w:r>
      <w:r>
        <w:rPr>
          <w:rFonts w:eastAsia="Times New Roman" w:cs="Arial"/>
        </w:rPr>
        <w:t xml:space="preserve"> SE</w:t>
      </w:r>
      <w:r>
        <w:rPr>
          <w:rFonts w:eastAsia="Times New Roman" w:cs="Arial"/>
          <w:vertAlign w:val="subscript"/>
        </w:rPr>
        <w:t>GAS-FAC</w:t>
      </w:r>
      <w:r>
        <w:rPr>
          <w:rFonts w:eastAsia="Times New Roman" w:cs="Arial"/>
          <w:w w:val="0"/>
        </w:rPr>
        <w:t xml:space="preserve"> </w:t>
      </w:r>
      <w:r>
        <w:rPr>
          <w:rFonts w:eastAsia="Times New Roman" w:cs="Arial"/>
          <w:i/>
          <w:w w:val="0"/>
          <w:vertAlign w:val="subscript"/>
        </w:rPr>
        <w:t>*</w:t>
      </w:r>
      <w:r>
        <w:rPr>
          <w:rFonts w:eastAsia="Times New Roman" w:cs="Arial"/>
          <w:w w:val="0"/>
        </w:rPr>
        <w:t xml:space="preserve"> VOM</w:t>
      </w:r>
      <w:r>
        <w:rPr>
          <w:rFonts w:eastAsia="Times New Roman" w:cs="Arial"/>
          <w:vertAlign w:val="subscript"/>
        </w:rPr>
        <w:t>GAS</w:t>
      </w:r>
      <w:r>
        <w:rPr>
          <w:rFonts w:eastAsia="Times New Roman" w:cs="Arial"/>
          <w:w w:val="0"/>
        </w:rPr>
        <w:t>)</w:t>
      </w:r>
      <w:r>
        <w:rPr>
          <w:rFonts w:eastAsia="Times New Roman" w:cs="Arial"/>
          <w:w w:val="0"/>
          <w:vertAlign w:val="subscript"/>
        </w:rPr>
        <w:t>Hour_N</w:t>
      </w:r>
      <w:r>
        <w:rPr>
          <w:rFonts w:eastAsia="Times New Roman" w:cs="Arial"/>
          <w:w w:val="0"/>
        </w:rPr>
        <w:t>]</w:t>
      </w:r>
    </w:p>
    <w:p w:rsidRPr="000057B0" w:rsidR="00506657" w:rsidP="00506657" w:rsidRDefault="00506657" w14:paraId="48841FEE" w14:textId="77777777">
      <w:pPr>
        <w:suppressAutoHyphens/>
        <w:adjustRightInd w:val="0"/>
        <w:spacing w:before="0" w:after="240"/>
        <w:ind w:left="2880" w:hanging="1440"/>
        <w:textAlignment w:val="baseline"/>
        <w:rPr>
          <w:rFonts w:eastAsia="Times New Roman" w:cs="Arial"/>
          <w:w w:val="0"/>
        </w:rPr>
      </w:pPr>
      <w:r>
        <w:rPr>
          <w:b/>
          <w:w w:val="0"/>
        </w:rPr>
        <w:t>MVOM</w:t>
      </w:r>
      <w:r>
        <w:rPr>
          <w:b/>
          <w:vertAlign w:val="subscript"/>
        </w:rPr>
        <w:t>GAS-AR</w:t>
      </w:r>
      <w:r>
        <w:rPr>
          <w:rFonts w:eastAsia="Times New Roman" w:cs="Arial"/>
          <w:w w:val="0"/>
        </w:rPr>
        <w:t xml:space="preserve"> = ∑ [(SE</w:t>
      </w:r>
      <w:r>
        <w:rPr>
          <w:rFonts w:eastAsia="Times New Roman" w:cs="Arial"/>
          <w:vertAlign w:val="subscript"/>
        </w:rPr>
        <w:t>GAS-AR</w:t>
      </w:r>
      <w:r>
        <w:rPr>
          <w:rFonts w:eastAsia="Times New Roman" w:cs="Arial"/>
          <w:w w:val="0"/>
        </w:rPr>
        <w:t xml:space="preserve"> </w:t>
      </w:r>
      <w:r>
        <w:rPr>
          <w:rFonts w:eastAsia="Times New Roman" w:cs="Arial"/>
          <w:i/>
          <w:w w:val="0"/>
          <w:vertAlign w:val="subscript"/>
        </w:rPr>
        <w:t>*</w:t>
      </w:r>
      <w:r>
        <w:rPr>
          <w:rFonts w:eastAsia="Times New Roman" w:cs="Arial"/>
          <w:w w:val="0"/>
        </w:rPr>
        <w:t xml:space="preserve"> VOM</w:t>
      </w:r>
      <w:r>
        <w:rPr>
          <w:rFonts w:eastAsia="Times New Roman" w:cs="Arial"/>
          <w:vertAlign w:val="subscript"/>
        </w:rPr>
        <w:t>GAS</w:t>
      </w:r>
      <w:r>
        <w:rPr>
          <w:rFonts w:eastAsia="Times New Roman" w:cs="Arial"/>
          <w:w w:val="0"/>
        </w:rPr>
        <w:t>)</w:t>
      </w:r>
      <w:r>
        <w:rPr>
          <w:rFonts w:eastAsia="Times New Roman" w:cs="Arial"/>
          <w:w w:val="0"/>
          <w:vertAlign w:val="subscript"/>
        </w:rPr>
        <w:t>Hour_1</w:t>
      </w:r>
      <w:r>
        <w:rPr>
          <w:rFonts w:eastAsia="Times New Roman" w:cs="Arial"/>
          <w:w w:val="0"/>
        </w:rPr>
        <w:t xml:space="preserve"> …(SE</w:t>
      </w:r>
      <w:r>
        <w:rPr>
          <w:rFonts w:eastAsia="Times New Roman" w:cs="Arial"/>
          <w:vertAlign w:val="subscript"/>
        </w:rPr>
        <w:t>GAS-AR</w:t>
      </w:r>
      <w:r>
        <w:rPr>
          <w:rFonts w:eastAsia="Times New Roman" w:cs="Arial"/>
          <w:w w:val="0"/>
        </w:rPr>
        <w:t xml:space="preserve"> </w:t>
      </w:r>
      <w:r>
        <w:rPr>
          <w:rFonts w:eastAsia="Times New Roman" w:cs="Arial"/>
          <w:i/>
          <w:w w:val="0"/>
          <w:vertAlign w:val="subscript"/>
        </w:rPr>
        <w:t>*</w:t>
      </w:r>
      <w:r>
        <w:rPr>
          <w:rFonts w:eastAsia="Times New Roman" w:cs="Arial"/>
          <w:w w:val="0"/>
        </w:rPr>
        <w:t xml:space="preserve"> VOM</w:t>
      </w:r>
      <w:r>
        <w:rPr>
          <w:rFonts w:eastAsia="Times New Roman" w:cs="Arial"/>
          <w:vertAlign w:val="subscript"/>
        </w:rPr>
        <w:t>GAS</w:t>
      </w:r>
      <w:r>
        <w:rPr>
          <w:rFonts w:eastAsia="Times New Roman" w:cs="Arial"/>
          <w:w w:val="0"/>
        </w:rPr>
        <w:t>)</w:t>
      </w:r>
      <w:r>
        <w:rPr>
          <w:rFonts w:eastAsia="Times New Roman" w:cs="Arial"/>
          <w:w w:val="0"/>
          <w:vertAlign w:val="subscript"/>
        </w:rPr>
        <w:t>Hour_N</w:t>
      </w:r>
      <w:r>
        <w:rPr>
          <w:rFonts w:eastAsia="Times New Roman" w:cs="Arial"/>
          <w:w w:val="0"/>
        </w:rPr>
        <w:t>]</w:t>
      </w:r>
    </w:p>
    <w:p w:rsidRPr="000057B0" w:rsidR="00506657" w:rsidP="00506657" w:rsidRDefault="00506657" w14:paraId="0FC9C2F5" w14:textId="77777777">
      <w:pPr>
        <w:suppressAutoHyphens/>
        <w:adjustRightInd w:val="0"/>
        <w:spacing w:before="0" w:after="240"/>
        <w:ind w:firstLine="1440"/>
        <w:textAlignment w:val="baseline"/>
        <w:rPr>
          <w:rFonts w:eastAsia="Times New Roman" w:cs="Arial"/>
        </w:rPr>
      </w:pPr>
      <w:r>
        <w:rPr>
          <w:rFonts w:eastAsia="Times New Roman" w:cs="Arial"/>
        </w:rPr>
        <w:t>Where:</w:t>
      </w:r>
    </w:p>
    <w:p w:rsidRPr="000057B0" w:rsidR="00506657" w:rsidP="0093700D" w:rsidRDefault="00506657" w14:paraId="4A48EE25" w14:textId="455EE9A7">
      <w:pPr>
        <w:suppressAutoHyphens/>
        <w:adjustRightInd w:val="0"/>
        <w:spacing w:before="0" w:after="0"/>
        <w:ind w:left="3456" w:hanging="1152"/>
        <w:textAlignment w:val="baseline"/>
        <w:rPr>
          <w:rFonts w:eastAsia="Times New Roman" w:cs="Arial"/>
        </w:rPr>
      </w:pPr>
      <w:r>
        <w:rPr>
          <w:b/>
        </w:rPr>
        <w:t>SE</w:t>
      </w:r>
      <w:r>
        <w:rPr>
          <w:b/>
          <w:vertAlign w:val="subscript"/>
        </w:rPr>
        <w:t>GAS-FAC</w:t>
      </w:r>
      <w:r>
        <w:rPr>
          <w:rFonts w:eastAsia="Times New Roman" w:cs="Arial"/>
        </w:rPr>
        <w:t xml:space="preserve"> =</w:t>
      </w:r>
      <w:r>
        <w:rPr>
          <w:rFonts w:eastAsia="Times New Roman" w:cs="Arial"/>
        </w:rPr>
        <w:tab/>
      </w:r>
      <w:r>
        <w:rPr>
          <w:rFonts w:eastAsia="MS Mincho" w:cs="Arial"/>
          <w:w w:val="0"/>
        </w:rPr>
        <w:t>Amount of energy Seller delivered from the Facility each Hour (in MWh) for operation on Natural Gas (</w:t>
      </w:r>
      <w:r>
        <w:rPr>
          <w:rFonts w:eastAsia="Times New Roman" w:cs="Arial"/>
        </w:rPr>
        <w:t>in accordance with</w:t>
      </w:r>
      <w:r>
        <w:rPr>
          <w:rFonts w:eastAsia="MS Mincho" w:cs="Arial"/>
          <w:w w:val="0"/>
        </w:rPr>
        <w:t xml:space="preserve"> GPC’s Schedules) including energy produced during ramping of the Facility.</w:t>
      </w:r>
    </w:p>
    <w:p w:rsidRPr="000057B0" w:rsidR="00506657" w:rsidP="0093700D" w:rsidRDefault="0093700D" w14:paraId="6AE4E3AC" w14:textId="653676BF">
      <w:pPr>
        <w:tabs>
          <w:tab w:val="left" w:pos="2250"/>
        </w:tabs>
        <w:suppressAutoHyphens/>
        <w:adjustRightInd w:val="0"/>
        <w:spacing w:before="0" w:after="0"/>
        <w:ind w:left="3456" w:hanging="2016"/>
        <w:textAlignment w:val="baseline"/>
        <w:rPr>
          <w:rFonts w:eastAsia="Times New Roman" w:cs="Arial"/>
        </w:rPr>
      </w:pPr>
      <w:r>
        <w:rPr>
          <w:rFonts w:eastAsia="Times New Roman" w:cs="Arial"/>
        </w:rPr>
        <w:tab/>
      </w:r>
      <w:r>
        <w:rPr>
          <w:b/>
        </w:rPr>
        <w:t>SE</w:t>
      </w:r>
      <w:r>
        <w:rPr>
          <w:b/>
          <w:vertAlign w:val="subscript"/>
        </w:rPr>
        <w:t>GAS-AR</w:t>
      </w:r>
      <w:r>
        <w:rPr>
          <w:rFonts w:eastAsia="Times New Roman" w:cs="Arial"/>
        </w:rPr>
        <w:t xml:space="preserve"> =</w:t>
      </w:r>
      <w:r>
        <w:rPr>
          <w:rFonts w:eastAsia="Times New Roman" w:cs="Arial"/>
        </w:rPr>
        <w:tab/>
      </w:r>
      <w:r>
        <w:rPr>
          <w:rFonts w:eastAsia="Times New Roman" w:cs="Arial"/>
          <w:w w:val="0"/>
        </w:rPr>
        <w:t>Scheduled Energy (in MWh) delivered in each Hour from Alternate Resources</w:t>
      </w:r>
      <w:r>
        <w:rPr>
          <w:rFonts w:eastAsia="Times New Roman" w:cs="Arial"/>
        </w:rPr>
        <w:t xml:space="preserve"> when the Facility would have been dispatched on Natural Gas</w:t>
      </w:r>
      <w:r>
        <w:rPr>
          <w:rFonts w:eastAsia="Times New Roman" w:cs="Arial"/>
          <w:w w:val="0"/>
        </w:rPr>
        <w:t xml:space="preserve"> in a given Month</w:t>
      </w:r>
      <w:r>
        <w:rPr>
          <w:rFonts w:eastAsia="Times New Roman" w:cs="Arial"/>
        </w:rPr>
        <w:t>.</w:t>
      </w:r>
    </w:p>
    <w:p w:rsidRPr="000057B0" w:rsidR="00506657" w:rsidP="00BD0A8D" w:rsidRDefault="00506657" w14:paraId="7AEF344E" w14:textId="7576575F">
      <w:pPr>
        <w:suppressAutoHyphens/>
        <w:adjustRightInd w:val="0"/>
        <w:spacing w:before="0" w:after="0"/>
        <w:ind w:left="3456" w:hanging="1152"/>
        <w:textAlignment w:val="baseline"/>
        <w:rPr>
          <w:rFonts w:eastAsia="Times New Roman" w:cs="Arial"/>
        </w:rPr>
      </w:pPr>
      <w:r>
        <w:rPr>
          <w:b/>
        </w:rPr>
        <w:t>VOM</w:t>
      </w:r>
      <w:r>
        <w:rPr>
          <w:b/>
          <w:vertAlign w:val="subscript"/>
        </w:rPr>
        <w:t>GAS</w:t>
      </w:r>
      <w:r>
        <w:rPr>
          <w:rFonts w:eastAsia="Times New Roman" w:cs="Arial"/>
        </w:rPr>
        <w:t xml:space="preserve"> =</w:t>
      </w:r>
      <w:r>
        <w:rPr>
          <w:rFonts w:eastAsia="Times New Roman" w:cs="Arial"/>
        </w:rPr>
        <w:tab/>
      </w:r>
      <w:r>
        <w:rPr>
          <w:rFonts w:eastAsia="Times New Roman" w:cs="Arial"/>
          <w:w w:val="0"/>
        </w:rPr>
        <w:t>Variable O&amp;M Energy Rate for operation on Natural Gas is #Value $/MWh escalated at actual GDPIPD.</w:t>
      </w:r>
      <w:r>
        <w:rPr>
          <w:rFonts w:eastAsia="Times New Roman" w:cs="Arial"/>
        </w:rPr>
        <w:t xml:space="preserve"> Other than escalation, VOM</w:t>
      </w:r>
      <w:r>
        <w:rPr>
          <w:rFonts w:eastAsia="Times New Roman" w:cs="Arial"/>
          <w:vertAlign w:val="subscript"/>
        </w:rPr>
        <w:t>GAS</w:t>
      </w:r>
      <w:r>
        <w:rPr>
          <w:rFonts w:eastAsia="Times New Roman" w:cs="Arial"/>
        </w:rPr>
        <w:t xml:space="preserve"> is a constant value and </w:t>
      </w:r>
      <w:r>
        <w:rPr>
          <w:rFonts w:cs="Arial"/>
        </w:rPr>
        <w:t>will</w:t>
      </w:r>
      <w:r>
        <w:rPr>
          <w:rFonts w:eastAsia="Times New Roman" w:cs="Arial"/>
        </w:rPr>
        <w:t xml:space="preserve"> not vary based upon the Facility’s Hours of operation or MWh output.</w:t>
      </w:r>
    </w:p>
    <w:p w:rsidRPr="000057B0" w:rsidR="00506657" w:rsidP="00D854CA" w:rsidRDefault="00506657" w14:paraId="095059BE" w14:textId="6087E9BE">
      <w:pPr>
        <w:pStyle w:val="zG02"/>
      </w:pPr>
      <w:r>
        <w:rPr>
          <w:b/>
          <w:bCs/>
        </w:rPr>
        <w:t>Monthly Startup Charges (MSC).</w:t>
      </w:r>
      <w:r>
        <w:t xml:space="preserve"> </w:t>
      </w:r>
      <w:r>
        <w:rPr>
          <w:w w:val="0"/>
        </w:rPr>
        <w:t xml:space="preserve">If Seller delivers energy from the Facility </w:t>
      </w:r>
      <w:r>
        <w:rPr>
          <w:rFonts w:eastAsia="Times New Roman"/>
        </w:rPr>
        <w:t xml:space="preserve">when dispatched </w:t>
      </w:r>
      <w:r>
        <w:rPr>
          <w:rFonts w:eastAsia="Times New Roman"/>
          <w:w w:val="0"/>
        </w:rPr>
        <w:t>on Natural Gas</w:t>
      </w:r>
      <w:r>
        <w:rPr>
          <w:w w:val="0"/>
        </w:rPr>
        <w:t>, the Monthly Startup Charge will be determined as follows:</w:t>
      </w:r>
    </w:p>
    <w:p w:rsidRPr="000057B0" w:rsidR="00506657" w:rsidP="00506657" w:rsidRDefault="00506657" w14:paraId="6A8F7C54" w14:textId="77777777">
      <w:pPr>
        <w:adjustRightInd w:val="0"/>
        <w:spacing w:before="0" w:after="240"/>
        <w:ind w:left="1440"/>
        <w:textAlignment w:val="baseline"/>
        <w:rPr>
          <w:rFonts w:eastAsia="Times New Roman" w:cs="Arial"/>
          <w:w w:val="0"/>
          <w:lang w:val="pl-PL"/>
        </w:rPr>
      </w:pPr>
      <w:r>
        <w:rPr>
          <w:rFonts w:eastAsia="Times New Roman" w:cs="Arial"/>
          <w:w w:val="0"/>
          <w:lang w:val="pl-PL"/>
        </w:rPr>
        <w:t>MSC</w:t>
      </w:r>
      <w:r>
        <w:rPr>
          <w:rFonts w:eastAsia="Times New Roman" w:cs="Arial"/>
          <w:vertAlign w:val="subscript"/>
          <w:lang w:val="es-PR"/>
        </w:rPr>
        <w:t>GAS-</w:t>
      </w:r>
      <w:r>
        <w:rPr>
          <w:rFonts w:eastAsia="Times New Roman" w:cs="Arial"/>
          <w:vertAlign w:val="subscript"/>
          <w:lang w:val="pl-PL"/>
        </w:rPr>
        <w:t>FAC</w:t>
      </w:r>
      <w:r>
        <w:rPr>
          <w:rFonts w:eastAsia="Times New Roman" w:cs="Arial"/>
          <w:w w:val="0"/>
          <w:lang w:val="pl-PL"/>
        </w:rPr>
        <w:t xml:space="preserve"> = ∑ [FSR</w:t>
      </w:r>
      <w:r>
        <w:rPr>
          <w:rFonts w:eastAsia="Times New Roman" w:cs="Arial"/>
          <w:vertAlign w:val="subscript"/>
          <w:lang w:val="es-PR"/>
        </w:rPr>
        <w:t>GAS-</w:t>
      </w:r>
      <w:r>
        <w:rPr>
          <w:rFonts w:eastAsia="Times New Roman" w:cs="Arial"/>
          <w:vertAlign w:val="subscript"/>
          <w:lang w:val="pl-PL"/>
        </w:rPr>
        <w:t xml:space="preserve">1 </w:t>
      </w:r>
      <w:r>
        <w:rPr>
          <w:rFonts w:eastAsia="Times New Roman" w:cs="Arial"/>
          <w:w w:val="0"/>
          <w:lang w:val="pl-PL"/>
        </w:rPr>
        <w:t>+ O&amp;MSR</w:t>
      </w:r>
      <w:r>
        <w:rPr>
          <w:rFonts w:eastAsia="Times New Roman" w:cs="Arial"/>
          <w:vertAlign w:val="subscript"/>
          <w:lang w:val="es-PR"/>
        </w:rPr>
        <w:t>GAS-</w:t>
      </w:r>
      <w:r>
        <w:rPr>
          <w:rFonts w:eastAsia="Times New Roman" w:cs="Arial"/>
          <w:vertAlign w:val="subscript"/>
          <w:lang w:val="pl-PL"/>
        </w:rPr>
        <w:t>1</w:t>
      </w:r>
      <w:r>
        <w:rPr>
          <w:rFonts w:eastAsia="Times New Roman" w:cs="Arial"/>
          <w:w w:val="0"/>
          <w:lang w:val="pl-PL"/>
        </w:rPr>
        <w:t>] +  ∑ [FSR</w:t>
      </w:r>
      <w:r>
        <w:rPr>
          <w:rFonts w:eastAsia="Times New Roman" w:cs="Arial"/>
          <w:vertAlign w:val="subscript"/>
          <w:lang w:val="es-PR"/>
        </w:rPr>
        <w:t>GAS-</w:t>
      </w:r>
      <w:r>
        <w:rPr>
          <w:rFonts w:eastAsia="Times New Roman" w:cs="Arial"/>
          <w:vertAlign w:val="subscript"/>
          <w:lang w:val="pl-PL"/>
        </w:rPr>
        <w:t>2</w:t>
      </w:r>
      <w:r>
        <w:rPr>
          <w:rFonts w:eastAsia="Times New Roman" w:cs="Arial"/>
          <w:w w:val="0"/>
          <w:lang w:val="pl-PL"/>
        </w:rPr>
        <w:t xml:space="preserve"> + O&amp;MSR</w:t>
      </w:r>
      <w:r>
        <w:rPr>
          <w:rFonts w:eastAsia="Times New Roman" w:cs="Arial"/>
          <w:vertAlign w:val="subscript"/>
          <w:lang w:val="es-PR"/>
        </w:rPr>
        <w:t>GAS-</w:t>
      </w:r>
      <w:r>
        <w:rPr>
          <w:rFonts w:eastAsia="Times New Roman" w:cs="Arial"/>
          <w:vertAlign w:val="subscript"/>
          <w:lang w:val="pl-PL"/>
        </w:rPr>
        <w:t>2</w:t>
      </w:r>
      <w:r>
        <w:rPr>
          <w:rFonts w:eastAsia="Times New Roman" w:cs="Arial"/>
          <w:w w:val="0"/>
          <w:lang w:val="pl-PL"/>
        </w:rPr>
        <w:t>]   + ∑ [FSR</w:t>
      </w:r>
      <w:r>
        <w:rPr>
          <w:rFonts w:eastAsia="Times New Roman" w:cs="Arial"/>
          <w:vertAlign w:val="subscript"/>
          <w:lang w:val="es-PR"/>
        </w:rPr>
        <w:t>GAS</w:t>
      </w:r>
      <w:r>
        <w:rPr>
          <w:rFonts w:eastAsia="Times New Roman" w:cs="Arial"/>
          <w:w w:val="0"/>
          <w:lang w:val="pl-PL"/>
        </w:rPr>
        <w:t xml:space="preserve"> + O&amp;MSR</w:t>
      </w:r>
      <w:r>
        <w:rPr>
          <w:rFonts w:eastAsia="Times New Roman" w:cs="Arial"/>
          <w:vertAlign w:val="subscript"/>
          <w:lang w:val="es-PR"/>
        </w:rPr>
        <w:t>GAS</w:t>
      </w:r>
      <w:r>
        <w:rPr>
          <w:rFonts w:eastAsia="Times New Roman" w:cs="Arial"/>
          <w:w w:val="0"/>
          <w:lang w:val="pl-PL"/>
        </w:rPr>
        <w:t>]</w:t>
      </w:r>
    </w:p>
    <w:p w:rsidRPr="000057B0" w:rsidR="00506657" w:rsidP="00D854CA" w:rsidRDefault="00506657" w14:paraId="1DA18619" w14:textId="77777777">
      <w:pPr>
        <w:pStyle w:val="zG02"/>
        <w:numPr>
          <w:ilvl w:val="0"/>
          <w:numId w:val="0"/>
        </w:numPr>
        <w:rPr>
          <w:b/>
          <w:w w:val="0"/>
        </w:rPr>
      </w:pPr>
      <w:r>
        <w:rPr>
          <w:w w:val="0"/>
        </w:rPr>
        <w:t xml:space="preserve">If Seller delivers energy from Alternate Resources </w:t>
      </w:r>
      <w:r>
        <w:rPr>
          <w:rFonts w:eastAsia="Times New Roman"/>
        </w:rPr>
        <w:t>when the Facility would have been dispatched on Natural Gas</w:t>
      </w:r>
      <w:r>
        <w:rPr>
          <w:w w:val="0"/>
        </w:rPr>
        <w:t>, the Monthly Startup Charge will be determined as follows:</w:t>
      </w:r>
    </w:p>
    <w:p w:rsidRPr="00CB340F" w:rsidR="00506657" w:rsidP="00506657" w:rsidRDefault="00506657" w14:paraId="58A22FEB" w14:textId="77777777">
      <w:pPr>
        <w:suppressAutoHyphens/>
        <w:adjustRightInd w:val="0"/>
        <w:spacing w:before="0" w:after="240"/>
        <w:textAlignment w:val="baseline"/>
        <w:outlineLvl w:val="0"/>
        <w:rPr>
          <w:rFonts w:eastAsia="Times New Roman" w:cs="Arial"/>
          <w:lang w:val="es-PR"/>
        </w:rPr>
      </w:pPr>
      <w:r>
        <w:rPr>
          <w:rFonts w:eastAsia="Times New Roman" w:cs="Arial"/>
          <w:w w:val="0"/>
        </w:rPr>
        <w:tab/>
      </w:r>
      <w:r>
        <w:rPr>
          <w:rFonts w:eastAsia="Times New Roman" w:cs="Arial"/>
          <w:w w:val="0"/>
        </w:rPr>
        <w:tab/>
      </w:r>
      <w:r>
        <w:rPr>
          <w:rFonts w:eastAsia="Times New Roman" w:cs="Arial"/>
          <w:w w:val="0"/>
          <w:lang w:val="es-PR"/>
        </w:rPr>
        <w:t>MSC</w:t>
      </w:r>
      <w:r>
        <w:rPr>
          <w:rFonts w:eastAsia="Times New Roman" w:cs="Arial"/>
          <w:vertAlign w:val="subscript"/>
          <w:lang w:val="es-PR"/>
        </w:rPr>
        <w:t>GAS-AR</w:t>
      </w:r>
      <w:r>
        <w:rPr>
          <w:rFonts w:eastAsia="Times New Roman" w:cs="Arial"/>
          <w:w w:val="0"/>
          <w:lang w:val="es-PR"/>
        </w:rPr>
        <w:t xml:space="preserve"> = ∑ [FSR</w:t>
      </w:r>
      <w:r>
        <w:rPr>
          <w:rFonts w:eastAsia="Times New Roman" w:cs="Arial"/>
          <w:vertAlign w:val="subscript"/>
          <w:lang w:val="es-PR"/>
        </w:rPr>
        <w:t xml:space="preserve">GAS </w:t>
      </w:r>
      <w:r>
        <w:rPr>
          <w:rFonts w:eastAsia="Times New Roman" w:cs="Arial"/>
          <w:w w:val="0"/>
          <w:lang w:val="es-PR"/>
        </w:rPr>
        <w:t>+ O&amp;MSR</w:t>
      </w:r>
      <w:r>
        <w:rPr>
          <w:rFonts w:eastAsia="Times New Roman" w:cs="Arial"/>
          <w:vertAlign w:val="subscript"/>
          <w:lang w:val="es-PR"/>
        </w:rPr>
        <w:t>GAS</w:t>
      </w:r>
      <w:r>
        <w:rPr>
          <w:rFonts w:eastAsia="Times New Roman" w:cs="Arial"/>
          <w:w w:val="0"/>
          <w:lang w:val="es-PR"/>
        </w:rPr>
        <w:t>]</w:t>
      </w:r>
    </w:p>
    <w:p w:rsidRPr="000057B0" w:rsidR="00506657" w:rsidP="00D854CA" w:rsidRDefault="00506657" w14:paraId="6115251C" w14:textId="591F0F04">
      <w:pPr>
        <w:pStyle w:val="zG02"/>
        <w:numPr>
          <w:ilvl w:val="0"/>
          <w:numId w:val="0"/>
        </w:numPr>
        <w:rPr>
          <w:b/>
          <w:w w:val="0"/>
        </w:rPr>
      </w:pPr>
      <w:r>
        <w:rPr>
          <w:w w:val="0"/>
        </w:rPr>
        <w:t xml:space="preserve">The </w:t>
      </w:r>
      <w:r>
        <w:t>Monthly Startup Charge</w:t>
      </w:r>
      <w:r>
        <w:rPr>
          <w:w w:val="0"/>
        </w:rPr>
        <w:t xml:space="preserve"> </w:t>
      </w:r>
      <w:r>
        <w:t>will</w:t>
      </w:r>
      <w:r>
        <w:rPr>
          <w:w w:val="0"/>
        </w:rPr>
        <w:t xml:space="preserve"> be the sum of two components of Startup Charges during a given Month: (i) a fuel cost component associated with each Startup Event, and (ii) an O&amp;M cost component associated with each Startup Event.</w:t>
      </w:r>
    </w:p>
    <w:p w:rsidRPr="000057B0" w:rsidR="00506657" w:rsidP="00506657" w:rsidRDefault="00506657" w14:paraId="033D7BBE" w14:textId="77777777">
      <w:pPr>
        <w:suppressAutoHyphens/>
        <w:adjustRightInd w:val="0"/>
        <w:spacing w:before="0" w:after="240"/>
        <w:ind w:firstLine="1440"/>
        <w:textAlignment w:val="baseline"/>
        <w:rPr>
          <w:rFonts w:eastAsia="Times New Roman" w:cs="Arial"/>
          <w:w w:val="0"/>
        </w:rPr>
      </w:pPr>
      <w:r>
        <w:rPr>
          <w:rFonts w:eastAsia="Times New Roman" w:cs="Arial"/>
          <w:w w:val="0"/>
        </w:rPr>
        <w:t>Where:</w:t>
      </w:r>
    </w:p>
    <w:p w:rsidRPr="000057B0" w:rsidR="00506657" w:rsidP="00506657" w:rsidRDefault="00506657" w14:paraId="68C0CFF5" w14:textId="77777777">
      <w:pPr>
        <w:tabs>
          <w:tab w:val="left" w:pos="720"/>
          <w:tab w:val="left" w:pos="1440"/>
          <w:tab w:val="left" w:pos="2160"/>
          <w:tab w:val="left" w:pos="2880"/>
        </w:tabs>
        <w:suppressAutoHyphens/>
        <w:adjustRightInd w:val="0"/>
        <w:spacing w:before="0" w:after="0"/>
        <w:ind w:firstLine="1440"/>
        <w:textAlignment w:val="baseline"/>
        <w:rPr>
          <w:rFonts w:eastAsia="Times New Roman" w:cs="Arial"/>
        </w:rPr>
      </w:pPr>
      <w:r>
        <w:rPr>
          <w:rFonts w:eastAsia="Times New Roman" w:cs="Arial"/>
          <w:w w:val="0"/>
        </w:rPr>
        <w:t>∑</w:t>
      </w:r>
      <w:r>
        <w:rPr>
          <w:rFonts w:eastAsia="Times New Roman" w:cs="Arial"/>
        </w:rPr>
        <w:t>=</w:t>
      </w:r>
      <w:r>
        <w:rPr>
          <w:rFonts w:eastAsia="Times New Roman" w:cs="Arial"/>
        </w:rPr>
        <w:tab/>
      </w:r>
      <w:r>
        <w:rPr>
          <w:rFonts w:eastAsia="Times New Roman" w:cs="Arial"/>
        </w:rPr>
        <w:tab/>
        <w:t>Summation from startup 1 to startup N.</w:t>
      </w:r>
    </w:p>
    <w:p w:rsidRPr="000057B0" w:rsidR="00506657" w:rsidP="00506657" w:rsidRDefault="00506657" w14:paraId="47F6E317" w14:textId="07A3585B">
      <w:pPr>
        <w:tabs>
          <w:tab w:val="left" w:pos="2880"/>
        </w:tabs>
        <w:suppressAutoHyphens/>
        <w:adjustRightInd w:val="0"/>
        <w:spacing w:before="0" w:after="0"/>
        <w:ind w:left="2880" w:hanging="1440"/>
        <w:textAlignment w:val="baseline"/>
        <w:rPr>
          <w:rFonts w:eastAsia="Times New Roman" w:cs="Arial"/>
          <w:w w:val="0"/>
        </w:rPr>
      </w:pPr>
      <w:r>
        <w:rPr>
          <w:rFonts w:eastAsia="Times New Roman" w:cs="Arial"/>
          <w:w w:val="0"/>
        </w:rPr>
        <w:t>FSR</w:t>
      </w:r>
      <w:r>
        <w:rPr>
          <w:rFonts w:eastAsia="Times New Roman" w:cs="Arial"/>
          <w:vertAlign w:val="subscript"/>
        </w:rPr>
        <w:t>GAS-</w:t>
      </w:r>
      <w:r>
        <w:rPr>
          <w:rFonts w:eastAsia="Times New Roman" w:cs="Arial"/>
          <w:w w:val="0"/>
          <w:vertAlign w:val="subscript"/>
        </w:rPr>
        <w:t>1</w:t>
      </w:r>
      <w:r>
        <w:rPr>
          <w:rFonts w:eastAsia="Times New Roman" w:cs="Arial"/>
          <w:w w:val="0"/>
        </w:rPr>
        <w:t xml:space="preserve"> =</w:t>
      </w:r>
      <w:r>
        <w:rPr>
          <w:rFonts w:eastAsia="Times New Roman" w:cs="Arial"/>
          <w:w w:val="0"/>
        </w:rPr>
        <w:tab/>
        <w:t xml:space="preserve">Fuel Startup Rate (in $/Startup Event) </w:t>
      </w:r>
      <w:r>
        <w:rPr>
          <w:rFonts w:eastAsia="Times New Roman" w:cs="Arial"/>
        </w:rPr>
        <w:t xml:space="preserve">when dispatched </w:t>
      </w:r>
      <w:r>
        <w:rPr>
          <w:rFonts w:eastAsia="Times New Roman" w:cs="Arial"/>
          <w:w w:val="0"/>
        </w:rPr>
        <w:t>on Natural Gas for moving from offline to one-on-one operation, as shown in Table C-1 (</w:t>
      </w:r>
      <w:r>
        <w:rPr>
          <w:rFonts w:eastAsia="Times New Roman" w:cs="Arial"/>
          <w:i/>
          <w:iCs/>
          <w:w w:val="0"/>
        </w:rPr>
        <w:t>Startup Rates ($/Startup Event) for Operation on Natural Gas</w:t>
      </w:r>
      <w:r>
        <w:rPr>
          <w:rFonts w:eastAsia="Times New Roman" w:cs="Arial"/>
          <w:w w:val="0"/>
        </w:rPr>
        <w:t>).</w:t>
      </w:r>
    </w:p>
    <w:p w:rsidRPr="000057B0" w:rsidR="00506657" w:rsidP="00506657" w:rsidRDefault="00506657" w14:paraId="6572C836" w14:textId="6127CA93">
      <w:pPr>
        <w:tabs>
          <w:tab w:val="left" w:pos="2880"/>
        </w:tabs>
        <w:suppressAutoHyphens/>
        <w:adjustRightInd w:val="0"/>
        <w:spacing w:before="0" w:after="0"/>
        <w:ind w:left="2880" w:hanging="1440"/>
        <w:textAlignment w:val="baseline"/>
        <w:rPr>
          <w:rFonts w:eastAsia="Times New Roman" w:cs="Arial"/>
          <w:w w:val="0"/>
        </w:rPr>
      </w:pPr>
      <w:bookmarkStart w:name="_DV_C736" w:id="409"/>
      <w:r>
        <w:rPr>
          <w:rFonts w:eastAsia="Times New Roman" w:cs="Arial"/>
          <w:w w:val="0"/>
        </w:rPr>
        <w:t>FSR</w:t>
      </w:r>
      <w:r>
        <w:rPr>
          <w:rFonts w:eastAsia="Times New Roman" w:cs="Arial"/>
          <w:vertAlign w:val="subscript"/>
        </w:rPr>
        <w:t>GAS-</w:t>
      </w:r>
      <w:r>
        <w:rPr>
          <w:rFonts w:eastAsia="Times New Roman" w:cs="Arial"/>
          <w:w w:val="0"/>
          <w:vertAlign w:val="subscript"/>
        </w:rPr>
        <w:t xml:space="preserve"> 2</w:t>
      </w:r>
      <w:r>
        <w:rPr>
          <w:rFonts w:eastAsia="Times New Roman" w:cs="Arial"/>
          <w:w w:val="0"/>
        </w:rPr>
        <w:t xml:space="preserve"> =</w:t>
      </w:r>
      <w:r>
        <w:rPr>
          <w:rFonts w:eastAsia="Times New Roman" w:cs="Arial"/>
          <w:w w:val="0"/>
        </w:rPr>
        <w:tab/>
        <w:t>Fuel</w:t>
      </w:r>
      <w:bookmarkStart w:name="_DV_C737" w:id="410"/>
      <w:bookmarkEnd w:id="409"/>
      <w:r>
        <w:rPr>
          <w:rFonts w:eastAsia="Times New Roman" w:cs="Arial"/>
          <w:w w:val="0"/>
        </w:rPr>
        <w:t xml:space="preserve"> </w:t>
      </w:r>
      <w:bookmarkEnd w:id="410"/>
      <w:r>
        <w:rPr>
          <w:rFonts w:eastAsia="Times New Roman" w:cs="Arial"/>
          <w:w w:val="0"/>
        </w:rPr>
        <w:t>Startup Rate (in $/Startup Event</w:t>
      </w:r>
      <w:bookmarkStart w:name="_DV_C738" w:id="411"/>
      <w:r>
        <w:rPr>
          <w:rFonts w:eastAsia="Times New Roman" w:cs="Arial"/>
          <w:w w:val="0"/>
        </w:rPr>
        <w:t xml:space="preserve">) </w:t>
      </w:r>
      <w:r>
        <w:rPr>
          <w:rFonts w:eastAsia="Times New Roman" w:cs="Arial"/>
        </w:rPr>
        <w:t xml:space="preserve">when dispatched </w:t>
      </w:r>
      <w:r>
        <w:rPr>
          <w:rFonts w:eastAsia="Times New Roman" w:cs="Arial"/>
          <w:w w:val="0"/>
        </w:rPr>
        <w:t>on Natural Gas for moving from one-on-one operation to two-on-one operation, as shown in Table C-1 (</w:t>
      </w:r>
      <w:r>
        <w:rPr>
          <w:rFonts w:eastAsia="Times New Roman" w:cs="Arial"/>
          <w:i/>
          <w:iCs/>
          <w:w w:val="0"/>
        </w:rPr>
        <w:t>Startup Rates ($/Startup Event) for Operation on Natural Gas</w:t>
      </w:r>
      <w:r>
        <w:rPr>
          <w:rFonts w:eastAsia="Times New Roman" w:cs="Arial"/>
          <w:w w:val="0"/>
        </w:rPr>
        <w:t>).</w:t>
      </w:r>
      <w:bookmarkEnd w:id="411"/>
    </w:p>
    <w:p w:rsidRPr="000057B0" w:rsidR="00506657" w:rsidP="00506657" w:rsidRDefault="00506657" w14:paraId="7F77BE2B" w14:textId="7A745067">
      <w:pPr>
        <w:tabs>
          <w:tab w:val="left" w:pos="2880"/>
        </w:tabs>
        <w:suppressAutoHyphens/>
        <w:adjustRightInd w:val="0"/>
        <w:spacing w:before="0" w:after="0"/>
        <w:ind w:left="2880" w:hanging="1440"/>
        <w:textAlignment w:val="baseline"/>
        <w:rPr>
          <w:rFonts w:eastAsia="Times New Roman" w:cs="Arial"/>
          <w:w w:val="0"/>
        </w:rPr>
      </w:pPr>
      <w:bookmarkStart w:name="_DV_C739" w:id="412"/>
      <w:r>
        <w:rPr>
          <w:rFonts w:eastAsia="Times New Roman" w:cs="Arial"/>
          <w:w w:val="0"/>
        </w:rPr>
        <w:t>FSR</w:t>
      </w:r>
      <w:r>
        <w:rPr>
          <w:rFonts w:eastAsia="Times New Roman" w:cs="Arial"/>
          <w:vertAlign w:val="subscript"/>
        </w:rPr>
        <w:t>GAS-</w:t>
      </w:r>
      <w:r>
        <w:rPr>
          <w:rFonts w:eastAsia="Times New Roman" w:cs="Arial"/>
          <w:w w:val="0"/>
        </w:rPr>
        <w:t xml:space="preserve"> =</w:t>
      </w:r>
      <w:r>
        <w:rPr>
          <w:rFonts w:eastAsia="Times New Roman" w:cs="Arial"/>
          <w:w w:val="0"/>
        </w:rPr>
        <w:tab/>
        <w:t xml:space="preserve">Fuel Startup Rate (in $/Startup Event) </w:t>
      </w:r>
      <w:r>
        <w:rPr>
          <w:rFonts w:eastAsia="Times New Roman" w:cs="Arial"/>
        </w:rPr>
        <w:t xml:space="preserve">when dispatched </w:t>
      </w:r>
      <w:r>
        <w:rPr>
          <w:rFonts w:eastAsia="Times New Roman" w:cs="Arial"/>
          <w:w w:val="0"/>
        </w:rPr>
        <w:t>on Natural Gas for moving from offline to two-on-one operation, as shown in Table C-1 (</w:t>
      </w:r>
      <w:r>
        <w:rPr>
          <w:rFonts w:eastAsia="Times New Roman" w:cs="Arial"/>
          <w:i/>
          <w:iCs/>
          <w:w w:val="0"/>
        </w:rPr>
        <w:t>Startup Rates ($/Startup Event) for Operation on Natural Gas</w:t>
      </w:r>
      <w:r>
        <w:rPr>
          <w:rFonts w:eastAsia="Times New Roman" w:cs="Arial"/>
          <w:w w:val="0"/>
        </w:rPr>
        <w:t>).</w:t>
      </w:r>
      <w:bookmarkEnd w:id="412"/>
    </w:p>
    <w:p w:rsidRPr="000057B0" w:rsidR="00506657" w:rsidP="00506657" w:rsidRDefault="00506657" w14:paraId="2FC76FCF" w14:textId="69A29A7A">
      <w:pPr>
        <w:tabs>
          <w:tab w:val="left" w:pos="2880"/>
        </w:tabs>
        <w:suppressAutoHyphens/>
        <w:adjustRightInd w:val="0"/>
        <w:spacing w:before="0" w:after="0"/>
        <w:ind w:left="2880" w:hanging="1440"/>
        <w:textAlignment w:val="baseline"/>
        <w:rPr>
          <w:rFonts w:eastAsia="Times New Roman" w:cs="Arial"/>
          <w:w w:val="0"/>
        </w:rPr>
      </w:pPr>
      <w:r>
        <w:rPr>
          <w:rFonts w:eastAsia="Times New Roman" w:cs="Arial"/>
          <w:w w:val="0"/>
        </w:rPr>
        <w:t>O&amp;MSR</w:t>
      </w:r>
      <w:r>
        <w:rPr>
          <w:rFonts w:eastAsia="Times New Roman" w:cs="Arial"/>
          <w:vertAlign w:val="subscript"/>
        </w:rPr>
        <w:t>GAS-1</w:t>
      </w:r>
      <w:r>
        <w:rPr>
          <w:rFonts w:eastAsia="Times New Roman" w:cs="Arial"/>
          <w:w w:val="0"/>
        </w:rPr>
        <w:t>=</w:t>
      </w:r>
      <w:r>
        <w:rPr>
          <w:rFonts w:eastAsia="Times New Roman" w:cs="Arial"/>
          <w:w w:val="0"/>
        </w:rPr>
        <w:tab/>
        <w:t xml:space="preserve">O&amp;M Startup Rate (in $/Startup Event) </w:t>
      </w:r>
      <w:r>
        <w:rPr>
          <w:rFonts w:eastAsia="Times New Roman" w:cs="Arial"/>
        </w:rPr>
        <w:t xml:space="preserve">when dispatched </w:t>
      </w:r>
      <w:r>
        <w:rPr>
          <w:rFonts w:eastAsia="Times New Roman" w:cs="Arial"/>
          <w:w w:val="0"/>
        </w:rPr>
        <w:t>on Natural Gas for moving from offline to one on one operation, as shown in Table C-1 (</w:t>
      </w:r>
      <w:r>
        <w:rPr>
          <w:rFonts w:eastAsia="Times New Roman" w:cs="Arial"/>
          <w:i/>
          <w:iCs/>
          <w:w w:val="0"/>
        </w:rPr>
        <w:t>Startup Rates ($/Startup Event) for Operation on Natural Gas</w:t>
      </w:r>
      <w:r>
        <w:rPr>
          <w:rFonts w:eastAsia="Times New Roman" w:cs="Arial"/>
          <w:w w:val="0"/>
        </w:rPr>
        <w:t>).</w:t>
      </w:r>
    </w:p>
    <w:p w:rsidRPr="000057B0" w:rsidR="00506657" w:rsidP="00506657" w:rsidRDefault="00506657" w14:paraId="1119192A" w14:textId="3B9F30F2">
      <w:pPr>
        <w:tabs>
          <w:tab w:val="left" w:pos="2880"/>
        </w:tabs>
        <w:suppressAutoHyphens/>
        <w:adjustRightInd w:val="0"/>
        <w:spacing w:before="0" w:after="0"/>
        <w:ind w:left="2880" w:hanging="1440"/>
        <w:textAlignment w:val="baseline"/>
        <w:rPr>
          <w:rFonts w:eastAsia="Times New Roman" w:cs="Arial"/>
          <w:w w:val="0"/>
        </w:rPr>
      </w:pPr>
      <w:r>
        <w:rPr>
          <w:rFonts w:eastAsia="Times New Roman" w:cs="Arial"/>
          <w:w w:val="0"/>
        </w:rPr>
        <w:t>O&amp;MSR</w:t>
      </w:r>
      <w:r>
        <w:rPr>
          <w:rFonts w:eastAsia="Times New Roman" w:cs="Arial"/>
          <w:vertAlign w:val="subscript"/>
        </w:rPr>
        <w:t>GAS-2</w:t>
      </w:r>
      <w:r>
        <w:rPr>
          <w:rFonts w:eastAsia="Times New Roman" w:cs="Arial"/>
          <w:w w:val="0"/>
        </w:rPr>
        <w:t>=</w:t>
      </w:r>
      <w:r>
        <w:rPr>
          <w:rFonts w:eastAsia="Times New Roman" w:cs="Arial"/>
          <w:w w:val="0"/>
        </w:rPr>
        <w:tab/>
        <w:t xml:space="preserve">O&amp;M Startup Rate (in $/Startup Event) </w:t>
      </w:r>
      <w:r>
        <w:rPr>
          <w:rFonts w:eastAsia="Times New Roman" w:cs="Arial"/>
        </w:rPr>
        <w:t xml:space="preserve">when dispatched </w:t>
      </w:r>
      <w:r>
        <w:rPr>
          <w:rFonts w:eastAsia="Times New Roman" w:cs="Arial"/>
          <w:w w:val="0"/>
        </w:rPr>
        <w:t xml:space="preserve">on Natural Gas for moving from one on one operation to two on one operation, as shown </w:t>
      </w:r>
      <w:r>
        <w:rPr>
          <w:rFonts w:eastAsia="Times New Roman" w:cs="Arial"/>
          <w:w w:val="0"/>
        </w:rPr>
        <w:lastRenderedPageBreak/>
        <w:t>in Table C-1 (</w:t>
      </w:r>
      <w:r>
        <w:rPr>
          <w:rFonts w:eastAsia="Times New Roman" w:cs="Arial"/>
          <w:i/>
          <w:iCs/>
          <w:w w:val="0"/>
        </w:rPr>
        <w:t>Startup Rates ($/Startup Event) for Operation on Natural Gas</w:t>
      </w:r>
      <w:r>
        <w:rPr>
          <w:rFonts w:eastAsia="Times New Roman" w:cs="Arial"/>
          <w:w w:val="0"/>
        </w:rPr>
        <w:t>).</w:t>
      </w:r>
    </w:p>
    <w:p w:rsidRPr="000057B0" w:rsidR="00506657" w:rsidP="00506657" w:rsidRDefault="00506657" w14:paraId="0AE7263F" w14:textId="36872BC4">
      <w:pPr>
        <w:tabs>
          <w:tab w:val="left" w:pos="2970"/>
        </w:tabs>
        <w:suppressAutoHyphens/>
        <w:adjustRightInd w:val="0"/>
        <w:spacing w:before="0" w:after="0"/>
        <w:ind w:left="2880" w:hanging="1440"/>
        <w:textAlignment w:val="baseline"/>
        <w:rPr>
          <w:rFonts w:eastAsia="Times New Roman" w:cs="Arial"/>
          <w:w w:val="0"/>
        </w:rPr>
      </w:pPr>
      <w:r>
        <w:rPr>
          <w:rFonts w:eastAsia="Times New Roman" w:cs="Arial"/>
          <w:w w:val="0"/>
        </w:rPr>
        <w:t>O&amp;MSR</w:t>
      </w:r>
      <w:r>
        <w:rPr>
          <w:rFonts w:eastAsia="Times New Roman" w:cs="Arial"/>
          <w:vertAlign w:val="subscript"/>
        </w:rPr>
        <w:t>GAS</w:t>
      </w:r>
      <w:r>
        <w:rPr>
          <w:rFonts w:eastAsia="Times New Roman" w:cs="Arial"/>
          <w:w w:val="0"/>
        </w:rPr>
        <w:t xml:space="preserve">= </w:t>
      </w:r>
      <w:r>
        <w:rPr>
          <w:rFonts w:eastAsia="Times New Roman" w:cs="Arial"/>
          <w:w w:val="0"/>
        </w:rPr>
        <w:tab/>
        <w:t xml:space="preserve">O&amp;M Startup Rate (in $/Startup Event) </w:t>
      </w:r>
      <w:r>
        <w:rPr>
          <w:rFonts w:eastAsia="Times New Roman" w:cs="Arial"/>
        </w:rPr>
        <w:t xml:space="preserve">when dispatched </w:t>
      </w:r>
      <w:r>
        <w:rPr>
          <w:rFonts w:eastAsia="Times New Roman" w:cs="Arial"/>
          <w:w w:val="0"/>
        </w:rPr>
        <w:t>on Natural Gas for moving from offline to two on one operation, as shown in Table C-1 (</w:t>
      </w:r>
      <w:r>
        <w:rPr>
          <w:rFonts w:eastAsia="Times New Roman" w:cs="Arial"/>
          <w:i/>
          <w:iCs/>
          <w:w w:val="0"/>
        </w:rPr>
        <w:t>Startup Rates ($/Startup Event) for Operation on Natural Gas</w:t>
      </w:r>
      <w:r>
        <w:rPr>
          <w:rFonts w:eastAsia="Times New Roman" w:cs="Arial"/>
          <w:w w:val="0"/>
        </w:rPr>
        <w:t xml:space="preserve">). </w:t>
      </w:r>
    </w:p>
    <w:p w:rsidRPr="000057B0" w:rsidR="00506657" w:rsidP="00506657" w:rsidRDefault="00506657" w14:paraId="60B2E506" w14:textId="77777777">
      <w:pPr>
        <w:tabs>
          <w:tab w:val="left" w:pos="2880"/>
        </w:tabs>
        <w:suppressAutoHyphens/>
        <w:adjustRightInd w:val="0"/>
        <w:spacing w:before="0" w:after="0"/>
        <w:ind w:left="2880" w:hanging="1440"/>
        <w:textAlignment w:val="baseline"/>
        <w:rPr>
          <w:rFonts w:eastAsia="Times New Roman" w:cs="Arial"/>
          <w:w w:val="0"/>
        </w:rPr>
      </w:pPr>
    </w:p>
    <w:p w:rsidRPr="000057B0" w:rsidR="00506657" w:rsidP="00D854CA" w:rsidRDefault="00506657" w14:paraId="56B0E05B" w14:textId="18D97FDE">
      <w:pPr>
        <w:pStyle w:val="zG02"/>
        <w:numPr>
          <w:ilvl w:val="0"/>
          <w:numId w:val="0"/>
        </w:numPr>
        <w:rPr>
          <w:w w:val="0"/>
        </w:rPr>
      </w:pPr>
      <w:r>
        <w:rPr>
          <w:w w:val="0"/>
        </w:rPr>
        <w:t xml:space="preserve">For purposes of determining </w:t>
      </w:r>
      <w:r>
        <w:t>Monthly Startup Charges</w:t>
      </w:r>
      <w:r>
        <w:rPr>
          <w:w w:val="0"/>
        </w:rPr>
        <w:t>, a “</w:t>
      </w:r>
      <w:r>
        <w:rPr>
          <w:b/>
          <w:bCs/>
          <w:w w:val="0"/>
        </w:rPr>
        <w:t>Startup Event</w:t>
      </w:r>
      <w:r>
        <w:rPr>
          <w:w w:val="0"/>
        </w:rPr>
        <w:t xml:space="preserve">” means: a charge or firing described below, which occurs </w:t>
      </w:r>
      <w:r>
        <w:t>in accordance with</w:t>
      </w:r>
      <w:r>
        <w:rPr>
          <w:w w:val="0"/>
        </w:rPr>
        <w:t xml:space="preserve"> GPC’s Scheduling Instructions:</w:t>
      </w:r>
    </w:p>
    <w:p w:rsidRPr="000057B0" w:rsidR="00506657" w:rsidP="00D854CA" w:rsidRDefault="00506657" w14:paraId="5A9BDB53" w14:textId="1CDD6E45">
      <w:pPr>
        <w:pStyle w:val="zG03"/>
        <w:rPr>
          <w:w w:val="0"/>
        </w:rPr>
      </w:pPr>
      <w:r>
        <w:rPr>
          <w:b/>
          <w:bCs/>
          <w:w w:val="0"/>
        </w:rPr>
        <w:t>Offline to One-On-One Startup.</w:t>
      </w:r>
      <w:r>
        <w:rPr>
          <w:w w:val="0"/>
        </w:rPr>
        <w:t xml:space="preserve"> A charge created by a change in unit output from 0 MWh to the level designated as the minimum Base Operating Mode Energy output for one-on-one operation. </w:t>
      </w:r>
    </w:p>
    <w:p w:rsidRPr="00F10071" w:rsidR="00506657" w:rsidP="00D854CA" w:rsidRDefault="00506657" w14:paraId="2839D7F2" w14:textId="75DC03B0">
      <w:pPr>
        <w:pStyle w:val="zG03"/>
        <w:rPr>
          <w:w w:val="0"/>
        </w:rPr>
      </w:pPr>
      <w:r>
        <w:rPr>
          <w:b/>
          <w:bCs/>
          <w:w w:val="0"/>
        </w:rPr>
        <w:t>One-On-One to Two-On-One Operation.</w:t>
      </w:r>
      <w:r>
        <w:rPr>
          <w:w w:val="0"/>
        </w:rPr>
        <w:t xml:space="preserve"> The firing of a second, previously idle CT at the designated unit that causes the Facility to increase Base Operating Mode Energy output to the level designated as the minimum for two-on-one operation. </w:t>
      </w:r>
    </w:p>
    <w:p w:rsidRPr="00F10071" w:rsidR="00506657" w:rsidP="00D854CA" w:rsidRDefault="00506657" w14:paraId="4E1E1BC1" w14:textId="148660BD">
      <w:pPr>
        <w:pStyle w:val="zG03"/>
        <w:rPr>
          <w:w w:val="0"/>
        </w:rPr>
      </w:pPr>
      <w:r>
        <w:rPr>
          <w:b/>
          <w:bCs/>
          <w:w w:val="0"/>
        </w:rPr>
        <w:t>Offline to Two-On-One Startup</w:t>
      </w:r>
      <w:r>
        <w:rPr>
          <w:w w:val="0"/>
        </w:rPr>
        <w:t>. A charge created by a change in unit output from 0 MWh to the level designated as the minimum Base Operating Mode Energy output for two-on-one operation.</w:t>
      </w:r>
    </w:p>
    <w:p w:rsidR="00A36F1F" w:rsidP="00D854CA" w:rsidRDefault="00DD6E71" w14:paraId="5AC07D96" w14:textId="647A2388">
      <w:pPr>
        <w:pStyle w:val="zG02"/>
        <w:numPr>
          <w:ilvl w:val="0"/>
          <w:numId w:val="0"/>
        </w:numPr>
        <w:rPr>
          <w:w w:val="0"/>
        </w:rPr>
      </w:pPr>
      <w:r>
        <w:rPr>
          <w:w w:val="0"/>
        </w:rPr>
        <w:t>PPA Sections 12.2.</w:t>
      </w:r>
      <w:r>
        <w:t>3(i)</w:t>
      </w:r>
      <w:r>
        <w:rPr>
          <w:w w:val="0"/>
        </w:rPr>
        <w:t xml:space="preserve"> (</w:t>
      </w:r>
      <w:r>
        <w:rPr>
          <w:i/>
          <w:iCs/>
        </w:rPr>
        <w:t>Day-Ahead Scheduling Instructions and Deadlines</w:t>
      </w:r>
      <w:r>
        <w:rPr>
          <w:w w:val="0"/>
        </w:rPr>
        <w:t>) and 12.</w:t>
      </w:r>
      <w:r>
        <w:t>3 (</w:t>
      </w:r>
      <w:r>
        <w:rPr>
          <w:i/>
          <w:iCs/>
        </w:rPr>
        <w:t>AGC</w:t>
      </w:r>
      <w:r>
        <w:t>)</w:t>
      </w:r>
      <w:r>
        <w:rPr>
          <w:i/>
          <w:iCs/>
        </w:rPr>
        <w:t xml:space="preserve"> </w:t>
      </w:r>
      <w:r>
        <w:t>will</w:t>
      </w:r>
      <w:r>
        <w:rPr>
          <w:w w:val="0"/>
        </w:rPr>
        <w:t xml:space="preserve"> govern the number of Startup Events assessed to GPC when Seller’s operation of the Facility deviates from GPC’s Schedule. </w:t>
      </w:r>
    </w:p>
    <w:p w:rsidR="0001134B" w:rsidP="00D854CA" w:rsidRDefault="0001134B" w14:paraId="0FD0C64B" w14:textId="0239F86C">
      <w:pPr>
        <w:pStyle w:val="zG02"/>
        <w:numPr>
          <w:ilvl w:val="0"/>
          <w:numId w:val="0"/>
        </w:numPr>
        <w:rPr>
          <w:w w:val="0"/>
        </w:rPr>
      </w:pPr>
      <w:r>
        <w:rPr>
          <w:w w:val="0"/>
        </w:rPr>
        <w:t>The Monthly Startup Charge for each unit will be added to determine the total Monthly Startup Charges.</w:t>
      </w:r>
    </w:p>
    <w:p w:rsidRPr="00F10071" w:rsidR="00506657" w:rsidP="00D854CA" w:rsidRDefault="005973E0" w14:paraId="741BA7D5" w14:textId="1B4672B7">
      <w:pPr>
        <w:pStyle w:val="zG02"/>
        <w:numPr>
          <w:ilvl w:val="0"/>
          <w:numId w:val="0"/>
        </w:numPr>
        <w:rPr>
          <w:w w:val="0"/>
        </w:rPr>
      </w:pPr>
      <w:r>
        <w:rPr>
          <w:w w:val="0"/>
        </w:rPr>
        <w:t xml:space="preserve">GPC will pay for energy produced by Seller and delivered to </w:t>
      </w:r>
      <w:r>
        <w:t xml:space="preserve">GPC </w:t>
      </w:r>
      <w:r>
        <w:rPr>
          <w:w w:val="0"/>
        </w:rPr>
        <w:t xml:space="preserve">from synchronization to </w:t>
      </w:r>
      <w:r>
        <w:t>Minimum Capacity and from Minimum Capacity to offline</w:t>
      </w:r>
      <w:r>
        <w:rPr>
          <w:w w:val="0"/>
        </w:rPr>
        <w:t xml:space="preserve"> at the GHR applicable to </w:t>
      </w:r>
      <w:r>
        <w:t>Minimum Capacity</w:t>
      </w:r>
      <w:r>
        <w:rPr>
          <w:w w:val="0"/>
        </w:rPr>
        <w:t>. GPC will pay for energy produced from Minimum Capacity to Base Operating Mode and from Base Operating Mode to Supplemental Operating Mode at the GHR applicable to average MWs during ramping. </w:t>
      </w:r>
    </w:p>
    <w:p w:rsidRPr="00F10071" w:rsidR="00506657" w:rsidP="00506657" w:rsidRDefault="00506657" w14:paraId="1B567735" w14:textId="77777777">
      <w:pPr>
        <w:adjustRightInd w:val="0"/>
        <w:spacing w:before="0" w:after="0"/>
        <w:ind w:left="450" w:hanging="450"/>
        <w:jc w:val="center"/>
        <w:textAlignment w:val="baseline"/>
        <w:rPr>
          <w:rFonts w:eastAsia="Times New Roman" w:cs="Arial"/>
          <w:w w:val="0"/>
        </w:rPr>
      </w:pPr>
    </w:p>
    <w:p w:rsidRPr="00F10071" w:rsidR="00506657" w:rsidP="00506657" w:rsidRDefault="00506657" w14:paraId="5F27EAAB" w14:textId="77777777">
      <w:pPr>
        <w:adjustRightInd w:val="0"/>
        <w:spacing w:before="0" w:after="0"/>
        <w:ind w:left="450" w:hanging="450"/>
        <w:textAlignment w:val="baseline"/>
        <w:rPr>
          <w:rFonts w:eastAsia="Times New Roman" w:cs="Arial"/>
        </w:rPr>
      </w:pPr>
    </w:p>
    <w:tbl>
      <w:tblPr>
        <w:tblW w:w="937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Look w:val="0000" w:firstRow="0" w:lastRow="0" w:firstColumn="0" w:lastColumn="0" w:noHBand="0" w:noVBand="0"/>
      </w:tblPr>
      <w:tblGrid>
        <w:gridCol w:w="1206"/>
        <w:gridCol w:w="1206"/>
        <w:gridCol w:w="2321"/>
        <w:gridCol w:w="2321"/>
        <w:gridCol w:w="2321"/>
      </w:tblGrid>
      <w:tr w:rsidRPr="00F10071" w:rsidR="00FF5F6B" w:rsidTr="00FF5F6B" w14:paraId="16E91A9E" w14:textId="77777777">
        <w:trPr>
          <w:trHeight w:val="370"/>
          <w:jc w:val="center"/>
        </w:trPr>
        <w:tc>
          <w:tcPr>
            <w:tcW w:w="9375" w:type="dxa"/>
            <w:gridSpan w:val="5"/>
            <w:tcBorders>
              <w:top w:val="single" w:color="auto" w:sz="12" w:space="0"/>
              <w:left w:val="single" w:color="auto" w:sz="12" w:space="0"/>
              <w:bottom w:val="single" w:color="auto" w:sz="4" w:space="0"/>
              <w:right w:val="single" w:color="auto" w:sz="12" w:space="0"/>
            </w:tcBorders>
            <w:shd w:val="clear" w:color="auto" w:fill="D9D9D9" w:themeFill="background1" w:themeFillShade="D9"/>
          </w:tcPr>
          <w:p w:rsidRPr="00FF5F6B" w:rsidR="00FF5F6B" w:rsidP="00FF5F6B" w:rsidRDefault="00FF5F6B" w14:paraId="782AFCAB" w14:textId="269698AB">
            <w:pPr>
              <w:adjustRightInd w:val="0"/>
              <w:spacing w:before="0" w:after="0"/>
              <w:ind w:left="450" w:hanging="450"/>
              <w:jc w:val="center"/>
              <w:textAlignment w:val="baseline"/>
              <w:outlineLvl w:val="0"/>
              <w:rPr>
                <w:rFonts w:eastAsia="Times New Roman" w:cs="Arial"/>
                <w:b/>
                <w:bCs/>
                <w:w w:val="0"/>
              </w:rPr>
            </w:pPr>
            <w:r>
              <w:rPr>
                <w:rFonts w:eastAsia="Times New Roman" w:cs="Arial"/>
                <w:b/>
                <w:bCs/>
                <w:w w:val="0"/>
              </w:rPr>
              <w:t>Table C-1</w:t>
            </w:r>
          </w:p>
          <w:p w:rsidRPr="00FF5F6B" w:rsidR="00FF5F6B" w:rsidP="00FF5F6B" w:rsidRDefault="00FF5F6B" w14:paraId="73838097" w14:textId="7C4B0A45">
            <w:pPr>
              <w:adjustRightInd w:val="0"/>
              <w:spacing w:before="0" w:after="0"/>
              <w:ind w:left="450" w:hanging="450"/>
              <w:jc w:val="center"/>
              <w:textAlignment w:val="baseline"/>
              <w:rPr>
                <w:rFonts w:eastAsia="Times New Roman" w:cs="Arial"/>
                <w:w w:val="0"/>
              </w:rPr>
            </w:pPr>
            <w:r>
              <w:rPr>
                <w:rFonts w:eastAsia="Times New Roman" w:cs="Arial"/>
                <w:b/>
                <w:bCs/>
                <w:w w:val="0"/>
              </w:rPr>
              <w:t>Startup Rates ($/Startup Event) for Operation on Natural Gas</w:t>
            </w:r>
          </w:p>
        </w:tc>
      </w:tr>
      <w:tr w:rsidRPr="00F10071" w:rsidR="00506657" w:rsidTr="00FF5F6B" w14:paraId="2B093BFE" w14:textId="77777777">
        <w:trPr>
          <w:trHeight w:val="370"/>
          <w:jc w:val="center"/>
        </w:trPr>
        <w:tc>
          <w:tcPr>
            <w:tcW w:w="1206" w:type="dxa"/>
            <w:tcBorders>
              <w:top w:val="single" w:color="auto" w:sz="12" w:space="0"/>
              <w:left w:val="single" w:color="auto" w:sz="12" w:space="0"/>
              <w:bottom w:val="single" w:color="auto" w:sz="4" w:space="0"/>
              <w:right w:val="single" w:color="auto" w:sz="4" w:space="0"/>
            </w:tcBorders>
            <w:shd w:val="clear" w:color="auto" w:fill="F2F2F2" w:themeFill="background1" w:themeFillShade="F2"/>
          </w:tcPr>
          <w:p w:rsidRPr="00F10071" w:rsidR="00506657" w:rsidP="00506657" w:rsidRDefault="00506657" w14:paraId="196287BA" w14:textId="77777777">
            <w:pPr>
              <w:adjustRightInd w:val="0"/>
              <w:spacing w:before="0" w:after="0"/>
              <w:ind w:left="-6"/>
              <w:jc w:val="center"/>
              <w:textAlignment w:val="baseline"/>
              <w:rPr>
                <w:rFonts w:eastAsia="Times New Roman" w:cs="Arial"/>
                <w:w w:val="0"/>
              </w:rPr>
            </w:pPr>
          </w:p>
        </w:tc>
        <w:tc>
          <w:tcPr>
            <w:tcW w:w="1206" w:type="dxa"/>
            <w:tcBorders>
              <w:top w:val="single" w:color="auto" w:sz="12" w:space="0"/>
              <w:left w:val="single" w:color="auto" w:sz="4" w:space="0"/>
              <w:bottom w:val="single" w:color="auto" w:sz="4" w:space="0"/>
              <w:right w:val="single" w:color="auto" w:sz="12" w:space="0"/>
            </w:tcBorders>
            <w:shd w:val="clear" w:color="auto" w:fill="F2F2F2" w:themeFill="background1" w:themeFillShade="F2"/>
          </w:tcPr>
          <w:p w:rsidRPr="00F10071" w:rsidR="00506657" w:rsidP="00506657" w:rsidRDefault="00506657" w14:paraId="73FDA9BB" w14:textId="77777777">
            <w:pPr>
              <w:adjustRightInd w:val="0"/>
              <w:spacing w:before="0" w:after="0"/>
              <w:ind w:left="-6"/>
              <w:jc w:val="center"/>
              <w:textAlignment w:val="baseline"/>
              <w:rPr>
                <w:rFonts w:eastAsia="Times New Roman" w:cs="Arial"/>
                <w:w w:val="0"/>
              </w:rPr>
            </w:pPr>
          </w:p>
        </w:tc>
        <w:tc>
          <w:tcPr>
            <w:tcW w:w="2321" w:type="dxa"/>
            <w:tcBorders>
              <w:top w:val="single" w:color="auto" w:sz="12" w:space="0"/>
              <w:left w:val="single" w:color="auto" w:sz="12" w:space="0"/>
              <w:bottom w:val="single" w:color="auto" w:sz="4" w:space="0"/>
              <w:right w:val="single" w:color="auto" w:sz="12" w:space="0"/>
            </w:tcBorders>
            <w:shd w:val="clear" w:color="auto" w:fill="F2F2F2" w:themeFill="background1" w:themeFillShade="F2"/>
          </w:tcPr>
          <w:p w:rsidRPr="00F10071" w:rsidR="00506657" w:rsidP="00506657" w:rsidRDefault="00506657" w14:paraId="65656FDB" w14:textId="0ECD12FD">
            <w:pPr>
              <w:adjustRightInd w:val="0"/>
              <w:spacing w:before="0" w:after="0"/>
              <w:jc w:val="center"/>
              <w:textAlignment w:val="baseline"/>
              <w:rPr>
                <w:rFonts w:eastAsia="Times New Roman" w:cs="Arial"/>
                <w:b/>
                <w:i/>
              </w:rPr>
            </w:pPr>
            <w:r>
              <w:rPr>
                <w:rFonts w:eastAsia="Times New Roman" w:cs="Arial"/>
                <w:b/>
                <w:i/>
              </w:rPr>
              <w:t>Offline to One-on-One Operation</w:t>
            </w:r>
          </w:p>
        </w:tc>
        <w:tc>
          <w:tcPr>
            <w:tcW w:w="2321" w:type="dxa"/>
            <w:tcBorders>
              <w:top w:val="single" w:color="auto" w:sz="12" w:space="0"/>
              <w:left w:val="single" w:color="auto" w:sz="12" w:space="0"/>
              <w:bottom w:val="single" w:color="auto" w:sz="4" w:space="0"/>
              <w:right w:val="single" w:color="auto" w:sz="12" w:space="0"/>
            </w:tcBorders>
            <w:shd w:val="clear" w:color="auto" w:fill="F2F2F2" w:themeFill="background1" w:themeFillShade="F2"/>
          </w:tcPr>
          <w:p w:rsidRPr="00F10071" w:rsidR="00506657" w:rsidP="00506657" w:rsidRDefault="00251DE8" w14:paraId="7F810763" w14:textId="72BDD6C6">
            <w:pPr>
              <w:adjustRightInd w:val="0"/>
              <w:spacing w:before="0" w:after="0"/>
              <w:jc w:val="center"/>
              <w:textAlignment w:val="baseline"/>
              <w:rPr>
                <w:rFonts w:eastAsia="Times New Roman" w:cs="Arial"/>
                <w:b/>
                <w:i/>
              </w:rPr>
            </w:pPr>
            <w:r>
              <w:rPr>
                <w:rFonts w:eastAsia="Times New Roman" w:cs="Arial"/>
                <w:b/>
                <w:i/>
              </w:rPr>
              <w:t>One-on-One operation to Two-on-One Operation</w:t>
            </w:r>
          </w:p>
        </w:tc>
        <w:tc>
          <w:tcPr>
            <w:tcW w:w="2321" w:type="dxa"/>
            <w:tcBorders>
              <w:top w:val="single" w:color="auto" w:sz="12" w:space="0"/>
              <w:left w:val="single" w:color="auto" w:sz="12" w:space="0"/>
              <w:bottom w:val="single" w:color="auto" w:sz="4" w:space="0"/>
              <w:right w:val="single" w:color="auto" w:sz="12" w:space="0"/>
            </w:tcBorders>
            <w:shd w:val="clear" w:color="auto" w:fill="F2F2F2" w:themeFill="background1" w:themeFillShade="F2"/>
          </w:tcPr>
          <w:p w:rsidRPr="00F10071" w:rsidR="00506657" w:rsidP="00506657" w:rsidRDefault="00506657" w14:paraId="14055136" w14:textId="77E55440">
            <w:pPr>
              <w:adjustRightInd w:val="0"/>
              <w:spacing w:before="0" w:after="0"/>
              <w:jc w:val="center"/>
              <w:textAlignment w:val="baseline"/>
              <w:rPr>
                <w:rFonts w:eastAsia="Times New Roman" w:cs="Arial"/>
                <w:b/>
                <w:i/>
              </w:rPr>
            </w:pPr>
            <w:r>
              <w:rPr>
                <w:rFonts w:eastAsia="Times New Roman" w:cs="Arial"/>
                <w:b/>
                <w:i/>
              </w:rPr>
              <w:t>Offline to Two-on-One Operation</w:t>
            </w:r>
          </w:p>
        </w:tc>
      </w:tr>
      <w:tr w:rsidRPr="00F10071" w:rsidR="00506657" w:rsidTr="00E55203" w14:paraId="21FC0AA0" w14:textId="77777777">
        <w:trPr>
          <w:trHeight w:val="370"/>
          <w:jc w:val="center"/>
        </w:trPr>
        <w:tc>
          <w:tcPr>
            <w:tcW w:w="1206" w:type="dxa"/>
            <w:vMerge w:val="restart"/>
            <w:tcBorders>
              <w:top w:val="single" w:color="auto" w:sz="12" w:space="0"/>
              <w:left w:val="single" w:color="auto" w:sz="12" w:space="0"/>
              <w:bottom w:val="single" w:color="auto" w:sz="4" w:space="0"/>
              <w:right w:val="single" w:color="auto" w:sz="4" w:space="0"/>
            </w:tcBorders>
          </w:tcPr>
          <w:p w:rsidRPr="00F10071" w:rsidR="00506657" w:rsidP="00506657" w:rsidRDefault="00506657" w14:paraId="1C4F3BAB" w14:textId="77777777">
            <w:pPr>
              <w:adjustRightInd w:val="0"/>
              <w:spacing w:before="0" w:after="0"/>
              <w:ind w:left="-6"/>
              <w:jc w:val="center"/>
              <w:textAlignment w:val="baseline"/>
              <w:rPr>
                <w:rFonts w:eastAsia="Times New Roman" w:cs="Arial"/>
                <w:w w:val="0"/>
              </w:rPr>
            </w:pPr>
            <w:r>
              <w:rPr>
                <w:rFonts w:eastAsia="Times New Roman" w:cs="Arial"/>
                <w:w w:val="0"/>
              </w:rPr>
              <w:t>Fuel Startup Rate ($/event)</w:t>
            </w:r>
          </w:p>
        </w:tc>
        <w:tc>
          <w:tcPr>
            <w:tcW w:w="1206" w:type="dxa"/>
            <w:tcBorders>
              <w:top w:val="single" w:color="auto" w:sz="12" w:space="0"/>
              <w:left w:val="single" w:color="auto" w:sz="4" w:space="0"/>
              <w:bottom w:val="single" w:color="auto" w:sz="4" w:space="0"/>
              <w:right w:val="single" w:color="auto" w:sz="12" w:space="0"/>
            </w:tcBorders>
          </w:tcPr>
          <w:p w:rsidRPr="00F10071" w:rsidR="00506657" w:rsidP="00506657" w:rsidRDefault="00506657" w14:paraId="26B0D209" w14:textId="77777777">
            <w:pPr>
              <w:adjustRightInd w:val="0"/>
              <w:spacing w:before="0" w:after="0"/>
              <w:ind w:left="-6"/>
              <w:jc w:val="center"/>
              <w:textAlignment w:val="baseline"/>
              <w:rPr>
                <w:rFonts w:eastAsia="Times New Roman" w:cs="Arial"/>
                <w:w w:val="0"/>
              </w:rPr>
            </w:pPr>
            <w:r>
              <w:rPr>
                <w:rFonts w:eastAsia="Times New Roman" w:cs="Arial"/>
                <w:w w:val="0"/>
              </w:rPr>
              <w:t>Hot</w:t>
            </w:r>
          </w:p>
        </w:tc>
        <w:tc>
          <w:tcPr>
            <w:tcW w:w="2321" w:type="dxa"/>
            <w:tcBorders>
              <w:top w:val="single" w:color="auto" w:sz="12" w:space="0"/>
              <w:left w:val="single" w:color="auto" w:sz="12" w:space="0"/>
              <w:bottom w:val="single" w:color="auto" w:sz="4" w:space="0"/>
              <w:right w:val="single" w:color="auto" w:sz="12" w:space="0"/>
            </w:tcBorders>
          </w:tcPr>
          <w:p w:rsidRPr="00F10071" w:rsidR="00506657" w:rsidP="00506657" w:rsidRDefault="006D0335" w14:paraId="68765E9C" w14:textId="657D4D37">
            <w:pPr>
              <w:adjustRightInd w:val="0"/>
              <w:spacing w:before="0" w:after="0"/>
              <w:jc w:val="center"/>
              <w:textAlignment w:val="baseline"/>
              <w:rPr>
                <w:rFonts w:eastAsia="Times New Roman" w:cs="Arial"/>
                <w:w w:val="0"/>
              </w:rPr>
            </w:pPr>
            <w:r>
              <w:rPr>
                <w:rFonts w:eastAsia="Times New Roman" w:cs="Arial"/>
                <w:b/>
                <w:i/>
                <w:highlight w:val="yellow"/>
              </w:rPr>
              <w:t>#Value</w:t>
            </w:r>
            <w:r>
              <w:rPr>
                <w:rFonts w:eastAsia="Times New Roman" w:cs="Arial"/>
                <w:b/>
                <w:i/>
              </w:rPr>
              <w:t>*</w:t>
            </w:r>
          </w:p>
        </w:tc>
        <w:tc>
          <w:tcPr>
            <w:tcW w:w="2321" w:type="dxa"/>
            <w:tcBorders>
              <w:top w:val="single" w:color="auto" w:sz="12" w:space="0"/>
              <w:left w:val="single" w:color="auto" w:sz="12" w:space="0"/>
              <w:bottom w:val="single" w:color="auto" w:sz="4" w:space="0"/>
              <w:right w:val="single" w:color="auto" w:sz="12" w:space="0"/>
            </w:tcBorders>
          </w:tcPr>
          <w:p w:rsidRPr="00F10071" w:rsidR="00506657" w:rsidP="00506657" w:rsidRDefault="006D0335" w14:paraId="2018817B" w14:textId="20053CDD">
            <w:pPr>
              <w:adjustRightInd w:val="0"/>
              <w:spacing w:before="0" w:after="0"/>
              <w:jc w:val="center"/>
              <w:textAlignment w:val="baseline"/>
              <w:rPr>
                <w:rFonts w:eastAsia="Times New Roman" w:cs="Arial"/>
                <w:w w:val="0"/>
              </w:rPr>
            </w:pPr>
            <w:r>
              <w:rPr>
                <w:rFonts w:eastAsia="Times New Roman" w:cs="Arial"/>
                <w:b/>
                <w:i/>
                <w:highlight w:val="yellow"/>
              </w:rPr>
              <w:t>#Value</w:t>
            </w:r>
            <w:r>
              <w:rPr>
                <w:rFonts w:eastAsia="Times New Roman" w:cs="Arial"/>
                <w:b/>
                <w:i/>
              </w:rPr>
              <w:t>**</w:t>
            </w:r>
          </w:p>
        </w:tc>
        <w:tc>
          <w:tcPr>
            <w:tcW w:w="2321" w:type="dxa"/>
            <w:tcBorders>
              <w:top w:val="single" w:color="auto" w:sz="12" w:space="0"/>
              <w:left w:val="single" w:color="auto" w:sz="12" w:space="0"/>
              <w:bottom w:val="single" w:color="auto" w:sz="4" w:space="0"/>
              <w:right w:val="single" w:color="auto" w:sz="12" w:space="0"/>
            </w:tcBorders>
          </w:tcPr>
          <w:p w:rsidRPr="00F10071" w:rsidR="00506657" w:rsidP="00506657" w:rsidRDefault="006D0335" w14:paraId="672C1A5B" w14:textId="3C303244">
            <w:pPr>
              <w:adjustRightInd w:val="0"/>
              <w:spacing w:before="0" w:after="0"/>
              <w:jc w:val="center"/>
              <w:textAlignment w:val="baseline"/>
              <w:rPr>
                <w:rFonts w:eastAsia="Times New Roman" w:cs="Arial"/>
                <w:b/>
                <w:i/>
              </w:rPr>
            </w:pPr>
            <w:r>
              <w:rPr>
                <w:rFonts w:eastAsia="Times New Roman" w:cs="Arial"/>
                <w:b/>
                <w:i/>
                <w:highlight w:val="yellow"/>
              </w:rPr>
              <w:t>#Value</w:t>
            </w:r>
            <w:r>
              <w:rPr>
                <w:rFonts w:eastAsia="Times New Roman" w:cs="Arial"/>
                <w:b/>
                <w:i/>
              </w:rPr>
              <w:t>**</w:t>
            </w:r>
          </w:p>
        </w:tc>
      </w:tr>
      <w:tr w:rsidRPr="00F10071" w:rsidR="00506657" w:rsidTr="00E55203" w14:paraId="7903F5DA" w14:textId="77777777">
        <w:trPr>
          <w:trHeight w:val="370"/>
          <w:jc w:val="center"/>
        </w:trPr>
        <w:tc>
          <w:tcPr>
            <w:tcW w:w="1206" w:type="dxa"/>
            <w:vMerge/>
            <w:tcBorders>
              <w:top w:val="single" w:color="auto" w:sz="4" w:space="0"/>
              <w:left w:val="single" w:color="auto" w:sz="12" w:space="0"/>
              <w:bottom w:val="single" w:color="auto" w:sz="4" w:space="0"/>
              <w:right w:val="single" w:color="auto" w:sz="4" w:space="0"/>
            </w:tcBorders>
          </w:tcPr>
          <w:p w:rsidRPr="00F10071" w:rsidR="00506657" w:rsidP="00506657" w:rsidRDefault="00506657" w14:paraId="5D304F60" w14:textId="77777777">
            <w:pPr>
              <w:adjustRightInd w:val="0"/>
              <w:spacing w:before="0" w:after="0"/>
              <w:jc w:val="center"/>
              <w:textAlignment w:val="baseline"/>
              <w:rPr>
                <w:rFonts w:eastAsia="Times New Roman" w:cs="Arial"/>
                <w:w w:val="0"/>
              </w:rPr>
            </w:pPr>
          </w:p>
        </w:tc>
        <w:tc>
          <w:tcPr>
            <w:tcW w:w="1206" w:type="dxa"/>
            <w:tcBorders>
              <w:top w:val="single" w:color="auto" w:sz="4" w:space="0"/>
              <w:left w:val="single" w:color="auto" w:sz="4" w:space="0"/>
              <w:bottom w:val="single" w:color="auto" w:sz="4" w:space="0"/>
              <w:right w:val="single" w:color="auto" w:sz="12" w:space="0"/>
            </w:tcBorders>
          </w:tcPr>
          <w:p w:rsidRPr="00F10071" w:rsidR="00506657" w:rsidP="00506657" w:rsidRDefault="00506657" w14:paraId="2161F902" w14:textId="77777777">
            <w:pPr>
              <w:adjustRightInd w:val="0"/>
              <w:spacing w:before="0" w:after="0"/>
              <w:ind w:left="-6"/>
              <w:jc w:val="center"/>
              <w:textAlignment w:val="baseline"/>
              <w:rPr>
                <w:rFonts w:eastAsia="Times New Roman" w:cs="Arial"/>
                <w:w w:val="0"/>
              </w:rPr>
            </w:pPr>
            <w:r>
              <w:rPr>
                <w:rFonts w:eastAsia="Times New Roman" w:cs="Arial"/>
                <w:w w:val="0"/>
              </w:rPr>
              <w:t>Warm</w:t>
            </w:r>
          </w:p>
        </w:tc>
        <w:tc>
          <w:tcPr>
            <w:tcW w:w="2321" w:type="dxa"/>
            <w:tcBorders>
              <w:top w:val="single" w:color="auto" w:sz="4" w:space="0"/>
              <w:left w:val="single" w:color="auto" w:sz="12" w:space="0"/>
              <w:bottom w:val="single" w:color="auto" w:sz="4" w:space="0"/>
              <w:right w:val="single" w:color="auto" w:sz="12" w:space="0"/>
            </w:tcBorders>
          </w:tcPr>
          <w:p w:rsidRPr="00F10071" w:rsidR="00506657" w:rsidP="00506657" w:rsidRDefault="006D0335" w14:paraId="469A811E" w14:textId="13F1722A">
            <w:pPr>
              <w:adjustRightInd w:val="0"/>
              <w:spacing w:before="0" w:after="0"/>
              <w:ind w:left="-6"/>
              <w:jc w:val="center"/>
              <w:textAlignment w:val="baseline"/>
              <w:rPr>
                <w:rFonts w:eastAsia="Times New Roman" w:cs="Arial"/>
                <w:w w:val="0"/>
              </w:rPr>
            </w:pPr>
            <w:r>
              <w:rPr>
                <w:rFonts w:eastAsia="Times New Roman" w:cs="Arial"/>
                <w:b/>
                <w:i/>
                <w:highlight w:val="yellow"/>
              </w:rPr>
              <w:t>#Value</w:t>
            </w:r>
            <w:r>
              <w:rPr>
                <w:rFonts w:eastAsia="Times New Roman" w:cs="Arial"/>
                <w:b/>
                <w:i/>
              </w:rPr>
              <w:t>*</w:t>
            </w:r>
          </w:p>
        </w:tc>
        <w:tc>
          <w:tcPr>
            <w:tcW w:w="2321" w:type="dxa"/>
            <w:tcBorders>
              <w:top w:val="single" w:color="auto" w:sz="4" w:space="0"/>
              <w:left w:val="single" w:color="auto" w:sz="12" w:space="0"/>
              <w:bottom w:val="single" w:color="auto" w:sz="4" w:space="0"/>
              <w:right w:val="single" w:color="auto" w:sz="12" w:space="0"/>
            </w:tcBorders>
          </w:tcPr>
          <w:p w:rsidRPr="00F10071" w:rsidR="00506657" w:rsidP="00506657" w:rsidRDefault="006D0335" w14:paraId="30582900" w14:textId="03FCA748">
            <w:pPr>
              <w:adjustRightInd w:val="0"/>
              <w:spacing w:before="0" w:after="0"/>
              <w:ind w:left="-6"/>
              <w:jc w:val="center"/>
              <w:textAlignment w:val="baseline"/>
              <w:rPr>
                <w:rFonts w:eastAsia="Times New Roman" w:cs="Arial"/>
                <w:w w:val="0"/>
              </w:rPr>
            </w:pPr>
            <w:r>
              <w:rPr>
                <w:rFonts w:eastAsia="Times New Roman" w:cs="Arial"/>
                <w:b/>
                <w:i/>
                <w:highlight w:val="yellow"/>
              </w:rPr>
              <w:t>#Value</w:t>
            </w:r>
            <w:r>
              <w:rPr>
                <w:rFonts w:eastAsia="Times New Roman" w:cs="Arial"/>
                <w:b/>
                <w:i/>
              </w:rPr>
              <w:t>**</w:t>
            </w:r>
          </w:p>
        </w:tc>
        <w:tc>
          <w:tcPr>
            <w:tcW w:w="2321" w:type="dxa"/>
            <w:tcBorders>
              <w:top w:val="single" w:color="auto" w:sz="4" w:space="0"/>
              <w:left w:val="single" w:color="auto" w:sz="12" w:space="0"/>
              <w:bottom w:val="single" w:color="auto" w:sz="4" w:space="0"/>
              <w:right w:val="single" w:color="auto" w:sz="12" w:space="0"/>
            </w:tcBorders>
          </w:tcPr>
          <w:p w:rsidRPr="00F10071" w:rsidR="00506657" w:rsidP="00506657" w:rsidRDefault="006D0335" w14:paraId="4129BB51" w14:textId="788AC26F">
            <w:pPr>
              <w:adjustRightInd w:val="0"/>
              <w:spacing w:before="0" w:after="0"/>
              <w:ind w:left="-6"/>
              <w:jc w:val="center"/>
              <w:textAlignment w:val="baseline"/>
              <w:rPr>
                <w:rFonts w:eastAsia="Times New Roman" w:cs="Arial"/>
                <w:b/>
                <w:i/>
              </w:rPr>
            </w:pPr>
            <w:r>
              <w:rPr>
                <w:rFonts w:eastAsia="Times New Roman" w:cs="Arial"/>
                <w:b/>
                <w:i/>
                <w:highlight w:val="yellow"/>
              </w:rPr>
              <w:t>#Value</w:t>
            </w:r>
            <w:r>
              <w:rPr>
                <w:rFonts w:eastAsia="Times New Roman" w:cs="Arial"/>
                <w:b/>
                <w:i/>
              </w:rPr>
              <w:t>**</w:t>
            </w:r>
          </w:p>
        </w:tc>
      </w:tr>
      <w:tr w:rsidRPr="00F10071" w:rsidR="00506657" w:rsidTr="00E55203" w14:paraId="10AEF12E" w14:textId="77777777">
        <w:trPr>
          <w:trHeight w:val="370"/>
          <w:jc w:val="center"/>
        </w:trPr>
        <w:tc>
          <w:tcPr>
            <w:tcW w:w="1206" w:type="dxa"/>
            <w:vMerge/>
            <w:tcBorders>
              <w:top w:val="single" w:color="auto" w:sz="4" w:space="0"/>
              <w:left w:val="single" w:color="auto" w:sz="12" w:space="0"/>
              <w:bottom w:val="single" w:color="auto" w:sz="12" w:space="0"/>
              <w:right w:val="single" w:color="auto" w:sz="4" w:space="0"/>
            </w:tcBorders>
          </w:tcPr>
          <w:p w:rsidRPr="00F10071" w:rsidR="00506657" w:rsidP="00506657" w:rsidRDefault="00506657" w14:paraId="27FBADD3" w14:textId="77777777">
            <w:pPr>
              <w:adjustRightInd w:val="0"/>
              <w:spacing w:before="0" w:after="0"/>
              <w:jc w:val="center"/>
              <w:textAlignment w:val="baseline"/>
              <w:rPr>
                <w:rFonts w:eastAsia="Times New Roman" w:cs="Arial"/>
                <w:w w:val="0"/>
              </w:rPr>
            </w:pPr>
          </w:p>
        </w:tc>
        <w:tc>
          <w:tcPr>
            <w:tcW w:w="1206" w:type="dxa"/>
            <w:tcBorders>
              <w:top w:val="single" w:color="auto" w:sz="4" w:space="0"/>
              <w:left w:val="single" w:color="auto" w:sz="4" w:space="0"/>
              <w:bottom w:val="single" w:color="auto" w:sz="12" w:space="0"/>
              <w:right w:val="single" w:color="auto" w:sz="12" w:space="0"/>
            </w:tcBorders>
          </w:tcPr>
          <w:p w:rsidRPr="00F10071" w:rsidR="00506657" w:rsidP="00506657" w:rsidRDefault="00506657" w14:paraId="7D48346A" w14:textId="77777777">
            <w:pPr>
              <w:adjustRightInd w:val="0"/>
              <w:spacing w:before="0" w:after="0"/>
              <w:ind w:left="-6"/>
              <w:jc w:val="center"/>
              <w:textAlignment w:val="baseline"/>
              <w:rPr>
                <w:rFonts w:eastAsia="Times New Roman" w:cs="Arial"/>
                <w:w w:val="0"/>
              </w:rPr>
            </w:pPr>
            <w:r>
              <w:rPr>
                <w:rFonts w:eastAsia="Times New Roman" w:cs="Arial"/>
                <w:w w:val="0"/>
              </w:rPr>
              <w:t>Cold</w:t>
            </w:r>
          </w:p>
        </w:tc>
        <w:tc>
          <w:tcPr>
            <w:tcW w:w="2321" w:type="dxa"/>
            <w:tcBorders>
              <w:top w:val="single" w:color="auto" w:sz="4" w:space="0"/>
              <w:left w:val="single" w:color="auto" w:sz="12" w:space="0"/>
              <w:bottom w:val="single" w:color="auto" w:sz="12" w:space="0"/>
              <w:right w:val="single" w:color="auto" w:sz="12" w:space="0"/>
            </w:tcBorders>
          </w:tcPr>
          <w:p w:rsidRPr="00F10071" w:rsidR="00506657" w:rsidP="00506657" w:rsidRDefault="006D0335" w14:paraId="560FD29F" w14:textId="30B567C3">
            <w:pPr>
              <w:adjustRightInd w:val="0"/>
              <w:spacing w:before="0" w:after="0"/>
              <w:ind w:left="-6"/>
              <w:jc w:val="center"/>
              <w:textAlignment w:val="baseline"/>
              <w:rPr>
                <w:rFonts w:eastAsia="Times New Roman" w:cs="Arial"/>
                <w:w w:val="0"/>
              </w:rPr>
            </w:pPr>
            <w:r>
              <w:rPr>
                <w:rFonts w:eastAsia="Times New Roman" w:cs="Arial"/>
                <w:b/>
                <w:i/>
                <w:highlight w:val="yellow"/>
              </w:rPr>
              <w:t>#Value</w:t>
            </w:r>
            <w:r>
              <w:rPr>
                <w:rFonts w:eastAsia="Times New Roman" w:cs="Arial"/>
                <w:b/>
                <w:i/>
              </w:rPr>
              <w:t>*</w:t>
            </w:r>
          </w:p>
        </w:tc>
        <w:tc>
          <w:tcPr>
            <w:tcW w:w="2321" w:type="dxa"/>
            <w:tcBorders>
              <w:top w:val="single" w:color="auto" w:sz="4" w:space="0"/>
              <w:left w:val="single" w:color="auto" w:sz="12" w:space="0"/>
              <w:bottom w:val="single" w:color="auto" w:sz="12" w:space="0"/>
              <w:right w:val="single" w:color="auto" w:sz="12" w:space="0"/>
            </w:tcBorders>
          </w:tcPr>
          <w:p w:rsidRPr="00F10071" w:rsidR="00506657" w:rsidP="00506657" w:rsidRDefault="006D0335" w14:paraId="38101160" w14:textId="0EAA2317">
            <w:pPr>
              <w:adjustRightInd w:val="0"/>
              <w:spacing w:before="0" w:after="0"/>
              <w:ind w:left="-6"/>
              <w:jc w:val="center"/>
              <w:textAlignment w:val="baseline"/>
              <w:rPr>
                <w:rFonts w:eastAsia="Times New Roman" w:cs="Arial"/>
                <w:w w:val="0"/>
              </w:rPr>
            </w:pPr>
            <w:r>
              <w:rPr>
                <w:rFonts w:eastAsia="Times New Roman" w:cs="Arial"/>
                <w:b/>
                <w:i/>
                <w:highlight w:val="yellow"/>
              </w:rPr>
              <w:t>#Value</w:t>
            </w:r>
            <w:r>
              <w:rPr>
                <w:rFonts w:eastAsia="Times New Roman" w:cs="Arial"/>
                <w:b/>
                <w:i/>
              </w:rPr>
              <w:t>**</w:t>
            </w:r>
          </w:p>
        </w:tc>
        <w:tc>
          <w:tcPr>
            <w:tcW w:w="2321" w:type="dxa"/>
            <w:tcBorders>
              <w:top w:val="single" w:color="auto" w:sz="4" w:space="0"/>
              <w:left w:val="single" w:color="auto" w:sz="12" w:space="0"/>
              <w:bottom w:val="single" w:color="auto" w:sz="12" w:space="0"/>
              <w:right w:val="single" w:color="auto" w:sz="12" w:space="0"/>
            </w:tcBorders>
          </w:tcPr>
          <w:p w:rsidRPr="00F10071" w:rsidR="00506657" w:rsidP="00506657" w:rsidRDefault="006D0335" w14:paraId="5B777421" w14:textId="2F459C26">
            <w:pPr>
              <w:adjustRightInd w:val="0"/>
              <w:spacing w:before="0" w:after="0"/>
              <w:ind w:left="-6"/>
              <w:jc w:val="center"/>
              <w:textAlignment w:val="baseline"/>
              <w:rPr>
                <w:rFonts w:eastAsia="Times New Roman" w:cs="Arial"/>
                <w:b/>
                <w:i/>
              </w:rPr>
            </w:pPr>
            <w:r>
              <w:rPr>
                <w:rFonts w:eastAsia="Times New Roman" w:cs="Arial"/>
                <w:b/>
                <w:i/>
                <w:highlight w:val="yellow"/>
              </w:rPr>
              <w:t>#Value</w:t>
            </w:r>
            <w:r>
              <w:rPr>
                <w:rFonts w:eastAsia="Times New Roman" w:cs="Arial"/>
                <w:b/>
                <w:i/>
              </w:rPr>
              <w:t>**</w:t>
            </w:r>
          </w:p>
        </w:tc>
      </w:tr>
      <w:tr w:rsidRPr="00F10071" w:rsidR="00506657" w:rsidTr="00E55203" w14:paraId="34B86096" w14:textId="77777777">
        <w:trPr>
          <w:jc w:val="center"/>
        </w:trPr>
        <w:tc>
          <w:tcPr>
            <w:tcW w:w="2412" w:type="dxa"/>
            <w:gridSpan w:val="2"/>
            <w:tcBorders>
              <w:top w:val="single" w:color="auto" w:sz="12" w:space="0"/>
              <w:left w:val="single" w:color="auto" w:sz="12" w:space="0"/>
              <w:bottom w:val="single" w:color="auto" w:sz="12" w:space="0"/>
              <w:right w:val="single" w:color="auto" w:sz="12" w:space="0"/>
            </w:tcBorders>
          </w:tcPr>
          <w:p w:rsidRPr="00F10071" w:rsidR="00506657" w:rsidP="00506657" w:rsidRDefault="00506657" w14:paraId="2267275D" w14:textId="77777777">
            <w:pPr>
              <w:adjustRightInd w:val="0"/>
              <w:spacing w:before="0" w:after="0"/>
              <w:ind w:hanging="7"/>
              <w:jc w:val="center"/>
              <w:textAlignment w:val="baseline"/>
              <w:rPr>
                <w:rFonts w:eastAsia="Times New Roman" w:cs="Arial"/>
                <w:w w:val="0"/>
              </w:rPr>
            </w:pPr>
            <w:r>
              <w:rPr>
                <w:rFonts w:eastAsia="Times New Roman" w:cs="Arial"/>
                <w:w w:val="0"/>
              </w:rPr>
              <w:t>O&amp;M Startup Rate ($/event)</w:t>
            </w:r>
          </w:p>
        </w:tc>
        <w:tc>
          <w:tcPr>
            <w:tcW w:w="2321" w:type="dxa"/>
            <w:tcBorders>
              <w:top w:val="single" w:color="auto" w:sz="12" w:space="0"/>
              <w:left w:val="single" w:color="auto" w:sz="12" w:space="0"/>
              <w:bottom w:val="single" w:color="auto" w:sz="12" w:space="0"/>
              <w:right w:val="single" w:color="auto" w:sz="12" w:space="0"/>
            </w:tcBorders>
          </w:tcPr>
          <w:p w:rsidRPr="00F10071" w:rsidR="00506657" w:rsidP="00506657" w:rsidRDefault="006D0335" w14:paraId="6A5DD05B" w14:textId="3A5A67A7">
            <w:pPr>
              <w:adjustRightInd w:val="0"/>
              <w:spacing w:before="0" w:after="0"/>
              <w:jc w:val="center"/>
              <w:textAlignment w:val="baseline"/>
              <w:rPr>
                <w:rFonts w:eastAsia="Times New Roman" w:cs="Arial"/>
                <w:w w:val="0"/>
              </w:rPr>
            </w:pPr>
            <w:r>
              <w:rPr>
                <w:rFonts w:eastAsia="Times New Roman" w:cs="Arial"/>
                <w:b/>
                <w:i/>
                <w:highlight w:val="yellow"/>
              </w:rPr>
              <w:t>#Value</w:t>
            </w:r>
            <w:r>
              <w:rPr>
                <w:rFonts w:eastAsia="Times New Roman" w:cs="Arial"/>
                <w:b/>
                <w:i/>
              </w:rPr>
              <w:t>*</w:t>
            </w:r>
          </w:p>
        </w:tc>
        <w:tc>
          <w:tcPr>
            <w:tcW w:w="2321" w:type="dxa"/>
            <w:tcBorders>
              <w:top w:val="single" w:color="auto" w:sz="12" w:space="0"/>
              <w:left w:val="single" w:color="auto" w:sz="12" w:space="0"/>
              <w:bottom w:val="single" w:color="auto" w:sz="12" w:space="0"/>
              <w:right w:val="single" w:color="auto" w:sz="12" w:space="0"/>
            </w:tcBorders>
          </w:tcPr>
          <w:p w:rsidRPr="00F10071" w:rsidR="00506657" w:rsidP="00506657" w:rsidRDefault="006D0335" w14:paraId="2C0F2E64" w14:textId="3010EA18">
            <w:pPr>
              <w:adjustRightInd w:val="0"/>
              <w:spacing w:before="0" w:after="0"/>
              <w:jc w:val="center"/>
              <w:textAlignment w:val="baseline"/>
              <w:rPr>
                <w:rFonts w:eastAsia="Times New Roman" w:cs="Arial"/>
                <w:b/>
                <w:i/>
              </w:rPr>
            </w:pPr>
            <w:r>
              <w:rPr>
                <w:rFonts w:eastAsia="Times New Roman" w:cs="Arial"/>
                <w:b/>
                <w:i/>
                <w:highlight w:val="yellow"/>
              </w:rPr>
              <w:t>#Value</w:t>
            </w:r>
            <w:r>
              <w:rPr>
                <w:rFonts w:eastAsia="Times New Roman" w:cs="Arial"/>
                <w:b/>
                <w:i/>
              </w:rPr>
              <w:t>**</w:t>
            </w:r>
          </w:p>
        </w:tc>
        <w:tc>
          <w:tcPr>
            <w:tcW w:w="2321" w:type="dxa"/>
            <w:tcBorders>
              <w:top w:val="single" w:color="auto" w:sz="12" w:space="0"/>
              <w:left w:val="single" w:color="auto" w:sz="12" w:space="0"/>
              <w:bottom w:val="single" w:color="auto" w:sz="12" w:space="0"/>
              <w:right w:val="single" w:color="auto" w:sz="12" w:space="0"/>
            </w:tcBorders>
          </w:tcPr>
          <w:p w:rsidRPr="00F10071" w:rsidR="00506657" w:rsidP="00506657" w:rsidRDefault="006D0335" w14:paraId="5D738B6B" w14:textId="0101C6B1">
            <w:pPr>
              <w:adjustRightInd w:val="0"/>
              <w:spacing w:before="0" w:after="0"/>
              <w:jc w:val="center"/>
              <w:textAlignment w:val="baseline"/>
              <w:rPr>
                <w:rFonts w:eastAsia="Times New Roman" w:cs="Arial"/>
                <w:w w:val="0"/>
              </w:rPr>
            </w:pPr>
            <w:r>
              <w:rPr>
                <w:rFonts w:eastAsia="Times New Roman" w:cs="Arial"/>
                <w:b/>
                <w:i/>
                <w:highlight w:val="yellow"/>
              </w:rPr>
              <w:t>#Value</w:t>
            </w:r>
            <w:r>
              <w:rPr>
                <w:rFonts w:eastAsia="Times New Roman" w:cs="Arial"/>
                <w:b/>
                <w:i/>
              </w:rPr>
              <w:t>**</w:t>
            </w:r>
          </w:p>
        </w:tc>
      </w:tr>
    </w:tbl>
    <w:p w:rsidRPr="00F10071" w:rsidR="00506657" w:rsidP="00506657" w:rsidRDefault="00506657" w14:paraId="205E36BB" w14:textId="78ABA441">
      <w:pPr>
        <w:adjustRightInd w:val="0"/>
        <w:spacing w:before="0" w:after="0"/>
        <w:ind w:left="450" w:hanging="450"/>
        <w:textAlignment w:val="baseline"/>
        <w:rPr>
          <w:rFonts w:eastAsia="Times New Roman" w:cs="Arial"/>
        </w:rPr>
      </w:pPr>
      <w:r>
        <w:rPr>
          <w:rFonts w:eastAsia="Times New Roman" w:cs="Arial"/>
        </w:rPr>
        <w:t xml:space="preserve">* </w:t>
      </w:r>
      <w:r>
        <w:rPr>
          <w:rFonts w:eastAsia="Times New Roman" w:cs="Arial"/>
        </w:rPr>
        <w:tab/>
        <w:t>So long as the delivered amount meets or exceeds the minimum one on one Declared Capacity.</w:t>
      </w:r>
    </w:p>
    <w:p w:rsidRPr="000057B0" w:rsidR="00506657" w:rsidP="00506657" w:rsidRDefault="00506657" w14:paraId="59666E69" w14:textId="6BC94048">
      <w:pPr>
        <w:adjustRightInd w:val="0"/>
        <w:spacing w:before="0" w:after="0"/>
        <w:ind w:left="450" w:hanging="450"/>
        <w:textAlignment w:val="baseline"/>
        <w:rPr>
          <w:rFonts w:eastAsia="Times New Roman" w:cs="Arial"/>
        </w:rPr>
      </w:pPr>
      <w:r>
        <w:rPr>
          <w:rFonts w:eastAsia="Times New Roman" w:cs="Arial"/>
        </w:rPr>
        <w:t>**</w:t>
      </w:r>
      <w:r>
        <w:rPr>
          <w:rFonts w:eastAsia="Times New Roman" w:cs="Arial"/>
        </w:rPr>
        <w:tab/>
        <w:t>So long as the delivered amount meets or exceeds the maximum one on one Declared Capacity and the unit is operating in 2 on 1 mode.</w:t>
      </w:r>
    </w:p>
    <w:p w:rsidRPr="000057B0" w:rsidR="00506657" w:rsidP="00506657" w:rsidRDefault="00506657" w14:paraId="49A6A11D" w14:textId="77777777">
      <w:pPr>
        <w:adjustRightInd w:val="0"/>
        <w:spacing w:before="0" w:after="0"/>
        <w:ind w:left="450" w:hanging="450"/>
        <w:textAlignment w:val="baseline"/>
        <w:rPr>
          <w:rFonts w:eastAsia="Times New Roman" w:cs="Arial"/>
        </w:rPr>
      </w:pPr>
    </w:p>
    <w:p w:rsidRPr="000057B0" w:rsidR="006B0BB8" w:rsidP="00CC28B8" w:rsidRDefault="00506657" w14:paraId="7264772D" w14:textId="4490E05B">
      <w:pPr>
        <w:pStyle w:val="zG02"/>
        <w:rPr>
          <w:w w:val="0"/>
        </w:rPr>
      </w:pPr>
      <w:r>
        <w:rPr>
          <w:b/>
          <w:w w:val="0"/>
        </w:rPr>
        <w:t xml:space="preserve">Monthly Fuel </w:t>
      </w:r>
      <w:bookmarkStart w:name="_DV_C1334" w:id="413"/>
      <w:r>
        <w:rPr>
          <w:b/>
          <w:w w:val="0"/>
        </w:rPr>
        <w:t>Adjustment.</w:t>
      </w:r>
      <w:r>
        <w:rPr>
          <w:w w:val="0"/>
        </w:rPr>
        <w:t xml:space="preserve"> </w:t>
      </w:r>
      <w:bookmarkStart w:name="_DV_C1337" w:id="414"/>
      <w:bookmarkEnd w:id="413"/>
      <w:r>
        <w:t>If Seller delivers energy from the Facility in accordance with GPC’s Schedule, GPC will determine the Daily Guaranteed Fuel quantity by multiplying the GHR of the Scheduled amount in accordance with Exhibit F (</w:t>
      </w:r>
      <w:r>
        <w:rPr>
          <w:i/>
          <w:iCs/>
        </w:rPr>
        <w:t>Guaranteed Heat Rates</w:t>
      </w:r>
      <w:r>
        <w:t>) and PPA Part 12 (</w:t>
      </w:r>
      <w:r>
        <w:rPr>
          <w:i/>
          <w:iCs/>
        </w:rPr>
        <w:t>Energy Scheduling and Transmission</w:t>
      </w:r>
      <w:r>
        <w:t xml:space="preserve">) by the amount of energy that was delivered to GPC. The Operating Representatives will develop procedures for determining energy produced and delivered in accordance with GPC’s Schedule during ramping of the Facility, including (i) from synchronization to Minimum Capacity (Startup Energy) and (ii) from Minimum Capacity to Base Operating Mode. The ramping energy will be </w:t>
      </w:r>
      <w:r>
        <w:rPr>
          <w:rFonts w:eastAsia="Times New Roman"/>
          <w:bCs/>
          <w:i/>
          <w:iCs/>
        </w:rPr>
        <w:t>multiplied by</w:t>
      </w:r>
      <w:r>
        <w:t xml:space="preserve"> the appropriate GHR in accordance with Exhibit F to determine the Daily Guaranteed Fuel quantity during ramping. The GHR for ramping from synchronization to Minimum Capacity will be the GHR for Minimum Capacity.</w:t>
      </w:r>
      <w:r>
        <w:rPr>
          <w:rFonts w:eastAsia="MS Mincho"/>
          <w:w w:val="0"/>
          <w:u w:val="double"/>
        </w:rPr>
        <w:t xml:space="preserve">    </w:t>
      </w:r>
      <w:bookmarkStart w:name="_DV_X1416" w:id="415"/>
      <w:bookmarkStart w:name="_DV_C1338" w:id="416"/>
      <w:bookmarkEnd w:id="414"/>
    </w:p>
    <w:p w:rsidRPr="000057B0" w:rsidR="00506657" w:rsidP="00CC28B8" w:rsidRDefault="00506657" w14:paraId="3D4C10A9" w14:textId="6B4E9823">
      <w:pPr>
        <w:pStyle w:val="zG02"/>
        <w:numPr>
          <w:ilvl w:val="0"/>
          <w:numId w:val="0"/>
        </w:numPr>
        <w:rPr>
          <w:b/>
          <w:w w:val="0"/>
        </w:rPr>
      </w:pPr>
      <w:r>
        <w:rPr>
          <w:w w:val="0"/>
        </w:rPr>
        <w:t xml:space="preserve">If the actual heat rate is different than the applicable GHR, then a Monthly </w:t>
      </w:r>
      <w:bookmarkStart w:name="_DV_C1339" w:id="417"/>
      <w:bookmarkEnd w:id="415"/>
      <w:bookmarkEnd w:id="416"/>
      <w:r>
        <w:rPr>
          <w:w w:val="0"/>
        </w:rPr>
        <w:t xml:space="preserve">Fuel Adjustment </w:t>
      </w:r>
      <w:r>
        <w:t>will</w:t>
      </w:r>
      <w:r>
        <w:rPr>
          <w:w w:val="0"/>
        </w:rPr>
        <w:t xml:space="preserve"> be made to GPC’s </w:t>
      </w:r>
      <w:r>
        <w:rPr>
          <w:w w:val="0"/>
        </w:rPr>
        <w:lastRenderedPageBreak/>
        <w:t>next invoice.</w:t>
      </w:r>
      <w:bookmarkEnd w:id="417"/>
    </w:p>
    <w:p w:rsidRPr="000057B0" w:rsidR="00506657" w:rsidP="00506657" w:rsidRDefault="00506657" w14:paraId="2A27F332" w14:textId="77777777">
      <w:pPr>
        <w:tabs>
          <w:tab w:val="left" w:pos="1440"/>
          <w:tab w:val="left" w:pos="2160"/>
          <w:tab w:val="left" w:pos="2880"/>
        </w:tabs>
        <w:adjustRightInd w:val="0"/>
        <w:spacing w:before="0" w:after="0"/>
        <w:textAlignment w:val="baseline"/>
        <w:rPr>
          <w:rFonts w:eastAsia="MS Mincho" w:cs="Arial"/>
          <w:bCs/>
          <w:i/>
          <w:iCs/>
          <w:w w:val="0"/>
        </w:rPr>
      </w:pPr>
    </w:p>
    <w:p w:rsidRPr="000057B0" w:rsidR="00506657" w:rsidP="00CC28B8" w:rsidRDefault="00506657" w14:paraId="354E129A" w14:textId="7EE9382C">
      <w:pPr>
        <w:pStyle w:val="zG03"/>
        <w:rPr>
          <w:w w:val="0"/>
        </w:rPr>
      </w:pPr>
      <w:bookmarkStart w:name="_DV_C1340" w:id="418"/>
      <w:r>
        <w:rPr>
          <w:b/>
          <w:bCs/>
          <w:w w:val="0"/>
        </w:rPr>
        <w:t>Monthly Fuel Adjustment (MFA</w:t>
      </w:r>
      <w:r>
        <w:rPr>
          <w:b/>
          <w:bCs/>
          <w:w w:val="0"/>
          <w:vertAlign w:val="subscript"/>
        </w:rPr>
        <w:t>GAS_FAC</w:t>
      </w:r>
      <w:r>
        <w:rPr>
          <w:b/>
          <w:bCs/>
          <w:w w:val="0"/>
        </w:rPr>
        <w:t>) for Operation on Natural Gas</w:t>
      </w:r>
      <w:bookmarkStart w:name="_DV_C1341" w:id="419"/>
      <w:bookmarkEnd w:id="418"/>
      <w:r>
        <w:rPr>
          <w:b/>
          <w:bCs/>
          <w:w w:val="0"/>
        </w:rPr>
        <w:t xml:space="preserve">. </w:t>
      </w:r>
      <w:r>
        <w:rPr>
          <w:w w:val="0"/>
        </w:rPr>
        <w:t>The Monthly Fuel Adjustment (MFA</w:t>
      </w:r>
      <w:r>
        <w:rPr>
          <w:w w:val="0"/>
          <w:vertAlign w:val="subscript"/>
        </w:rPr>
        <w:t>GAS</w:t>
      </w:r>
      <w:r>
        <w:rPr>
          <w:w w:val="0"/>
        </w:rPr>
        <w:t xml:space="preserve">) for operation on Natural Gas </w:t>
      </w:r>
      <w:r>
        <w:t>will</w:t>
      </w:r>
      <w:r>
        <w:rPr>
          <w:w w:val="0"/>
        </w:rPr>
        <w:t xml:space="preserve"> be determined as follows:</w:t>
      </w:r>
      <w:bookmarkEnd w:id="419"/>
    </w:p>
    <w:p w:rsidRPr="000057B0" w:rsidR="00506657" w:rsidP="00506657" w:rsidRDefault="00506657" w14:paraId="0F2C753D" w14:textId="77777777">
      <w:pPr>
        <w:tabs>
          <w:tab w:val="left" w:pos="1440"/>
          <w:tab w:val="left" w:pos="2160"/>
          <w:tab w:val="left" w:pos="2880"/>
        </w:tabs>
        <w:adjustRightInd w:val="0"/>
        <w:spacing w:before="0" w:after="0"/>
        <w:textAlignment w:val="baseline"/>
        <w:rPr>
          <w:rFonts w:eastAsia="MS Mincho" w:cs="Arial"/>
          <w:w w:val="0"/>
        </w:rPr>
      </w:pPr>
    </w:p>
    <w:p w:rsidRPr="000057B0" w:rsidR="00506657" w:rsidP="00506657" w:rsidRDefault="00506657" w14:paraId="379A7017" w14:textId="119C3C34">
      <w:pPr>
        <w:tabs>
          <w:tab w:val="left" w:pos="720"/>
          <w:tab w:val="left" w:pos="1440"/>
          <w:tab w:val="left" w:pos="2160"/>
          <w:tab w:val="left" w:pos="2880"/>
        </w:tabs>
        <w:adjustRightInd w:val="0"/>
        <w:spacing w:before="0" w:after="0"/>
        <w:ind w:left="2880" w:hanging="2937"/>
        <w:textAlignment w:val="baseline"/>
        <w:rPr>
          <w:rFonts w:eastAsia="MS Mincho" w:cs="Arial"/>
          <w:w w:val="0"/>
        </w:rPr>
      </w:pPr>
      <w:bookmarkStart w:name="_DV_C1342" w:id="420"/>
      <w:r>
        <w:rPr>
          <w:b/>
          <w:w w:val="0"/>
        </w:rPr>
        <w:t>MFA</w:t>
      </w:r>
      <w:r>
        <w:rPr>
          <w:b/>
          <w:w w:val="0"/>
          <w:vertAlign w:val="subscript"/>
        </w:rPr>
        <w:t>GAS_FAC</w:t>
      </w:r>
      <w:r>
        <w:rPr>
          <w:rFonts w:eastAsia="MS Mincho" w:cs="Arial"/>
          <w:w w:val="0"/>
        </w:rPr>
        <w:t xml:space="preserve"> = </w:t>
      </w:r>
      <w:r>
        <w:rPr>
          <w:rFonts w:eastAsia="MS Mincho" w:cs="Arial"/>
          <w:w w:val="0"/>
        </w:rPr>
        <w:tab/>
      </w:r>
      <w:bookmarkStart w:name="_DV_C1343" w:id="421"/>
      <w:bookmarkEnd w:id="420"/>
      <w:r>
        <w:rPr>
          <w:rFonts w:eastAsia="MS Mincho" w:cs="Arial"/>
          <w:w w:val="0"/>
        </w:rPr>
        <w:t>å</w:t>
      </w:r>
      <w:bookmarkStart w:name="_DV_C1344" w:id="422"/>
      <w:bookmarkEnd w:id="421"/>
      <w:r>
        <w:rPr>
          <w:rFonts w:eastAsia="MS Mincho" w:cs="Arial"/>
          <w:w w:val="0"/>
        </w:rPr>
        <w:t>{[(DGF</w:t>
      </w:r>
      <w:r>
        <w:rPr>
          <w:rFonts w:eastAsia="MS Mincho" w:cs="Arial"/>
          <w:w w:val="0"/>
          <w:vertAlign w:val="subscript"/>
        </w:rPr>
        <w:t>GAS</w:t>
      </w:r>
      <w:r>
        <w:rPr>
          <w:rFonts w:eastAsia="MS Mincho" w:cs="Arial"/>
          <w:w w:val="0"/>
        </w:rPr>
        <w:t xml:space="preserve"> – DAF</w:t>
      </w:r>
      <w:r>
        <w:rPr>
          <w:rFonts w:eastAsia="MS Mincho" w:cs="Arial"/>
          <w:w w:val="0"/>
          <w:vertAlign w:val="subscript"/>
        </w:rPr>
        <w:t>GAS</w:t>
      </w:r>
      <w:r>
        <w:rPr>
          <w:rFonts w:eastAsia="MS Mincho" w:cs="Arial"/>
          <w:w w:val="0"/>
        </w:rPr>
        <w:t xml:space="preserve">) </w:t>
      </w:r>
      <w:r>
        <w:rPr>
          <w:rFonts w:eastAsia="MS Mincho" w:cs="Arial"/>
          <w:i/>
          <w:iCs/>
          <w:w w:val="0"/>
          <w:vertAlign w:val="subscript"/>
        </w:rPr>
        <w:t>*</w:t>
      </w:r>
      <w:r>
        <w:rPr>
          <w:rFonts w:eastAsia="MS Mincho" w:cs="Arial"/>
          <w:w w:val="0"/>
        </w:rPr>
        <w:t xml:space="preserve"> DFC</w:t>
      </w:r>
      <w:r>
        <w:rPr>
          <w:rFonts w:eastAsia="MS Mincho" w:cs="Arial"/>
          <w:w w:val="0"/>
          <w:vertAlign w:val="subscript"/>
        </w:rPr>
        <w:t>GAS</w:t>
      </w:r>
      <w:r>
        <w:rPr>
          <w:rFonts w:eastAsia="MS Mincho" w:cs="Arial"/>
          <w:w w:val="0"/>
        </w:rPr>
        <w:t>]</w:t>
      </w:r>
      <w:r>
        <w:rPr>
          <w:rFonts w:eastAsia="MS Mincho" w:cs="Arial"/>
          <w:w w:val="0"/>
          <w:vertAlign w:val="subscript"/>
        </w:rPr>
        <w:t>DAY 1</w:t>
      </w:r>
      <w:r>
        <w:rPr>
          <w:rFonts w:eastAsia="MS Mincho" w:cs="Arial"/>
          <w:w w:val="0"/>
        </w:rPr>
        <w:t xml:space="preserve"> … [(DGF</w:t>
      </w:r>
      <w:r>
        <w:rPr>
          <w:rFonts w:eastAsia="MS Mincho" w:cs="Arial"/>
          <w:w w:val="0"/>
          <w:vertAlign w:val="subscript"/>
        </w:rPr>
        <w:t xml:space="preserve"> GAS</w:t>
      </w:r>
      <w:r>
        <w:rPr>
          <w:rFonts w:eastAsia="MS Mincho" w:cs="Arial"/>
          <w:w w:val="0"/>
        </w:rPr>
        <w:t xml:space="preserve"> – DAF</w:t>
      </w:r>
      <w:r>
        <w:rPr>
          <w:rFonts w:eastAsia="MS Mincho" w:cs="Arial"/>
          <w:w w:val="0"/>
          <w:vertAlign w:val="subscript"/>
        </w:rPr>
        <w:t>GAS</w:t>
      </w:r>
      <w:r>
        <w:rPr>
          <w:rFonts w:eastAsia="MS Mincho" w:cs="Arial"/>
          <w:w w:val="0"/>
        </w:rPr>
        <w:t xml:space="preserve">) </w:t>
      </w:r>
      <w:r>
        <w:rPr>
          <w:rFonts w:eastAsia="MS Mincho" w:cs="Arial"/>
          <w:i/>
          <w:iCs/>
          <w:w w:val="0"/>
          <w:vertAlign w:val="subscript"/>
        </w:rPr>
        <w:t>*</w:t>
      </w:r>
      <w:r>
        <w:rPr>
          <w:rFonts w:eastAsia="MS Mincho" w:cs="Arial"/>
          <w:w w:val="0"/>
        </w:rPr>
        <w:t xml:space="preserve"> DFC</w:t>
      </w:r>
      <w:r>
        <w:rPr>
          <w:rFonts w:eastAsia="MS Mincho" w:cs="Arial"/>
          <w:w w:val="0"/>
          <w:vertAlign w:val="subscript"/>
        </w:rPr>
        <w:t>GAS</w:t>
      </w:r>
      <w:r>
        <w:rPr>
          <w:rFonts w:eastAsia="MS Mincho" w:cs="Arial"/>
          <w:w w:val="0"/>
        </w:rPr>
        <w:t>]</w:t>
      </w:r>
      <w:r>
        <w:rPr>
          <w:rFonts w:eastAsia="MS Mincho" w:cs="Arial"/>
          <w:w w:val="0"/>
          <w:vertAlign w:val="subscript"/>
        </w:rPr>
        <w:t>DAY N</w:t>
      </w:r>
      <w:r>
        <w:rPr>
          <w:rFonts w:eastAsia="MS Mincho" w:cs="Arial"/>
          <w:w w:val="0"/>
        </w:rPr>
        <w:t>}</w:t>
      </w:r>
      <w:bookmarkEnd w:id="422"/>
    </w:p>
    <w:p w:rsidRPr="000057B0" w:rsidR="00506657" w:rsidP="00506657" w:rsidRDefault="00506657" w14:paraId="3ACAEE69" w14:textId="77777777">
      <w:pPr>
        <w:tabs>
          <w:tab w:val="left" w:pos="720"/>
          <w:tab w:val="left" w:pos="1440"/>
          <w:tab w:val="left" w:pos="2160"/>
          <w:tab w:val="left" w:pos="2880"/>
        </w:tabs>
        <w:adjustRightInd w:val="0"/>
        <w:spacing w:before="0" w:after="0" w:line="360" w:lineRule="atLeast"/>
        <w:ind w:left="720"/>
        <w:textAlignment w:val="baseline"/>
        <w:rPr>
          <w:rFonts w:eastAsia="MS Mincho" w:cs="Arial"/>
          <w:w w:val="0"/>
        </w:rPr>
      </w:pPr>
    </w:p>
    <w:p w:rsidRPr="000057B0" w:rsidR="00506657" w:rsidP="00506657" w:rsidRDefault="00506657" w14:paraId="1628F3A2" w14:textId="6E7AADCF">
      <w:pPr>
        <w:adjustRightInd w:val="0"/>
        <w:spacing w:before="0" w:after="0"/>
        <w:ind w:left="1886"/>
        <w:textAlignment w:val="baseline"/>
        <w:rPr>
          <w:rFonts w:eastAsia="MS Mincho" w:cs="Arial"/>
          <w:w w:val="0"/>
        </w:rPr>
      </w:pPr>
      <w:bookmarkStart w:name="_DV_C1345" w:id="423"/>
      <w:r>
        <w:rPr>
          <w:rFonts w:eastAsia="MS Mincho" w:cs="Arial"/>
          <w:w w:val="0"/>
        </w:rPr>
        <w:t>The Monthly Fuel Adjustment (MFA</w:t>
      </w:r>
      <w:r>
        <w:rPr>
          <w:rFonts w:eastAsia="MS Mincho" w:cs="Arial"/>
          <w:w w:val="0"/>
          <w:vertAlign w:val="subscript"/>
        </w:rPr>
        <w:t>GAS</w:t>
      </w:r>
      <w:r>
        <w:rPr>
          <w:rFonts w:eastAsia="MS Mincho" w:cs="Arial"/>
          <w:w w:val="0"/>
        </w:rPr>
        <w:t xml:space="preserve">) </w:t>
      </w:r>
      <w:r>
        <w:rPr>
          <w:rFonts w:cs="Arial"/>
        </w:rPr>
        <w:t>will</w:t>
      </w:r>
      <w:r>
        <w:rPr>
          <w:rFonts w:eastAsia="MS Mincho" w:cs="Arial"/>
          <w:w w:val="0"/>
        </w:rPr>
        <w:t xml:space="preserve"> be the sum of the daily fuel adjustments for each Gas Day or partial Gas Day in the Month. The daily fuel adjustment is the product of the difference of Daily Guaranteed Fuel and Daily Actual Fuel in MMBtu and the corresponding Daily Fuel Cost in $/MMBtu.</w:t>
      </w:r>
      <w:bookmarkEnd w:id="423"/>
    </w:p>
    <w:p w:rsidRPr="000057B0" w:rsidR="00506657" w:rsidP="00506657" w:rsidRDefault="00506657" w14:paraId="3C175E40" w14:textId="77777777">
      <w:pPr>
        <w:tabs>
          <w:tab w:val="left" w:pos="720"/>
          <w:tab w:val="left" w:pos="1440"/>
          <w:tab w:val="left" w:pos="2160"/>
          <w:tab w:val="left" w:pos="2880"/>
        </w:tabs>
        <w:adjustRightInd w:val="0"/>
        <w:spacing w:before="0" w:after="0" w:line="360" w:lineRule="atLeast"/>
        <w:ind w:left="720" w:firstLine="720"/>
        <w:textAlignment w:val="baseline"/>
        <w:rPr>
          <w:rFonts w:eastAsia="MS Mincho" w:cs="Arial"/>
          <w:w w:val="0"/>
        </w:rPr>
      </w:pPr>
    </w:p>
    <w:p w:rsidRPr="000057B0" w:rsidR="00506657" w:rsidP="00506657" w:rsidRDefault="00506657" w14:paraId="67879344" w14:textId="77777777">
      <w:pPr>
        <w:tabs>
          <w:tab w:val="left" w:pos="720"/>
          <w:tab w:val="left" w:pos="1440"/>
          <w:tab w:val="left" w:pos="2160"/>
          <w:tab w:val="left" w:pos="2880"/>
        </w:tabs>
        <w:adjustRightInd w:val="0"/>
        <w:spacing w:before="0" w:after="0" w:line="360" w:lineRule="atLeast"/>
        <w:ind w:left="1440" w:firstLine="720"/>
        <w:textAlignment w:val="baseline"/>
        <w:rPr>
          <w:rFonts w:eastAsia="MS Mincho" w:cs="Arial"/>
          <w:w w:val="0"/>
        </w:rPr>
      </w:pPr>
      <w:bookmarkStart w:name="_DV_C1346" w:id="424"/>
      <w:r>
        <w:rPr>
          <w:rFonts w:eastAsia="MS Mincho" w:cs="Arial"/>
          <w:b/>
          <w:w w:val="0"/>
        </w:rPr>
        <w:tab/>
      </w:r>
      <w:r>
        <w:rPr>
          <w:rFonts w:eastAsia="MS Mincho" w:cs="Arial"/>
          <w:w w:val="0"/>
        </w:rPr>
        <w:t>Where:</w:t>
      </w:r>
      <w:bookmarkEnd w:id="424"/>
    </w:p>
    <w:p w:rsidRPr="000057B0" w:rsidR="00506657" w:rsidP="00506657" w:rsidRDefault="00506657" w14:paraId="5729859F" w14:textId="77777777">
      <w:pPr>
        <w:tabs>
          <w:tab w:val="left" w:pos="720"/>
          <w:tab w:val="left" w:pos="1440"/>
          <w:tab w:val="left" w:pos="2160"/>
          <w:tab w:val="left" w:pos="2880"/>
        </w:tabs>
        <w:adjustRightInd w:val="0"/>
        <w:spacing w:before="0" w:after="0" w:line="360" w:lineRule="atLeast"/>
        <w:ind w:left="1440"/>
        <w:textAlignment w:val="baseline"/>
        <w:rPr>
          <w:rFonts w:eastAsia="MS Mincho" w:cs="Arial"/>
          <w:w w:val="0"/>
        </w:rPr>
      </w:pPr>
    </w:p>
    <w:p w:rsidRPr="000057B0" w:rsidR="00506657" w:rsidP="00506657" w:rsidRDefault="00506657" w14:paraId="6EF81082" w14:textId="77777777">
      <w:pPr>
        <w:tabs>
          <w:tab w:val="left" w:pos="720"/>
          <w:tab w:val="left" w:pos="1440"/>
          <w:tab w:val="left" w:pos="2160"/>
          <w:tab w:val="left" w:pos="2880"/>
        </w:tabs>
        <w:adjustRightInd w:val="0"/>
        <w:spacing w:before="0" w:after="0"/>
        <w:ind w:left="4320" w:hanging="2160"/>
        <w:textAlignment w:val="baseline"/>
        <w:rPr>
          <w:rFonts w:eastAsia="MS Mincho" w:cs="Arial"/>
          <w:w w:val="0"/>
        </w:rPr>
      </w:pPr>
      <w:bookmarkStart w:name="_DV_C1347" w:id="425"/>
      <w:r>
        <w:rPr>
          <w:rFonts w:eastAsia="MS Mincho" w:cs="Arial"/>
          <w:w w:val="0"/>
        </w:rPr>
        <w:tab/>
      </w:r>
      <w:r>
        <w:rPr>
          <w:b/>
          <w:w w:val="0"/>
        </w:rPr>
        <w:t>DGF</w:t>
      </w:r>
      <w:r>
        <w:rPr>
          <w:b/>
          <w:w w:val="0"/>
          <w:vertAlign w:val="subscript"/>
        </w:rPr>
        <w:t>GAS</w:t>
      </w:r>
      <w:r>
        <w:rPr>
          <w:b/>
          <w:w w:val="0"/>
        </w:rPr>
        <w:t xml:space="preserve"> </w:t>
      </w:r>
      <w:r>
        <w:rPr>
          <w:rFonts w:eastAsia="MS Mincho" w:cs="Arial"/>
          <w:w w:val="0"/>
        </w:rPr>
        <w:t>=</w:t>
      </w:r>
      <w:r>
        <w:rPr>
          <w:rFonts w:eastAsia="MS Mincho" w:cs="Arial"/>
          <w:w w:val="0"/>
        </w:rPr>
        <w:tab/>
        <w:t>The Daily Guaranteed Fuel quantity in MMBtu for operation on Natural Gas.</w:t>
      </w:r>
      <w:bookmarkEnd w:id="425"/>
    </w:p>
    <w:p w:rsidRPr="000057B0" w:rsidR="00506657" w:rsidP="00506657" w:rsidRDefault="00506657" w14:paraId="3D9E2CB5" w14:textId="5D9C85D8">
      <w:pPr>
        <w:tabs>
          <w:tab w:val="left" w:pos="720"/>
          <w:tab w:val="left" w:pos="1440"/>
          <w:tab w:val="left" w:pos="2160"/>
          <w:tab w:val="left" w:pos="2880"/>
        </w:tabs>
        <w:adjustRightInd w:val="0"/>
        <w:spacing w:before="0" w:after="0"/>
        <w:ind w:left="4320" w:hanging="2160"/>
        <w:textAlignment w:val="baseline"/>
        <w:rPr>
          <w:rFonts w:eastAsia="MS Mincho" w:cs="Arial"/>
          <w:w w:val="0"/>
        </w:rPr>
      </w:pPr>
      <w:bookmarkStart w:name="_DV_C1348" w:id="426"/>
      <w:r>
        <w:rPr>
          <w:rFonts w:eastAsia="MS Mincho" w:cs="Arial"/>
          <w:w w:val="0"/>
        </w:rPr>
        <w:tab/>
      </w:r>
      <w:r>
        <w:rPr>
          <w:b/>
          <w:w w:val="0"/>
        </w:rPr>
        <w:t>DAF</w:t>
      </w:r>
      <w:r>
        <w:rPr>
          <w:b/>
          <w:w w:val="0"/>
          <w:vertAlign w:val="subscript"/>
        </w:rPr>
        <w:t>GAS</w:t>
      </w:r>
      <w:r>
        <w:rPr>
          <w:rFonts w:eastAsia="MS Mincho" w:cs="Arial"/>
          <w:w w:val="0"/>
        </w:rPr>
        <w:t xml:space="preserve"> =</w:t>
      </w:r>
      <w:r>
        <w:rPr>
          <w:rFonts w:eastAsia="MS Mincho" w:cs="Arial"/>
          <w:w w:val="0"/>
        </w:rPr>
        <w:tab/>
        <w:t xml:space="preserve">The Daily Actual Fuel quantity allocated to GPC’s consumption (to generate energy </w:t>
      </w:r>
      <w:r>
        <w:rPr>
          <w:rFonts w:eastAsia="Times New Roman" w:cs="Arial"/>
        </w:rPr>
        <w:t>in accordance with</w:t>
      </w:r>
      <w:r>
        <w:rPr>
          <w:rFonts w:eastAsia="MS Mincho" w:cs="Arial"/>
          <w:w w:val="0"/>
        </w:rPr>
        <w:t xml:space="preserve"> GPC’s Schedules) in MMBtu for operation on Natural Gas as measured at the Gas Delivery Point.</w:t>
      </w:r>
      <w:bookmarkEnd w:id="426"/>
    </w:p>
    <w:p w:rsidRPr="000057B0" w:rsidR="00506657" w:rsidP="00506657" w:rsidRDefault="00506657" w14:paraId="782601BA" w14:textId="77777777">
      <w:pPr>
        <w:tabs>
          <w:tab w:val="left" w:pos="720"/>
          <w:tab w:val="left" w:pos="1440"/>
          <w:tab w:val="left" w:pos="2160"/>
          <w:tab w:val="left" w:pos="2880"/>
        </w:tabs>
        <w:adjustRightInd w:val="0"/>
        <w:spacing w:before="0" w:after="0"/>
        <w:ind w:left="4320" w:hanging="2160"/>
        <w:textAlignment w:val="baseline"/>
        <w:rPr>
          <w:rFonts w:eastAsia="MS Mincho" w:cs="Arial"/>
          <w:w w:val="0"/>
        </w:rPr>
      </w:pPr>
      <w:bookmarkStart w:name="_DV_C1349" w:id="427"/>
      <w:r>
        <w:rPr>
          <w:rFonts w:eastAsia="MS Mincho" w:cs="Arial"/>
          <w:w w:val="0"/>
        </w:rPr>
        <w:tab/>
      </w:r>
      <w:r>
        <w:rPr>
          <w:b/>
          <w:w w:val="0"/>
        </w:rPr>
        <w:t>DFC</w:t>
      </w:r>
      <w:r>
        <w:rPr>
          <w:b/>
          <w:w w:val="0"/>
          <w:vertAlign w:val="subscript"/>
        </w:rPr>
        <w:t>GAS</w:t>
      </w:r>
      <w:r>
        <w:rPr>
          <w:rFonts w:eastAsia="MS Mincho" w:cs="Arial"/>
          <w:w w:val="0"/>
        </w:rPr>
        <w:t xml:space="preserve"> =</w:t>
      </w:r>
      <w:r>
        <w:rPr>
          <w:rFonts w:eastAsia="MS Mincho" w:cs="Arial"/>
          <w:w w:val="0"/>
        </w:rPr>
        <w:tab/>
        <w:t>The Daily Fuel Cost in $/MMBtu for operation on Natural Gas.</w:t>
      </w:r>
      <w:bookmarkEnd w:id="427"/>
    </w:p>
    <w:p w:rsidRPr="000057B0" w:rsidR="00506657" w:rsidP="00506657" w:rsidRDefault="00506657" w14:paraId="651D44F0" w14:textId="77777777">
      <w:pPr>
        <w:tabs>
          <w:tab w:val="left" w:pos="720"/>
          <w:tab w:val="left" w:pos="1440"/>
          <w:tab w:val="left" w:pos="2160"/>
          <w:tab w:val="left" w:pos="2880"/>
        </w:tabs>
        <w:adjustRightInd w:val="0"/>
        <w:spacing w:before="0" w:after="0" w:line="360" w:lineRule="atLeast"/>
        <w:ind w:left="3600" w:hanging="2880"/>
        <w:textAlignment w:val="baseline"/>
        <w:rPr>
          <w:rFonts w:eastAsia="MS Mincho" w:cs="Arial"/>
          <w:w w:val="0"/>
        </w:rPr>
      </w:pPr>
    </w:p>
    <w:p w:rsidRPr="000057B0" w:rsidR="00506657" w:rsidP="00506657" w:rsidRDefault="00506657" w14:paraId="2EEA9B82" w14:textId="238F5A1F">
      <w:pPr>
        <w:tabs>
          <w:tab w:val="left" w:pos="720"/>
          <w:tab w:val="left" w:pos="1440"/>
          <w:tab w:val="left" w:pos="2160"/>
          <w:tab w:val="left" w:pos="2880"/>
        </w:tabs>
        <w:adjustRightInd w:val="0"/>
        <w:spacing w:before="0" w:after="0"/>
        <w:ind w:left="1886"/>
        <w:textAlignment w:val="baseline"/>
        <w:rPr>
          <w:rFonts w:eastAsia="MS Mincho" w:cs="Arial"/>
          <w:w w:val="0"/>
        </w:rPr>
      </w:pPr>
      <w:bookmarkStart w:name="_DV_C1350" w:id="428"/>
      <w:r>
        <w:rPr>
          <w:rFonts w:eastAsia="MS Mincho" w:cs="Arial"/>
          <w:w w:val="0"/>
        </w:rPr>
        <w:t>The “</w:t>
      </w:r>
      <w:r>
        <w:rPr>
          <w:rFonts w:eastAsia="MS Mincho" w:cs="Arial"/>
          <w:b/>
          <w:bCs/>
          <w:w w:val="0"/>
        </w:rPr>
        <w:t>Daily Guaranteed Fuel</w:t>
      </w:r>
      <w:r>
        <w:rPr>
          <w:rFonts w:eastAsia="MS Mincho" w:cs="Arial"/>
          <w:w w:val="0"/>
        </w:rPr>
        <w:t xml:space="preserve">" quantity for operation on Natural Gas </w:t>
      </w:r>
      <w:r>
        <w:rPr>
          <w:rFonts w:cs="Arial"/>
        </w:rPr>
        <w:t>will</w:t>
      </w:r>
      <w:r>
        <w:rPr>
          <w:rFonts w:eastAsia="MS Mincho" w:cs="Arial"/>
          <w:w w:val="0"/>
        </w:rPr>
        <w:t xml:space="preserve"> be the sum of the Hourly MMBtus that would have been burned using the appropriate GHR multiplied by the corresponding Hourly delivered energy, including energy produced during ramping, by Seller </w:t>
      </w:r>
      <w:r>
        <w:rPr>
          <w:rFonts w:eastAsia="Times New Roman" w:cs="Arial"/>
        </w:rPr>
        <w:t>in accordance with</w:t>
      </w:r>
      <w:r>
        <w:rPr>
          <w:rFonts w:eastAsia="MS Mincho" w:cs="Arial"/>
          <w:w w:val="0"/>
        </w:rPr>
        <w:t xml:space="preserve"> GPC’s Schedule.</w:t>
      </w:r>
      <w:bookmarkEnd w:id="428"/>
    </w:p>
    <w:p w:rsidRPr="000057B0" w:rsidR="00506657" w:rsidP="00506657" w:rsidRDefault="00506657" w14:paraId="795C886A" w14:textId="77777777">
      <w:pPr>
        <w:tabs>
          <w:tab w:val="left" w:pos="720"/>
          <w:tab w:val="left" w:pos="1440"/>
          <w:tab w:val="left" w:pos="2160"/>
          <w:tab w:val="left" w:pos="2880"/>
        </w:tabs>
        <w:adjustRightInd w:val="0"/>
        <w:spacing w:before="0" w:after="0" w:line="360" w:lineRule="atLeast"/>
        <w:ind w:left="1440"/>
        <w:textAlignment w:val="baseline"/>
        <w:rPr>
          <w:rFonts w:eastAsia="MS Mincho" w:cs="Arial"/>
          <w:w w:val="0"/>
        </w:rPr>
      </w:pPr>
    </w:p>
    <w:p w:rsidRPr="000A1044" w:rsidR="00506657" w:rsidP="00506657" w:rsidRDefault="00506657" w14:paraId="6DEA4191" w14:textId="77777777">
      <w:pPr>
        <w:keepNext/>
        <w:tabs>
          <w:tab w:val="left" w:pos="720"/>
          <w:tab w:val="left" w:pos="1440"/>
          <w:tab w:val="left" w:pos="2160"/>
          <w:tab w:val="left" w:pos="2880"/>
        </w:tabs>
        <w:adjustRightInd w:val="0"/>
        <w:spacing w:before="0" w:after="0"/>
        <w:ind w:left="1890" w:right="-1440"/>
        <w:textAlignment w:val="baseline"/>
        <w:rPr>
          <w:rFonts w:eastAsia="MS Mincho" w:cs="Arial"/>
          <w:w w:val="0"/>
        </w:rPr>
      </w:pPr>
      <w:bookmarkStart w:name="_DV_C1351" w:id="429"/>
      <w:r>
        <w:rPr>
          <w:rFonts w:eastAsia="MS Mincho" w:cs="Arial"/>
          <w:b/>
          <w:w w:val="0"/>
        </w:rPr>
        <w:tab/>
      </w:r>
      <w:r>
        <w:rPr>
          <w:rFonts w:eastAsia="MS Mincho" w:cs="Arial"/>
          <w:b/>
          <w:w w:val="0"/>
        </w:rPr>
        <w:tab/>
      </w:r>
      <w:r>
        <w:rPr>
          <w:b/>
          <w:w w:val="0"/>
        </w:rPr>
        <w:t>DGF</w:t>
      </w:r>
      <w:r>
        <w:rPr>
          <w:b/>
          <w:w w:val="0"/>
          <w:vertAlign w:val="subscript"/>
        </w:rPr>
        <w:t>GAS</w:t>
      </w:r>
      <w:r>
        <w:rPr>
          <w:rFonts w:eastAsia="MS Mincho" w:cs="Arial"/>
          <w:w w:val="0"/>
        </w:rPr>
        <w:t xml:space="preserve"> = </w:t>
      </w:r>
      <w:r>
        <w:rPr>
          <w:rFonts w:eastAsia="MS Mincho" w:cs="Arial"/>
          <w:w w:val="0"/>
        </w:rPr>
        <w:tab/>
      </w:r>
      <w:bookmarkStart w:name="_DV_C1352" w:id="430"/>
      <w:bookmarkEnd w:id="429"/>
      <w:r>
        <w:rPr>
          <w:rFonts w:eastAsia="MS Mincho" w:cs="Arial"/>
          <w:w w:val="0"/>
        </w:rPr>
        <w:t>å</w:t>
      </w:r>
      <w:bookmarkStart w:name="_DV_C1353" w:id="431"/>
      <w:bookmarkEnd w:id="430"/>
      <w:r>
        <w:rPr>
          <w:rFonts w:eastAsia="MS Mincho" w:cs="Arial"/>
          <w:w w:val="0"/>
        </w:rPr>
        <w:t xml:space="preserve"> [(GHR</w:t>
      </w:r>
      <w:r>
        <w:rPr>
          <w:rFonts w:eastAsia="MS Mincho" w:cs="Arial"/>
          <w:w w:val="0"/>
          <w:vertAlign w:val="subscript"/>
        </w:rPr>
        <w:t>GAS hr 1</w:t>
      </w:r>
      <w:r>
        <w:rPr>
          <w:rFonts w:eastAsia="MS Mincho" w:cs="Arial"/>
          <w:w w:val="0"/>
        </w:rPr>
        <w:t>*</w:t>
      </w:r>
      <w:r>
        <w:rPr>
          <w:rFonts w:eastAsia="Times New Roman" w:cs="Arial"/>
        </w:rPr>
        <w:t>SE</w:t>
      </w:r>
      <w:r>
        <w:rPr>
          <w:rFonts w:eastAsia="Times New Roman" w:cs="Arial"/>
          <w:vertAlign w:val="subscript"/>
        </w:rPr>
        <w:t>GAS-FAC</w:t>
      </w:r>
      <w:r>
        <w:rPr>
          <w:rFonts w:eastAsia="MS Mincho" w:cs="Arial"/>
          <w:w w:val="0"/>
        </w:rPr>
        <w:t>)…(GHR</w:t>
      </w:r>
      <w:r>
        <w:rPr>
          <w:rFonts w:eastAsia="MS Mincho" w:cs="Arial"/>
          <w:w w:val="0"/>
          <w:vertAlign w:val="subscript"/>
        </w:rPr>
        <w:t>GAS hr N</w:t>
      </w:r>
      <w:r>
        <w:rPr>
          <w:rFonts w:eastAsia="MS Mincho" w:cs="Arial"/>
          <w:w w:val="0"/>
        </w:rPr>
        <w:t>*</w:t>
      </w:r>
      <w:bookmarkEnd w:id="431"/>
    </w:p>
    <w:p w:rsidRPr="00CB340F" w:rsidR="00506657" w:rsidP="00506657" w:rsidRDefault="00506657" w14:paraId="4EE249A4" w14:textId="77777777">
      <w:pPr>
        <w:keepNext/>
        <w:tabs>
          <w:tab w:val="left" w:pos="720"/>
          <w:tab w:val="left" w:pos="1440"/>
          <w:tab w:val="left" w:pos="2160"/>
          <w:tab w:val="left" w:pos="2880"/>
        </w:tabs>
        <w:adjustRightInd w:val="0"/>
        <w:spacing w:before="0" w:after="0"/>
        <w:ind w:left="1890" w:right="-1440"/>
        <w:textAlignment w:val="baseline"/>
        <w:rPr>
          <w:rFonts w:eastAsia="MS Mincho" w:cs="Arial"/>
          <w:w w:val="0"/>
          <w:lang w:val="es-PR"/>
        </w:rPr>
      </w:pPr>
      <w:bookmarkStart w:name="_DV_C1354" w:id="432"/>
      <w:r>
        <w:rPr>
          <w:rFonts w:eastAsia="MS Mincho" w:cs="Arial"/>
          <w:w w:val="0"/>
        </w:rPr>
        <w:tab/>
      </w:r>
      <w:r>
        <w:rPr>
          <w:rFonts w:eastAsia="MS Mincho" w:cs="Arial"/>
          <w:w w:val="0"/>
        </w:rPr>
        <w:tab/>
      </w:r>
      <w:r>
        <w:rPr>
          <w:rFonts w:eastAsia="MS Mincho" w:cs="Arial"/>
          <w:w w:val="0"/>
        </w:rPr>
        <w:tab/>
      </w:r>
      <w:r>
        <w:rPr>
          <w:rFonts w:eastAsia="MS Mincho" w:cs="Arial"/>
          <w:w w:val="0"/>
        </w:rPr>
        <w:tab/>
      </w:r>
      <w:r>
        <w:rPr>
          <w:rFonts w:eastAsia="Times New Roman" w:cs="Arial"/>
          <w:lang w:val="es-PR"/>
        </w:rPr>
        <w:t>SE</w:t>
      </w:r>
      <w:r>
        <w:rPr>
          <w:rFonts w:eastAsia="Times New Roman" w:cs="Arial"/>
          <w:vertAlign w:val="subscript"/>
          <w:lang w:val="es-PR"/>
        </w:rPr>
        <w:t xml:space="preserve"> GAS-FAC</w:t>
      </w:r>
      <w:r>
        <w:rPr>
          <w:rFonts w:eastAsia="MS Mincho" w:cs="Arial"/>
          <w:w w:val="0"/>
          <w:vertAlign w:val="subscript"/>
          <w:lang w:val="es-PR"/>
        </w:rPr>
        <w:t xml:space="preserve"> hr N</w:t>
      </w:r>
      <w:r>
        <w:rPr>
          <w:rFonts w:eastAsia="MS Mincho" w:cs="Arial"/>
          <w:w w:val="0"/>
          <w:lang w:val="es-PR"/>
        </w:rPr>
        <w:t>)]</w:t>
      </w:r>
      <w:bookmarkEnd w:id="432"/>
    </w:p>
    <w:p w:rsidRPr="00CB340F" w:rsidR="00506657" w:rsidP="00506657" w:rsidRDefault="00506657" w14:paraId="5A2FFD0E" w14:textId="77777777">
      <w:pPr>
        <w:tabs>
          <w:tab w:val="left" w:pos="720"/>
          <w:tab w:val="left" w:pos="1440"/>
          <w:tab w:val="left" w:pos="2160"/>
          <w:tab w:val="left" w:pos="2880"/>
        </w:tabs>
        <w:adjustRightInd w:val="0"/>
        <w:spacing w:before="0" w:after="0"/>
        <w:ind w:left="1890"/>
        <w:textAlignment w:val="baseline"/>
        <w:rPr>
          <w:rFonts w:eastAsia="MS Mincho" w:cs="Arial"/>
          <w:w w:val="0"/>
          <w:lang w:val="es-PR"/>
        </w:rPr>
      </w:pPr>
      <w:r>
        <w:rPr>
          <w:rFonts w:eastAsia="MS Mincho" w:cs="Arial"/>
          <w:w w:val="0"/>
          <w:lang w:val="es-PR"/>
        </w:rPr>
        <w:tab/>
      </w:r>
      <w:r>
        <w:rPr>
          <w:rFonts w:eastAsia="MS Mincho" w:cs="Arial"/>
          <w:w w:val="0"/>
          <w:lang w:val="es-PR"/>
        </w:rPr>
        <w:tab/>
      </w:r>
      <w:r>
        <w:rPr>
          <w:rFonts w:eastAsia="MS Mincho" w:cs="Arial"/>
          <w:w w:val="0"/>
          <w:lang w:val="es-PR"/>
        </w:rPr>
        <w:tab/>
      </w:r>
    </w:p>
    <w:p w:rsidRPr="000057B0" w:rsidR="000010C9" w:rsidP="00506657" w:rsidRDefault="00D16372" w14:paraId="638FE38A" w14:textId="2C0A90A0">
      <w:pPr>
        <w:tabs>
          <w:tab w:val="left" w:pos="720"/>
          <w:tab w:val="left" w:pos="1440"/>
          <w:tab w:val="left" w:pos="2160"/>
          <w:tab w:val="left" w:pos="2880"/>
        </w:tabs>
        <w:adjustRightInd w:val="0"/>
        <w:spacing w:before="0" w:after="0"/>
        <w:ind w:left="1890"/>
        <w:textAlignment w:val="baseline"/>
        <w:rPr>
          <w:rFonts w:eastAsia="MS Mincho" w:cs="Arial"/>
          <w:w w:val="0"/>
        </w:rPr>
      </w:pPr>
      <w:r>
        <w:rPr>
          <w:rFonts w:eastAsia="MS Mincho" w:cs="Arial"/>
          <w:w w:val="0"/>
          <w:lang w:val="es-PR"/>
        </w:rPr>
        <w:tab/>
      </w:r>
      <w:r>
        <w:rPr>
          <w:rFonts w:eastAsia="MS Mincho" w:cs="Arial"/>
          <w:w w:val="0"/>
        </w:rPr>
        <w:t>Where:</w:t>
      </w:r>
    </w:p>
    <w:p w:rsidRPr="000057B0" w:rsidR="000010C9" w:rsidP="000010C9" w:rsidRDefault="000010C9" w14:paraId="17C44941" w14:textId="6E9D80B8">
      <w:pPr>
        <w:pStyle w:val="zGNormal"/>
        <w:ind w:left="4608" w:hanging="1152"/>
      </w:pPr>
      <w:bookmarkStart w:name="_DV_C1355" w:id="433"/>
      <w:r>
        <w:rPr>
          <w:b/>
        </w:rPr>
        <w:t>GHR</w:t>
      </w:r>
      <w:r>
        <w:rPr>
          <w:b/>
          <w:vertAlign w:val="subscript"/>
        </w:rPr>
        <w:t>GAS</w:t>
      </w:r>
      <w:r>
        <w:rPr>
          <w:w w:val="0"/>
        </w:rPr>
        <w:t xml:space="preserve"> = </w:t>
      </w:r>
      <w:r>
        <w:rPr>
          <w:w w:val="0"/>
        </w:rPr>
        <w:tab/>
      </w:r>
      <w:r>
        <w:rPr>
          <w:w w:val="0"/>
        </w:rPr>
        <w:tab/>
        <w:t xml:space="preserve">The applicable Guaranteed Heat Rate in MMBtu/MWh </w:t>
      </w:r>
      <w:r>
        <w:t>when the Facility would have been dispatched on Natural Gas in accordance with</w:t>
      </w:r>
      <w:r>
        <w:rPr>
          <w:w w:val="0"/>
        </w:rPr>
        <w:t xml:space="preserve"> Exhibit F (</w:t>
      </w:r>
      <w:r>
        <w:rPr>
          <w:i/>
        </w:rPr>
        <w:t>Guaranteed Heat Rates</w:t>
      </w:r>
      <w:r>
        <w:rPr>
          <w:w w:val="0"/>
        </w:rPr>
        <w:t>). The GHR for an Hour will be based upon the MW Scheduled across the Hour</w:t>
      </w:r>
      <w:r>
        <w:t>.</w:t>
      </w:r>
    </w:p>
    <w:p w:rsidRPr="000057B0" w:rsidR="00506657" w:rsidP="00506657" w:rsidRDefault="00506657" w14:paraId="7E0BF22D" w14:textId="3BB037E9">
      <w:pPr>
        <w:tabs>
          <w:tab w:val="left" w:pos="720"/>
          <w:tab w:val="left" w:pos="1440"/>
          <w:tab w:val="left" w:pos="2160"/>
          <w:tab w:val="left" w:pos="2880"/>
        </w:tabs>
        <w:adjustRightInd w:val="0"/>
        <w:spacing w:before="0" w:after="0"/>
        <w:ind w:left="4320" w:hanging="1440"/>
        <w:textAlignment w:val="baseline"/>
        <w:rPr>
          <w:rFonts w:eastAsia="MS Mincho" w:cs="Arial"/>
          <w:w w:val="0"/>
        </w:rPr>
      </w:pPr>
      <w:r>
        <w:rPr>
          <w:rFonts w:eastAsia="MS Mincho" w:cs="Arial"/>
          <w:w w:val="0"/>
        </w:rPr>
        <w:tab/>
      </w:r>
      <w:bookmarkStart w:name="_DV_C1358" w:id="434"/>
      <w:bookmarkEnd w:id="433"/>
      <w:r>
        <w:rPr>
          <w:rFonts w:eastAsia="MS Mincho" w:cs="Arial"/>
          <w:w w:val="0"/>
        </w:rPr>
        <w:t xml:space="preserve"> </w:t>
      </w:r>
      <w:bookmarkEnd w:id="434"/>
    </w:p>
    <w:p w:rsidRPr="000057B0" w:rsidR="00506657" w:rsidP="00506657" w:rsidRDefault="00506657" w14:paraId="2B569E5C" w14:textId="77777777">
      <w:pPr>
        <w:tabs>
          <w:tab w:val="left" w:pos="720"/>
          <w:tab w:val="left" w:pos="1440"/>
          <w:tab w:val="left" w:pos="2160"/>
          <w:tab w:val="left" w:pos="2880"/>
        </w:tabs>
        <w:adjustRightInd w:val="0"/>
        <w:spacing w:before="0" w:after="0" w:line="360" w:lineRule="atLeast"/>
        <w:ind w:left="3600" w:hanging="2160"/>
        <w:textAlignment w:val="baseline"/>
        <w:rPr>
          <w:rFonts w:eastAsia="MS Mincho" w:cs="Arial"/>
          <w:w w:val="0"/>
        </w:rPr>
      </w:pPr>
    </w:p>
    <w:p w:rsidR="00A0702D" w:rsidP="00506657" w:rsidRDefault="00A0702D" w14:paraId="2FC254A4" w14:textId="77777777">
      <w:pPr>
        <w:tabs>
          <w:tab w:val="left" w:pos="720"/>
          <w:tab w:val="left" w:pos="1440"/>
          <w:tab w:val="left" w:pos="2160"/>
        </w:tabs>
        <w:adjustRightInd w:val="0"/>
        <w:spacing w:before="0" w:after="0"/>
        <w:ind w:left="1886"/>
        <w:textAlignment w:val="baseline"/>
        <w:rPr>
          <w:rFonts w:eastAsia="MS Mincho" w:cs="Arial"/>
          <w:w w:val="0"/>
        </w:rPr>
      </w:pPr>
      <w:bookmarkStart w:name="_DV_C1359" w:id="435"/>
    </w:p>
    <w:p w:rsidRPr="00F10071" w:rsidR="00506657" w:rsidP="00506657" w:rsidRDefault="00506657" w14:paraId="35060C8F" w14:textId="704B7E5E">
      <w:pPr>
        <w:tabs>
          <w:tab w:val="left" w:pos="720"/>
          <w:tab w:val="left" w:pos="1440"/>
          <w:tab w:val="left" w:pos="2160"/>
        </w:tabs>
        <w:adjustRightInd w:val="0"/>
        <w:spacing w:before="0" w:after="0"/>
        <w:ind w:left="1886"/>
        <w:textAlignment w:val="baseline"/>
        <w:rPr>
          <w:rFonts w:eastAsia="MS Mincho" w:cs="Arial"/>
          <w:w w:val="0"/>
        </w:rPr>
      </w:pPr>
      <w:r>
        <w:rPr>
          <w:rFonts w:eastAsia="MS Mincho" w:cs="Arial"/>
          <w:w w:val="0"/>
        </w:rPr>
        <w:t>The "</w:t>
      </w:r>
      <w:r>
        <w:rPr>
          <w:rFonts w:eastAsia="MS Mincho" w:cs="Arial"/>
          <w:b/>
          <w:bCs/>
          <w:w w:val="0"/>
        </w:rPr>
        <w:t>Daily Actual Fuel</w:t>
      </w:r>
      <w:r>
        <w:rPr>
          <w:rFonts w:eastAsia="MS Mincho" w:cs="Arial"/>
          <w:w w:val="0"/>
        </w:rPr>
        <w:t xml:space="preserve">” quantity for operation on Natural Gas </w:t>
      </w:r>
      <w:r>
        <w:rPr>
          <w:rFonts w:cs="Arial"/>
        </w:rPr>
        <w:t>will</w:t>
      </w:r>
      <w:r>
        <w:rPr>
          <w:rFonts w:eastAsia="MS Mincho" w:cs="Arial"/>
          <w:w w:val="0"/>
        </w:rPr>
        <w:t xml:space="preserve"> be the sum of the Hourly MMBtus allocated to Seller each Day corresponding to the actual amount of Natural Gas consumed in the Facility to meet GPC’s Schedules on each Gas Day and any greater or lesser adjustment to account for differences between the total gas measured at the Gas Delivery Point and the actual total consumption at the Facility.</w:t>
      </w:r>
      <w:bookmarkEnd w:id="435"/>
    </w:p>
    <w:p w:rsidRPr="00F10071" w:rsidR="00506657" w:rsidP="00506657" w:rsidRDefault="00506657" w14:paraId="441C9B52" w14:textId="77777777">
      <w:pPr>
        <w:tabs>
          <w:tab w:val="left" w:pos="720"/>
          <w:tab w:val="left" w:pos="1440"/>
          <w:tab w:val="left" w:pos="2160"/>
        </w:tabs>
        <w:adjustRightInd w:val="0"/>
        <w:spacing w:before="0" w:after="0"/>
        <w:ind w:left="1886"/>
        <w:textAlignment w:val="baseline"/>
        <w:rPr>
          <w:rFonts w:eastAsia="MS Mincho" w:cs="Arial"/>
          <w:w w:val="0"/>
        </w:rPr>
      </w:pPr>
    </w:p>
    <w:p w:rsidRPr="00F10071" w:rsidR="00506657" w:rsidP="00506657" w:rsidRDefault="00506657" w14:paraId="187F7CAC" w14:textId="7F10F16B">
      <w:pPr>
        <w:tabs>
          <w:tab w:val="left" w:pos="720"/>
          <w:tab w:val="left" w:pos="1440"/>
          <w:tab w:val="left" w:pos="2160"/>
        </w:tabs>
        <w:adjustRightInd w:val="0"/>
        <w:spacing w:before="0" w:after="0"/>
        <w:ind w:left="1886"/>
        <w:textAlignment w:val="baseline"/>
        <w:rPr>
          <w:rFonts w:eastAsia="MS Mincho" w:cs="Arial"/>
          <w:w w:val="0"/>
        </w:rPr>
      </w:pPr>
      <w:bookmarkStart w:name="_DV_C1360" w:id="436"/>
      <w:r>
        <w:rPr>
          <w:rFonts w:eastAsia="MS Mincho" w:cs="Arial"/>
          <w:w w:val="0"/>
        </w:rPr>
        <w:t xml:space="preserve">The </w:t>
      </w:r>
      <w:r>
        <w:rPr>
          <w:rFonts w:eastAsia="MS Mincho" w:cs="Arial"/>
          <w:b/>
          <w:bCs/>
          <w:w w:val="0"/>
        </w:rPr>
        <w:t>Daily Fuel Cost (DFC</w:t>
      </w:r>
      <w:r>
        <w:rPr>
          <w:rFonts w:eastAsia="MS Mincho" w:cs="Arial"/>
          <w:b/>
          <w:bCs/>
          <w:w w:val="0"/>
          <w:vertAlign w:val="subscript"/>
        </w:rPr>
        <w:t>GAS</w:t>
      </w:r>
      <w:r>
        <w:rPr>
          <w:rFonts w:eastAsia="MS Mincho" w:cs="Arial"/>
          <w:b/>
          <w:bCs/>
          <w:w w:val="0"/>
        </w:rPr>
        <w:t>)</w:t>
      </w:r>
      <w:r>
        <w:rPr>
          <w:rFonts w:eastAsia="MS Mincho" w:cs="Arial"/>
          <w:w w:val="0"/>
        </w:rPr>
        <w:t xml:space="preserve"> for operation on Natural Gas </w:t>
      </w:r>
      <w:r>
        <w:rPr>
          <w:rFonts w:cs="Arial"/>
        </w:rPr>
        <w:t>will</w:t>
      </w:r>
      <w:r>
        <w:rPr>
          <w:rFonts w:eastAsia="MS Mincho" w:cs="Arial"/>
          <w:w w:val="0"/>
        </w:rPr>
        <w:t xml:space="preserve"> be determined as follows:  </w:t>
      </w:r>
      <w:bookmarkEnd w:id="436"/>
    </w:p>
    <w:p w:rsidRPr="00F10071" w:rsidR="00506657" w:rsidP="00506657" w:rsidRDefault="00506657" w14:paraId="6DDE8AD4" w14:textId="77777777">
      <w:pPr>
        <w:tabs>
          <w:tab w:val="left" w:pos="720"/>
          <w:tab w:val="left" w:pos="1440"/>
          <w:tab w:val="left" w:pos="2160"/>
        </w:tabs>
        <w:adjustRightInd w:val="0"/>
        <w:spacing w:before="0" w:after="0" w:line="360" w:lineRule="atLeast"/>
        <w:ind w:left="1440"/>
        <w:textAlignment w:val="baseline"/>
        <w:rPr>
          <w:rFonts w:eastAsia="MS Mincho" w:cs="Arial"/>
          <w:w w:val="0"/>
        </w:rPr>
      </w:pPr>
    </w:p>
    <w:p w:rsidRPr="00F10071" w:rsidR="00506657" w:rsidP="00506657" w:rsidRDefault="00506657" w14:paraId="0D80D7A3" w14:textId="77777777">
      <w:pPr>
        <w:tabs>
          <w:tab w:val="left" w:pos="720"/>
          <w:tab w:val="left" w:pos="1440"/>
          <w:tab w:val="left" w:pos="2160"/>
        </w:tabs>
        <w:adjustRightInd w:val="0"/>
        <w:spacing w:before="0" w:after="0"/>
        <w:ind w:left="2160"/>
        <w:textAlignment w:val="baseline"/>
        <w:rPr>
          <w:rFonts w:eastAsia="MS Mincho" w:cs="Arial"/>
          <w:w w:val="0"/>
          <w:vertAlign w:val="subscript"/>
        </w:rPr>
      </w:pPr>
      <w:bookmarkStart w:name="_DV_C1361" w:id="437"/>
      <w:r>
        <w:rPr>
          <w:rFonts w:eastAsia="MS Mincho" w:cs="Arial"/>
          <w:b/>
          <w:w w:val="0"/>
        </w:rPr>
        <w:tab/>
      </w:r>
      <w:r>
        <w:rPr>
          <w:b/>
          <w:w w:val="0"/>
        </w:rPr>
        <w:t>DFC</w:t>
      </w:r>
      <w:r>
        <w:rPr>
          <w:b/>
          <w:w w:val="0"/>
          <w:vertAlign w:val="subscript"/>
        </w:rPr>
        <w:t>GAS</w:t>
      </w:r>
      <w:r>
        <w:rPr>
          <w:rFonts w:eastAsia="MS Mincho" w:cs="Arial"/>
          <w:w w:val="0"/>
        </w:rPr>
        <w:t xml:space="preserve"> = </w:t>
      </w:r>
      <w:r>
        <w:rPr>
          <w:rFonts w:eastAsia="MS Mincho" w:cs="Arial"/>
          <w:w w:val="0"/>
        </w:rPr>
        <w:tab/>
        <w:t>(SGD + VTA + IT)</w:t>
      </w:r>
      <w:bookmarkEnd w:id="437"/>
    </w:p>
    <w:p w:rsidRPr="00F10071" w:rsidR="00506657" w:rsidP="00506657" w:rsidRDefault="00506657" w14:paraId="22DD3BFE" w14:textId="77777777">
      <w:pPr>
        <w:tabs>
          <w:tab w:val="left" w:pos="720"/>
          <w:tab w:val="left" w:pos="1440"/>
          <w:tab w:val="left" w:pos="2160"/>
        </w:tabs>
        <w:adjustRightInd w:val="0"/>
        <w:spacing w:before="0" w:after="0"/>
        <w:ind w:left="2160"/>
        <w:textAlignment w:val="baseline"/>
        <w:rPr>
          <w:rFonts w:eastAsia="MS Mincho" w:cs="Arial"/>
          <w:w w:val="0"/>
        </w:rPr>
      </w:pPr>
      <w:r>
        <w:rPr>
          <w:rFonts w:eastAsia="MS Mincho" w:cs="Arial"/>
          <w:w w:val="0"/>
        </w:rPr>
        <w:lastRenderedPageBreak/>
        <w:t xml:space="preserve"> </w:t>
      </w:r>
    </w:p>
    <w:p w:rsidRPr="00F10071" w:rsidR="00506657" w:rsidP="00506657" w:rsidRDefault="00506657" w14:paraId="1C534675" w14:textId="77777777">
      <w:pPr>
        <w:tabs>
          <w:tab w:val="left" w:pos="720"/>
          <w:tab w:val="left" w:pos="1440"/>
          <w:tab w:val="left" w:pos="2160"/>
        </w:tabs>
        <w:adjustRightInd w:val="0"/>
        <w:spacing w:before="0" w:after="0"/>
        <w:ind w:left="2160"/>
        <w:textAlignment w:val="baseline"/>
        <w:rPr>
          <w:rFonts w:eastAsia="MS Mincho" w:cs="Arial"/>
          <w:w w:val="0"/>
        </w:rPr>
      </w:pPr>
      <w:bookmarkStart w:name="_DV_C1362" w:id="438"/>
      <w:r>
        <w:rPr>
          <w:rFonts w:eastAsia="MS Mincho" w:cs="Arial"/>
          <w:w w:val="0"/>
        </w:rPr>
        <w:tab/>
        <w:t>Where:</w:t>
      </w:r>
      <w:bookmarkEnd w:id="438"/>
    </w:p>
    <w:p w:rsidRPr="00F10071" w:rsidR="00506657" w:rsidP="00506657" w:rsidRDefault="00506657" w14:paraId="41C2BF69" w14:textId="77777777">
      <w:pPr>
        <w:tabs>
          <w:tab w:val="left" w:pos="720"/>
          <w:tab w:val="left" w:pos="1440"/>
          <w:tab w:val="left" w:pos="2160"/>
          <w:tab w:val="left" w:pos="2880"/>
        </w:tabs>
        <w:adjustRightInd w:val="0"/>
        <w:spacing w:before="0" w:after="0"/>
        <w:ind w:left="4320" w:hanging="2880"/>
        <w:textAlignment w:val="baseline"/>
        <w:rPr>
          <w:rFonts w:eastAsia="MS Mincho" w:cs="Arial"/>
          <w:w w:val="0"/>
        </w:rPr>
      </w:pPr>
    </w:p>
    <w:p w:rsidRPr="00F10071" w:rsidR="00506657" w:rsidP="00506657" w:rsidRDefault="00506657" w14:paraId="6735EEDE" w14:textId="6EFAFF04">
      <w:pPr>
        <w:adjustRightInd w:val="0"/>
        <w:spacing w:before="0" w:after="0"/>
        <w:ind w:left="4320" w:hanging="1440"/>
        <w:textAlignment w:val="baseline"/>
        <w:rPr>
          <w:rFonts w:eastAsia="MS Mincho" w:cs="Arial"/>
          <w:w w:val="0"/>
        </w:rPr>
      </w:pPr>
      <w:r>
        <w:rPr>
          <w:b/>
          <w:w w:val="0"/>
        </w:rPr>
        <w:t>SGD</w:t>
      </w:r>
      <w:r>
        <w:rPr>
          <w:rFonts w:eastAsia="MS Mincho" w:cs="Arial"/>
          <w:w w:val="0"/>
        </w:rPr>
        <w:t xml:space="preserve"> =</w:t>
      </w:r>
      <w:bookmarkStart w:name="_DV_X1450" w:id="439"/>
      <w:bookmarkStart w:name="_DV_C1364" w:id="440"/>
      <w:r>
        <w:rPr>
          <w:rFonts w:eastAsia="MS Mincho" w:cs="Arial"/>
          <w:w w:val="0"/>
        </w:rPr>
        <w:tab/>
        <w:t xml:space="preserve">The Gas Day’s “Gas Daily” midpoint price for its Daily Price Survey for </w:t>
      </w:r>
      <w:bookmarkStart w:name="_DV_C1365" w:id="441"/>
      <w:bookmarkEnd w:id="439"/>
      <w:bookmarkEnd w:id="440"/>
      <w:r>
        <w:rPr>
          <w:rFonts w:eastAsia="Times New Roman" w:cs="Arial"/>
          <w:highlight w:val="yellow"/>
        </w:rPr>
        <w:t>#PriceSnapshotReference</w:t>
      </w:r>
      <w:r>
        <w:rPr>
          <w:rFonts w:eastAsia="Times New Roman" w:cs="Arial"/>
        </w:rPr>
        <w:t xml:space="preserve"> (</w:t>
      </w:r>
      <w:r>
        <w:rPr>
          <w:rFonts w:eastAsia="Times New Roman" w:cs="Arial"/>
          <w:i/>
        </w:rPr>
        <w:t>e.g., Louisiana – Onshore South, Sonat).</w:t>
      </w:r>
      <w:bookmarkEnd w:id="441"/>
      <w:r>
        <w:rPr>
          <w:rFonts w:eastAsia="Times New Roman" w:cs="Arial"/>
          <w:i/>
        </w:rPr>
        <w:t xml:space="preserve">  </w:t>
      </w:r>
    </w:p>
    <w:p w:rsidRPr="00F10071" w:rsidR="00506657" w:rsidP="00506657" w:rsidRDefault="00506657" w14:paraId="1B199EAE" w14:textId="6D39FD02">
      <w:pPr>
        <w:tabs>
          <w:tab w:val="left" w:pos="720"/>
          <w:tab w:val="left" w:pos="1440"/>
          <w:tab w:val="left" w:pos="2160"/>
          <w:tab w:val="left" w:pos="2880"/>
        </w:tabs>
        <w:adjustRightInd w:val="0"/>
        <w:spacing w:before="0" w:after="0"/>
        <w:ind w:left="4320" w:hanging="1440"/>
        <w:textAlignment w:val="baseline"/>
        <w:rPr>
          <w:rFonts w:eastAsia="Times New Roman" w:cs="Arial"/>
        </w:rPr>
      </w:pPr>
      <w:bookmarkStart w:name="_DV_C1366" w:id="442"/>
      <w:r>
        <w:rPr>
          <w:b/>
          <w:w w:val="0"/>
        </w:rPr>
        <w:t xml:space="preserve">VTA </w:t>
      </w:r>
      <w:r>
        <w:rPr>
          <w:rFonts w:eastAsia="MS Mincho" w:cs="Arial"/>
          <w:w w:val="0"/>
        </w:rPr>
        <w:t>=</w:t>
      </w:r>
      <w:bookmarkStart w:name="_DV_X1453" w:id="443"/>
      <w:bookmarkStart w:name="_DV_C1367" w:id="444"/>
      <w:bookmarkEnd w:id="442"/>
      <w:r>
        <w:rPr>
          <w:rFonts w:eastAsia="MS Mincho" w:cs="Arial"/>
          <w:w w:val="0"/>
        </w:rPr>
        <w:tab/>
        <w:t xml:space="preserve">The Variable Transportation Adders will be </w:t>
      </w:r>
      <w:bookmarkStart w:name="_DV_C1368" w:id="445"/>
      <w:bookmarkEnd w:id="443"/>
      <w:bookmarkEnd w:id="444"/>
      <w:r>
        <w:rPr>
          <w:rFonts w:eastAsia="Times New Roman" w:cs="Arial"/>
          <w:highlight w:val="yellow"/>
        </w:rPr>
        <w:t>#Adde</w:t>
      </w:r>
      <w:r>
        <w:rPr>
          <w:rFonts w:eastAsia="Times New Roman" w:cs="Arial"/>
        </w:rPr>
        <w:t>r (</w:t>
      </w:r>
      <w:r>
        <w:rPr>
          <w:rFonts w:eastAsia="Times New Roman" w:cs="Arial"/>
          <w:i/>
        </w:rPr>
        <w:t>e.g., SNG’s Zone 3</w:t>
      </w:r>
      <w:r>
        <w:rPr>
          <w:rFonts w:eastAsia="Times New Roman" w:cs="Arial"/>
          <w:iCs/>
        </w:rPr>
        <w:t>)</w:t>
      </w:r>
      <w:r>
        <w:rPr>
          <w:rFonts w:eastAsia="Times New Roman" w:cs="Arial"/>
        </w:rPr>
        <w:t xml:space="preserve"> maximum firm transportation variable charges including all fuel retention and surcharges.</w:t>
      </w:r>
      <w:bookmarkStart w:name="_DV_C1369" w:id="446"/>
      <w:bookmarkEnd w:id="445"/>
      <w:r>
        <w:rPr>
          <w:rFonts w:eastAsia="Times New Roman" w:cs="Arial"/>
        </w:rPr>
        <w:t xml:space="preserve"> </w:t>
      </w:r>
    </w:p>
    <w:p w:rsidRPr="00F10071" w:rsidR="00506657" w:rsidP="00506657" w:rsidRDefault="00506657" w14:paraId="40E93F7E" w14:textId="77777777">
      <w:pPr>
        <w:tabs>
          <w:tab w:val="left" w:pos="720"/>
          <w:tab w:val="left" w:pos="1440"/>
          <w:tab w:val="left" w:pos="2160"/>
          <w:tab w:val="left" w:pos="2880"/>
        </w:tabs>
        <w:adjustRightInd w:val="0"/>
        <w:spacing w:before="0" w:after="0"/>
        <w:ind w:left="4320" w:hanging="1440"/>
        <w:textAlignment w:val="baseline"/>
        <w:rPr>
          <w:rFonts w:eastAsia="MS Mincho" w:cs="Arial"/>
        </w:rPr>
      </w:pPr>
      <w:r>
        <w:rPr>
          <w:b/>
          <w:w w:val="0"/>
        </w:rPr>
        <w:t xml:space="preserve">IT </w:t>
      </w:r>
      <w:r>
        <w:rPr>
          <w:rFonts w:eastAsia="MS Mincho" w:cs="Arial"/>
          <w:w w:val="0"/>
        </w:rPr>
        <w:t>=</w:t>
      </w:r>
      <w:bookmarkStart w:name="_DV_X1457" w:id="447"/>
      <w:bookmarkStart w:name="_DV_C1370" w:id="448"/>
      <w:bookmarkEnd w:id="446"/>
      <w:r>
        <w:rPr>
          <w:rFonts w:eastAsia="MS Mincho" w:cs="Arial"/>
          <w:w w:val="0"/>
        </w:rPr>
        <w:tab/>
        <w:t xml:space="preserve">The Interruptible Transportation </w:t>
      </w:r>
      <w:bookmarkStart w:name="_DV_C1371" w:id="449"/>
      <w:bookmarkEnd w:id="447"/>
      <w:bookmarkEnd w:id="448"/>
      <w:r>
        <w:rPr>
          <w:rFonts w:eastAsia="Times New Roman" w:cs="Arial"/>
        </w:rPr>
        <w:t xml:space="preserve">for </w:t>
      </w:r>
      <w:r>
        <w:rPr>
          <w:rFonts w:eastAsia="Times New Roman" w:cs="Arial"/>
          <w:iCs/>
          <w:highlight w:val="yellow"/>
        </w:rPr>
        <w:t>[e.g., SNG Zone 1 to Zone 3]</w:t>
      </w:r>
      <w:r>
        <w:rPr>
          <w:rFonts w:eastAsia="Times New Roman" w:cs="Arial"/>
          <w:iCs/>
        </w:rPr>
        <w:t xml:space="preserve"> </w:t>
      </w:r>
      <w:r>
        <w:rPr>
          <w:rFonts w:eastAsia="Times New Roman" w:cs="Arial"/>
        </w:rPr>
        <w:t>for any amount needed above the Firm Capacity.</w:t>
      </w:r>
      <w:bookmarkEnd w:id="449"/>
      <w:r>
        <w:rPr>
          <w:rFonts w:eastAsia="Times New Roman" w:cs="Arial"/>
        </w:rPr>
        <w:t xml:space="preserve">  </w:t>
      </w:r>
    </w:p>
    <w:p w:rsidRPr="00F10071" w:rsidR="00506657" w:rsidP="00506657" w:rsidRDefault="00506657" w14:paraId="4F35AD26" w14:textId="77777777">
      <w:pPr>
        <w:tabs>
          <w:tab w:val="left" w:pos="720"/>
          <w:tab w:val="left" w:pos="1440"/>
          <w:tab w:val="left" w:pos="2160"/>
        </w:tabs>
        <w:adjustRightInd w:val="0"/>
        <w:spacing w:before="0" w:after="0"/>
        <w:ind w:left="1440"/>
        <w:textAlignment w:val="baseline"/>
        <w:rPr>
          <w:rFonts w:eastAsia="MS Mincho" w:cs="Arial"/>
          <w:w w:val="0"/>
        </w:rPr>
      </w:pPr>
    </w:p>
    <w:p w:rsidRPr="00B7097E" w:rsidR="00506657" w:rsidP="00B7097E" w:rsidRDefault="00506657" w14:paraId="5D5FC400" w14:textId="794D9447">
      <w:pPr>
        <w:tabs>
          <w:tab w:val="left" w:pos="720"/>
          <w:tab w:val="left" w:pos="1350"/>
          <w:tab w:val="left" w:pos="2160"/>
        </w:tabs>
        <w:adjustRightInd w:val="0"/>
        <w:spacing w:before="0" w:after="0"/>
        <w:ind w:left="1890"/>
        <w:textAlignment w:val="baseline"/>
        <w:rPr>
          <w:rFonts w:eastAsia="MS Mincho" w:cs="Arial"/>
          <w:w w:val="0"/>
        </w:rPr>
      </w:pPr>
      <w:bookmarkStart w:name="_DV_C1372" w:id="450"/>
      <w:r>
        <w:rPr>
          <w:rFonts w:eastAsia="MS Mincho" w:cs="Arial"/>
          <w:w w:val="0"/>
        </w:rPr>
        <w:t xml:space="preserve">If the Monthly Fuel Adjustment for operation on Natural Gas is positive, </w:t>
      </w:r>
      <w:r>
        <w:rPr>
          <w:rFonts w:eastAsia="Times New Roman" w:cs="Arial"/>
        </w:rPr>
        <w:t xml:space="preserve">GPC </w:t>
      </w:r>
      <w:r>
        <w:rPr>
          <w:rFonts w:cs="Arial"/>
        </w:rPr>
        <w:t>will</w:t>
      </w:r>
      <w:r>
        <w:rPr>
          <w:rFonts w:eastAsia="MS Mincho" w:cs="Arial"/>
          <w:w w:val="0"/>
        </w:rPr>
        <w:t xml:space="preserve"> pay Seller the amount of the Monthly Fuel Adjustment for operation on Natural Gas. If the Monthly Fuel Adjustment for operation on Natural Gas is negative, Seller </w:t>
      </w:r>
      <w:r>
        <w:rPr>
          <w:rFonts w:cs="Arial"/>
        </w:rPr>
        <w:t>will</w:t>
      </w:r>
      <w:r>
        <w:rPr>
          <w:rFonts w:eastAsia="MS Mincho" w:cs="Arial"/>
          <w:w w:val="0"/>
        </w:rPr>
        <w:t xml:space="preserve"> pay </w:t>
      </w:r>
      <w:r>
        <w:rPr>
          <w:rFonts w:eastAsia="Times New Roman" w:cs="Arial"/>
        </w:rPr>
        <w:t xml:space="preserve">GPC </w:t>
      </w:r>
      <w:r>
        <w:rPr>
          <w:rFonts w:eastAsia="MS Mincho" w:cs="Arial"/>
          <w:w w:val="0"/>
        </w:rPr>
        <w:t>the absolute value amount of the Monthly Fuel Adjustment for operation on Natural Gas.</w:t>
      </w:r>
      <w:bookmarkEnd w:id="450"/>
    </w:p>
    <w:p w:rsidRPr="00EA20DD" w:rsidR="00506657" w:rsidP="00CC28B8" w:rsidRDefault="00506657" w14:paraId="4239B38B" w14:textId="1B6116DA">
      <w:pPr>
        <w:pStyle w:val="zG02"/>
        <w:rPr>
          <w:w w:val="0"/>
        </w:rPr>
      </w:pPr>
      <w:r>
        <w:rPr>
          <w:b/>
          <w:bCs/>
          <w:w w:val="0"/>
        </w:rPr>
        <w:t>Monthly Fuel Charge.</w:t>
      </w:r>
      <w:r>
        <w:rPr>
          <w:w w:val="0"/>
        </w:rPr>
        <w:t xml:space="preserve"> If Seller delivers energy from Alternate Resources, the Monthly Fuel Charge will be determined as follows:</w:t>
      </w:r>
    </w:p>
    <w:p w:rsidRPr="00F10071" w:rsidR="00506657" w:rsidP="00506657" w:rsidRDefault="00506657" w14:paraId="3AA9AE5E" w14:textId="77777777">
      <w:pPr>
        <w:tabs>
          <w:tab w:val="left" w:pos="720"/>
          <w:tab w:val="left" w:pos="1440"/>
          <w:tab w:val="left" w:pos="2160"/>
          <w:tab w:val="left" w:pos="3420"/>
        </w:tabs>
        <w:adjustRightInd w:val="0"/>
        <w:spacing w:before="0" w:after="0"/>
        <w:ind w:left="720"/>
        <w:textAlignment w:val="baseline"/>
        <w:rPr>
          <w:rFonts w:eastAsia="MS Mincho" w:cs="Arial"/>
          <w:w w:val="0"/>
        </w:rPr>
      </w:pPr>
    </w:p>
    <w:p w:rsidRPr="00575941" w:rsidR="00506657" w:rsidP="00506657" w:rsidRDefault="00506657" w14:paraId="1A9321F2" w14:textId="77777777">
      <w:pPr>
        <w:tabs>
          <w:tab w:val="left" w:pos="720"/>
          <w:tab w:val="left" w:pos="1440"/>
          <w:tab w:val="left" w:pos="2160"/>
          <w:tab w:val="left" w:pos="2880"/>
        </w:tabs>
        <w:adjustRightInd w:val="0"/>
        <w:spacing w:before="0" w:after="0"/>
        <w:ind w:left="3600" w:hanging="1620"/>
        <w:textAlignment w:val="baseline"/>
        <w:rPr>
          <w:rFonts w:eastAsia="Times New Roman" w:cs="Arial"/>
          <w:w w:val="0"/>
        </w:rPr>
      </w:pPr>
      <w:r>
        <w:rPr>
          <w:rFonts w:eastAsia="Times New Roman" w:cs="Arial"/>
          <w:w w:val="0"/>
        </w:rPr>
        <w:tab/>
      </w:r>
      <w:r>
        <w:rPr>
          <w:b/>
          <w:w w:val="0"/>
        </w:rPr>
        <w:t>MFC</w:t>
      </w:r>
      <w:r>
        <w:rPr>
          <w:b/>
          <w:vertAlign w:val="subscript"/>
        </w:rPr>
        <w:t>GAS-AR</w:t>
      </w:r>
      <w:r>
        <w:rPr>
          <w:rFonts w:eastAsia="Times New Roman" w:cs="Arial"/>
          <w:w w:val="0"/>
        </w:rPr>
        <w:t xml:space="preserve"> = </w:t>
      </w:r>
      <w:r>
        <w:rPr>
          <w:rFonts w:eastAsia="Times New Roman" w:cs="Arial"/>
          <w:w w:val="0"/>
        </w:rPr>
        <w:tab/>
        <w:t>å[(DGF</w:t>
      </w:r>
      <w:r>
        <w:rPr>
          <w:rFonts w:eastAsia="Times New Roman" w:cs="Arial"/>
          <w:vertAlign w:val="subscript"/>
        </w:rPr>
        <w:t>GAS-AR</w:t>
      </w:r>
      <w:r>
        <w:rPr>
          <w:rFonts w:eastAsia="Times New Roman" w:cs="Arial"/>
          <w:w w:val="0"/>
        </w:rPr>
        <w:t xml:space="preserve"> </w:t>
      </w:r>
      <w:r>
        <w:rPr>
          <w:rFonts w:eastAsia="Times New Roman" w:cs="Arial"/>
          <w:i/>
          <w:w w:val="0"/>
          <w:vertAlign w:val="subscript"/>
        </w:rPr>
        <w:t>*</w:t>
      </w:r>
      <w:r>
        <w:rPr>
          <w:rFonts w:eastAsia="Times New Roman" w:cs="Arial"/>
          <w:w w:val="0"/>
        </w:rPr>
        <w:t xml:space="preserve"> DFP</w:t>
      </w:r>
      <w:r>
        <w:rPr>
          <w:rFonts w:eastAsia="Times New Roman" w:cs="Arial"/>
          <w:vertAlign w:val="subscript"/>
        </w:rPr>
        <w:t>GAS-AR</w:t>
      </w:r>
      <w:r>
        <w:rPr>
          <w:rFonts w:eastAsia="Times New Roman" w:cs="Arial"/>
          <w:w w:val="0"/>
        </w:rPr>
        <w:t xml:space="preserve">) </w:t>
      </w:r>
      <w:r>
        <w:rPr>
          <w:rFonts w:eastAsia="Times New Roman" w:cs="Arial"/>
          <w:w w:val="0"/>
          <w:vertAlign w:val="subscript"/>
        </w:rPr>
        <w:t>DAY 1</w:t>
      </w:r>
      <w:r>
        <w:rPr>
          <w:rFonts w:eastAsia="Times New Roman" w:cs="Arial"/>
          <w:w w:val="0"/>
        </w:rPr>
        <w:t xml:space="preserve"> … (DGF</w:t>
      </w:r>
      <w:r>
        <w:rPr>
          <w:rFonts w:eastAsia="Times New Roman" w:cs="Arial"/>
          <w:vertAlign w:val="subscript"/>
        </w:rPr>
        <w:t>GAS-AR</w:t>
      </w:r>
      <w:r>
        <w:rPr>
          <w:rFonts w:eastAsia="Times New Roman" w:cs="Arial"/>
          <w:w w:val="0"/>
        </w:rPr>
        <w:t xml:space="preserve"> </w:t>
      </w:r>
      <w:r>
        <w:rPr>
          <w:rFonts w:eastAsia="Times New Roman" w:cs="Arial"/>
          <w:i/>
          <w:w w:val="0"/>
          <w:vertAlign w:val="subscript"/>
        </w:rPr>
        <w:t>*</w:t>
      </w:r>
      <w:r>
        <w:rPr>
          <w:rFonts w:eastAsia="Times New Roman" w:cs="Arial"/>
          <w:w w:val="0"/>
        </w:rPr>
        <w:t xml:space="preserve"> DFP</w:t>
      </w:r>
      <w:r>
        <w:rPr>
          <w:rFonts w:eastAsia="Times New Roman" w:cs="Arial"/>
          <w:vertAlign w:val="subscript"/>
        </w:rPr>
        <w:t>GAS-AR</w:t>
      </w:r>
      <w:r>
        <w:rPr>
          <w:rFonts w:eastAsia="Times New Roman" w:cs="Arial"/>
          <w:w w:val="0"/>
        </w:rPr>
        <w:t xml:space="preserve">) </w:t>
      </w:r>
      <w:r>
        <w:rPr>
          <w:rFonts w:eastAsia="Times New Roman" w:cs="Arial"/>
          <w:w w:val="0"/>
          <w:vertAlign w:val="subscript"/>
        </w:rPr>
        <w:t>DAY N</w:t>
      </w:r>
      <w:r>
        <w:rPr>
          <w:rFonts w:eastAsia="Times New Roman" w:cs="Arial"/>
          <w:w w:val="0"/>
        </w:rPr>
        <w:t>]</w:t>
      </w:r>
    </w:p>
    <w:p w:rsidRPr="000057B0" w:rsidR="00506657" w:rsidP="00A83954" w:rsidRDefault="00506657" w14:paraId="5C51D36C" w14:textId="1ACCE0C1">
      <w:pPr>
        <w:pStyle w:val="zGNormal"/>
        <w:rPr>
          <w:b/>
          <w:w w:val="0"/>
        </w:rPr>
      </w:pPr>
      <w:r>
        <w:rPr>
          <w:w w:val="0"/>
        </w:rPr>
        <w:t xml:space="preserve">The Monthly Fuel Charge </w:t>
      </w:r>
      <w:r>
        <w:t>will</w:t>
      </w:r>
      <w:r>
        <w:rPr>
          <w:w w:val="0"/>
        </w:rPr>
        <w:t xml:space="preserve"> be the sum of the daily fuel charges for each Gas Day or partial Gas Day in the Month when delivering from an Alternate Resource. The daily fuel charge is the product of the Daily Guaranteed Fuel in MMBtus and the corresponding Daily Fuel Price in $/MMBtu.</w:t>
      </w:r>
    </w:p>
    <w:p w:rsidRPr="000057B0" w:rsidR="00506657" w:rsidP="00506657" w:rsidRDefault="00506657" w14:paraId="16F1AF53" w14:textId="77777777">
      <w:pPr>
        <w:keepNext/>
        <w:adjustRightInd w:val="0"/>
        <w:spacing w:before="0" w:after="0"/>
        <w:ind w:left="2160"/>
        <w:textAlignment w:val="baseline"/>
        <w:rPr>
          <w:rFonts w:eastAsia="Times New Roman" w:cs="Arial"/>
        </w:rPr>
      </w:pPr>
      <w:r>
        <w:rPr>
          <w:rFonts w:eastAsia="Times New Roman" w:cs="Arial"/>
        </w:rPr>
        <w:t>Where:</w:t>
      </w:r>
    </w:p>
    <w:p w:rsidRPr="000057B0" w:rsidR="00506657" w:rsidP="00506657" w:rsidRDefault="00506657" w14:paraId="50DFCF47" w14:textId="77777777">
      <w:pPr>
        <w:adjustRightInd w:val="0"/>
        <w:spacing w:before="0" w:after="0"/>
        <w:ind w:left="2880"/>
        <w:textAlignment w:val="baseline"/>
        <w:rPr>
          <w:rFonts w:eastAsia="Times New Roman" w:cs="Arial"/>
        </w:rPr>
      </w:pPr>
    </w:p>
    <w:p w:rsidRPr="000057B0" w:rsidR="00506657" w:rsidP="00506657" w:rsidRDefault="00506657" w14:paraId="351FC59D" w14:textId="77777777">
      <w:pPr>
        <w:adjustRightInd w:val="0"/>
        <w:spacing w:before="0" w:after="0"/>
        <w:ind w:left="3600" w:hanging="1440"/>
        <w:textAlignment w:val="baseline"/>
        <w:rPr>
          <w:rFonts w:eastAsia="Times New Roman" w:cs="Arial"/>
        </w:rPr>
      </w:pPr>
      <w:r>
        <w:rPr>
          <w:b/>
        </w:rPr>
        <w:t>DGF</w:t>
      </w:r>
      <w:r>
        <w:rPr>
          <w:b/>
          <w:w w:val="0"/>
          <w:vertAlign w:val="subscript"/>
        </w:rPr>
        <w:t>GAS-AR</w:t>
      </w:r>
      <w:r>
        <w:rPr>
          <w:rFonts w:eastAsia="MS Mincho" w:cs="Arial"/>
          <w:w w:val="0"/>
          <w:vertAlign w:val="subscript"/>
        </w:rPr>
        <w:t xml:space="preserve"> </w:t>
      </w:r>
      <w:r>
        <w:rPr>
          <w:rFonts w:eastAsia="Times New Roman" w:cs="Arial"/>
        </w:rPr>
        <w:t>=</w:t>
      </w:r>
      <w:r>
        <w:rPr>
          <w:rFonts w:eastAsia="Times New Roman" w:cs="Arial"/>
        </w:rPr>
        <w:tab/>
        <w:t xml:space="preserve">Daily Guaranteed Fuel quantity in MMBtus </w:t>
      </w:r>
      <w:r>
        <w:rPr>
          <w:rFonts w:eastAsia="Times New Roman" w:cs="Arial"/>
          <w:w w:val="0"/>
        </w:rPr>
        <w:t>for energy delivered from Alternate Resources</w:t>
      </w:r>
      <w:r>
        <w:rPr>
          <w:rFonts w:eastAsia="Times New Roman" w:cs="Arial"/>
        </w:rPr>
        <w:t>.</w:t>
      </w:r>
    </w:p>
    <w:p w:rsidRPr="000057B0" w:rsidR="00575941" w:rsidP="006572EE" w:rsidRDefault="00506657" w14:paraId="7CA17ADB" w14:textId="1A047129">
      <w:pPr>
        <w:pStyle w:val="zGNormal"/>
        <w:rPr>
          <w:b/>
        </w:rPr>
      </w:pPr>
      <w:r>
        <w:t>The Daily Guaranteed Fuel (DGF) will be the sum of the Hourly MMBtus that would have been burned at the appropriate GHR in accordance with Exhibit F (</w:t>
      </w:r>
      <w:r>
        <w:rPr>
          <w:i/>
          <w:iCs/>
        </w:rPr>
        <w:t>Guaranteed Heat Rates</w:t>
      </w:r>
      <w:r>
        <w:t>) multiplied by the corresponding Hourly delivered energy in accordance with GPC’s Schedule, excluding ramping.</w:t>
      </w:r>
    </w:p>
    <w:p w:rsidRPr="000057B0" w:rsidR="00506657" w:rsidP="00A83954" w:rsidRDefault="00506657" w14:paraId="14704047" w14:textId="31F0C425">
      <w:pPr>
        <w:pStyle w:val="zGNormal"/>
        <w:rPr>
          <w:b/>
        </w:rPr>
      </w:pPr>
      <w:r>
        <w:t>If Seller is delivering from an Alternate Resource, the following equation would apply:</w:t>
      </w:r>
    </w:p>
    <w:p w:rsidRPr="000057B0" w:rsidR="00506657" w:rsidP="00506657" w:rsidRDefault="00506657" w14:paraId="315EAC66" w14:textId="77777777">
      <w:pPr>
        <w:tabs>
          <w:tab w:val="left" w:pos="720"/>
          <w:tab w:val="left" w:pos="1440"/>
          <w:tab w:val="left" w:pos="2160"/>
          <w:tab w:val="left" w:pos="2880"/>
        </w:tabs>
        <w:adjustRightInd w:val="0"/>
        <w:spacing w:before="0" w:after="0"/>
        <w:ind w:left="720"/>
        <w:textAlignment w:val="baseline"/>
        <w:rPr>
          <w:rFonts w:eastAsia="Times New Roman" w:cs="Arial"/>
        </w:rPr>
      </w:pPr>
    </w:p>
    <w:p w:rsidRPr="000A1044" w:rsidR="00506657" w:rsidP="00506657" w:rsidRDefault="00506657" w14:paraId="18089F45" w14:textId="77777777">
      <w:pPr>
        <w:keepNext/>
        <w:tabs>
          <w:tab w:val="left" w:pos="720"/>
          <w:tab w:val="left" w:pos="1440"/>
          <w:tab w:val="left" w:pos="2160"/>
          <w:tab w:val="left" w:pos="2880"/>
        </w:tabs>
        <w:adjustRightInd w:val="0"/>
        <w:spacing w:before="0" w:after="0"/>
        <w:ind w:left="1170" w:right="-1440"/>
        <w:textAlignment w:val="baseline"/>
        <w:rPr>
          <w:rFonts w:eastAsia="Times New Roman" w:cs="Arial"/>
          <w:lang w:val="de-DE"/>
        </w:rPr>
      </w:pPr>
      <w:r>
        <w:rPr>
          <w:rFonts w:eastAsia="Times New Roman" w:cs="Arial"/>
        </w:rPr>
        <w:tab/>
      </w:r>
      <w:r>
        <w:rPr>
          <w:rFonts w:eastAsia="Times New Roman" w:cs="Arial"/>
        </w:rPr>
        <w:tab/>
      </w:r>
      <w:r>
        <w:rPr>
          <w:b/>
          <w:lang w:val="de-DE"/>
        </w:rPr>
        <w:t>DGF</w:t>
      </w:r>
      <w:r>
        <w:rPr>
          <w:b/>
          <w:vertAlign w:val="subscript"/>
          <w:lang w:val="de-DE"/>
        </w:rPr>
        <w:t>GAS-AR</w:t>
      </w:r>
      <w:r>
        <w:rPr>
          <w:rFonts w:eastAsia="Times New Roman" w:cs="Arial"/>
          <w:lang w:val="de-DE"/>
        </w:rPr>
        <w:t xml:space="preserve"> = </w:t>
      </w:r>
      <w:r>
        <w:rPr>
          <w:rFonts w:eastAsia="Times New Roman" w:cs="Arial"/>
          <w:lang w:val="de-DE"/>
        </w:rPr>
        <w:tab/>
        <w:t>å [(GHR</w:t>
      </w:r>
      <w:r>
        <w:rPr>
          <w:rFonts w:eastAsia="Times New Roman" w:cs="Arial"/>
          <w:vertAlign w:val="subscript"/>
          <w:lang w:val="de-DE"/>
        </w:rPr>
        <w:t>GAS hr 1</w:t>
      </w:r>
      <w:r>
        <w:rPr>
          <w:rFonts w:eastAsia="Times New Roman" w:cs="Arial"/>
          <w:lang w:val="de-DE"/>
        </w:rPr>
        <w:t>*SE</w:t>
      </w:r>
      <w:r>
        <w:rPr>
          <w:rFonts w:eastAsia="Times New Roman" w:cs="Arial"/>
          <w:vertAlign w:val="subscript"/>
          <w:lang w:val="de-DE"/>
        </w:rPr>
        <w:t xml:space="preserve"> GAS-AR hr 1</w:t>
      </w:r>
      <w:r>
        <w:rPr>
          <w:rFonts w:eastAsia="Times New Roman" w:cs="Arial"/>
          <w:lang w:val="de-DE"/>
        </w:rPr>
        <w:t>)…(GHR</w:t>
      </w:r>
      <w:r>
        <w:rPr>
          <w:rFonts w:eastAsia="Times New Roman" w:cs="Arial"/>
          <w:vertAlign w:val="subscript"/>
          <w:lang w:val="de-DE"/>
        </w:rPr>
        <w:t>GAS hr N</w:t>
      </w:r>
      <w:r>
        <w:rPr>
          <w:rFonts w:eastAsia="Times New Roman" w:cs="Arial"/>
          <w:lang w:val="de-DE"/>
        </w:rPr>
        <w:t>*</w:t>
      </w:r>
    </w:p>
    <w:p w:rsidRPr="000A1044" w:rsidR="00506657" w:rsidP="00C96DC5" w:rsidRDefault="00506657" w14:paraId="3F237121" w14:textId="013D5015">
      <w:pPr>
        <w:keepNext/>
        <w:tabs>
          <w:tab w:val="left" w:pos="720"/>
          <w:tab w:val="left" w:pos="1440"/>
          <w:tab w:val="left" w:pos="2160"/>
          <w:tab w:val="left" w:pos="2880"/>
        </w:tabs>
        <w:adjustRightInd w:val="0"/>
        <w:spacing w:before="0" w:after="0"/>
        <w:ind w:left="1170" w:right="-1440"/>
        <w:textAlignment w:val="baseline"/>
        <w:rPr>
          <w:rFonts w:eastAsia="Times New Roman" w:cs="Arial"/>
          <w:lang w:val="de-DE"/>
        </w:rPr>
      </w:pPr>
      <w:r>
        <w:rPr>
          <w:rFonts w:eastAsia="Times New Roman" w:cs="Arial"/>
          <w:lang w:val="de-DE"/>
        </w:rPr>
        <w:tab/>
      </w:r>
      <w:r>
        <w:rPr>
          <w:rFonts w:eastAsia="Times New Roman" w:cs="Arial"/>
          <w:lang w:val="de-DE"/>
        </w:rPr>
        <w:tab/>
      </w:r>
      <w:r>
        <w:rPr>
          <w:rFonts w:eastAsia="Times New Roman" w:cs="Arial"/>
          <w:lang w:val="de-DE"/>
        </w:rPr>
        <w:tab/>
      </w:r>
      <w:r>
        <w:rPr>
          <w:rFonts w:eastAsia="Times New Roman" w:cs="Arial"/>
          <w:lang w:val="de-DE"/>
        </w:rPr>
        <w:tab/>
        <w:t>SE</w:t>
      </w:r>
      <w:r>
        <w:rPr>
          <w:rFonts w:eastAsia="Times New Roman" w:cs="Arial"/>
          <w:vertAlign w:val="subscript"/>
          <w:lang w:val="de-DE"/>
        </w:rPr>
        <w:t xml:space="preserve"> GAS-AR hr N</w:t>
      </w:r>
      <w:r>
        <w:rPr>
          <w:rFonts w:eastAsia="Times New Roman" w:cs="Arial"/>
          <w:lang w:val="de-DE"/>
        </w:rPr>
        <w:t xml:space="preserve">)] </w:t>
      </w:r>
    </w:p>
    <w:p w:rsidRPr="00575941" w:rsidR="00506657" w:rsidP="00A83954" w:rsidRDefault="00506657" w14:paraId="4DB7CF16" w14:textId="4188E4A3">
      <w:pPr>
        <w:pStyle w:val="zGNormal"/>
        <w:rPr>
          <w:b/>
        </w:rPr>
      </w:pPr>
      <w:r>
        <w:t>The Daily Fuel Price ($/MMBtu) will be determined for a given Day in a Month as follows:</w:t>
      </w:r>
    </w:p>
    <w:p w:rsidRPr="00575941" w:rsidR="00506657" w:rsidP="00506657" w:rsidRDefault="00506657" w14:paraId="1F905F81" w14:textId="77777777">
      <w:pPr>
        <w:adjustRightInd w:val="0"/>
        <w:spacing w:before="0" w:after="0"/>
        <w:textAlignment w:val="baseline"/>
        <w:rPr>
          <w:rFonts w:eastAsia="Times New Roman" w:cs="Arial"/>
        </w:rPr>
      </w:pPr>
    </w:p>
    <w:p w:rsidRPr="00575941" w:rsidR="00506657" w:rsidP="00CF5706" w:rsidRDefault="00506657" w14:paraId="00AC898C" w14:textId="7877AE55">
      <w:pPr>
        <w:adjustRightInd w:val="0"/>
        <w:spacing w:before="0" w:after="0"/>
        <w:ind w:left="3456" w:hanging="1152"/>
        <w:textAlignment w:val="baseline"/>
        <w:rPr>
          <w:rFonts w:eastAsia="Times New Roman" w:cs="Arial"/>
        </w:rPr>
      </w:pPr>
      <w:r>
        <w:rPr>
          <w:b/>
          <w:w w:val="0"/>
        </w:rPr>
        <w:t>DFP</w:t>
      </w:r>
      <w:r>
        <w:rPr>
          <w:b/>
          <w:vertAlign w:val="subscript"/>
        </w:rPr>
        <w:t>GAS-AR</w:t>
      </w:r>
      <w:r>
        <w:rPr>
          <w:rFonts w:eastAsia="Times New Roman" w:cs="Arial"/>
        </w:rPr>
        <w:t xml:space="preserve"> =</w:t>
      </w:r>
      <w:r>
        <w:rPr>
          <w:rFonts w:eastAsia="Times New Roman" w:cs="Arial"/>
        </w:rPr>
        <w:tab/>
      </w:r>
      <w:r>
        <w:rPr>
          <w:rFonts w:eastAsia="MS Mincho" w:cs="Arial"/>
          <w:w w:val="0"/>
        </w:rPr>
        <w:t xml:space="preserve">The Gas Day’s “Gas Daily” midpoint price for its Daily Price Survey for </w:t>
      </w:r>
      <w:r>
        <w:rPr>
          <w:rFonts w:eastAsia="Times New Roman" w:cs="Arial"/>
          <w:highlight w:val="yellow"/>
        </w:rPr>
        <w:t>#PriceSnapshotReference</w:t>
      </w:r>
      <w:r>
        <w:rPr>
          <w:rFonts w:eastAsia="Times New Roman" w:cs="Arial"/>
        </w:rPr>
        <w:t xml:space="preserve"> (</w:t>
      </w:r>
      <w:r>
        <w:rPr>
          <w:rFonts w:eastAsia="Times New Roman" w:cs="Arial"/>
          <w:i/>
        </w:rPr>
        <w:t>e.g., Louisiana – Onshore South, Sonat)</w:t>
      </w:r>
      <w:r>
        <w:rPr>
          <w:rFonts w:eastAsia="Times New Roman" w:cs="Arial"/>
        </w:rPr>
        <w:t xml:space="preserve">  </w:t>
      </w:r>
    </w:p>
    <w:p w:rsidRPr="00F10071" w:rsidR="00506657" w:rsidP="00506657" w:rsidRDefault="00506657" w14:paraId="76255D61" w14:textId="77777777">
      <w:pPr>
        <w:keepNext/>
        <w:tabs>
          <w:tab w:val="left" w:pos="720"/>
          <w:tab w:val="left" w:pos="1440"/>
          <w:tab w:val="left" w:pos="2160"/>
          <w:tab w:val="left" w:pos="2880"/>
        </w:tabs>
        <w:adjustRightInd w:val="0"/>
        <w:spacing w:before="0" w:after="0"/>
        <w:ind w:left="1170" w:right="-1440"/>
        <w:textAlignment w:val="baseline"/>
        <w:rPr>
          <w:rFonts w:eastAsia="Times New Roman" w:cs="Arial"/>
        </w:rPr>
      </w:pPr>
    </w:p>
    <w:p w:rsidRPr="00F10071" w:rsidR="00506657" w:rsidP="00506657" w:rsidRDefault="00506657" w14:paraId="127C41D0" w14:textId="77777777">
      <w:pPr>
        <w:tabs>
          <w:tab w:val="left" w:pos="0"/>
          <w:tab w:val="left" w:pos="1440"/>
          <w:tab w:val="left" w:pos="2160"/>
          <w:tab w:val="left" w:pos="3420"/>
        </w:tabs>
        <w:adjustRightInd w:val="0"/>
        <w:spacing w:before="0" w:after="0" w:line="360" w:lineRule="atLeast"/>
        <w:ind w:left="1440" w:hanging="1440"/>
        <w:textAlignment w:val="baseline"/>
        <w:rPr>
          <w:rFonts w:eastAsia="Times New Roman" w:cs="Arial"/>
        </w:rPr>
      </w:pPr>
      <w:r>
        <w:rPr>
          <w:rFonts w:eastAsia="Times New Roman" w:cs="Arial"/>
        </w:rPr>
        <w:tab/>
      </w:r>
    </w:p>
    <w:p w:rsidRPr="00F10071" w:rsidR="00506657" w:rsidP="00506657" w:rsidRDefault="00506657" w14:paraId="43F5730C" w14:textId="77777777">
      <w:pPr>
        <w:tabs>
          <w:tab w:val="left" w:pos="-1800"/>
          <w:tab w:val="left" w:pos="0"/>
        </w:tabs>
        <w:adjustRightInd w:val="0"/>
        <w:spacing w:before="0" w:after="0"/>
        <w:ind w:left="2880" w:hanging="1440"/>
        <w:textAlignment w:val="baseline"/>
        <w:rPr>
          <w:rFonts w:eastAsia="MS Mincho" w:cs="Arial"/>
          <w:w w:val="0"/>
        </w:rPr>
      </w:pPr>
      <w:r>
        <w:rPr>
          <w:rFonts w:eastAsia="Times New Roman" w:cs="Arial"/>
        </w:rPr>
        <w:tab/>
      </w:r>
    </w:p>
    <w:p w:rsidRPr="00F10071" w:rsidR="00506657" w:rsidP="00506657" w:rsidRDefault="00506657" w14:paraId="3A4B6CD3" w14:textId="77777777">
      <w:pPr>
        <w:suppressAutoHyphens/>
        <w:adjustRightInd w:val="0"/>
        <w:spacing w:before="0" w:after="240"/>
        <w:ind w:left="720"/>
        <w:textAlignment w:val="baseline"/>
        <w:rPr>
          <w:rFonts w:eastAsia="Times New Roman" w:cs="Arial"/>
        </w:rPr>
        <w:sectPr w:rsidRPr="00F10071" w:rsidR="00506657" w:rsidSect="005B310E">
          <w:headerReference w:type="default" r:id="rId35"/>
          <w:footerReference w:type="default" r:id="rId36"/>
          <w:pgSz w:w="12240" w:h="15840" w:code="1"/>
          <w:pgMar w:top="1440" w:right="1440" w:bottom="1440" w:left="1440" w:header="720" w:footer="720" w:gutter="0"/>
          <w:paperSrc w:first="15" w:other="15"/>
          <w:cols w:space="1440"/>
        </w:sectPr>
      </w:pPr>
    </w:p>
    <w:p w:rsidRPr="00F10071" w:rsidR="00506657" w:rsidP="00F63FC9" w:rsidRDefault="00517474" w14:paraId="7A9AAFD8" w14:textId="372B99A3">
      <w:pPr>
        <w:pStyle w:val="zGTitleExhibit"/>
        <w:rPr>
          <w:rFonts w:cs="Arial"/>
        </w:rPr>
      </w:pPr>
      <w:bookmarkStart w:name="_Toc212473095" w:id="451"/>
      <w:bookmarkStart w:name="_Toc227840791" w:id="452"/>
      <w:r>
        <w:rPr>
          <w:rFonts w:cs="Arial"/>
        </w:rPr>
        <w:lastRenderedPageBreak/>
        <w:t>Exhibit D – Technical Limits and Schedule Procedures</w:t>
      </w:r>
      <w:bookmarkEnd w:id="451"/>
      <w:bookmarkEnd w:id="452"/>
      <w:r>
        <w:rPr>
          <w:rFonts w:cs="Arial"/>
          <w:b w:val="0"/>
        </w:rPr>
        <w:t xml:space="preserve"> </w:t>
      </w:r>
    </w:p>
    <w:p w:rsidRPr="00E37DA1" w:rsidR="00506657" w:rsidP="00506657" w:rsidRDefault="00506657" w14:paraId="3B81A495" w14:textId="64AC37BA">
      <w:pPr>
        <w:adjustRightInd w:val="0"/>
        <w:spacing w:before="0" w:after="240"/>
        <w:textAlignment w:val="baseline"/>
        <w:rPr>
          <w:rFonts w:eastAsia="Times New Roman" w:cs="Arial"/>
          <w:b/>
          <w:iCs/>
        </w:rPr>
      </w:pPr>
      <w:r>
        <w:rPr>
          <w:rFonts w:eastAsia="Times New Roman" w:cs="Arial"/>
          <w:b/>
          <w:iCs/>
          <w:highlight w:val="cyan"/>
        </w:rPr>
        <w:t>[</w:t>
      </w:r>
      <w:r>
        <w:rPr>
          <w:b/>
          <w:bCs/>
          <w:i/>
          <w:iCs/>
          <w:highlight w:val="cyan"/>
          <w:u w:val="single"/>
        </w:rPr>
        <w:t>Note to Bidders</w:t>
      </w:r>
      <w:r>
        <w:rPr>
          <w:rFonts w:eastAsia="Times New Roman" w:cs="Arial"/>
          <w:b/>
          <w:i/>
          <w:iCs/>
          <w:highlight w:val="cyan"/>
        </w:rPr>
        <w:t>: The following is based on one manufacturer’s recommendations. To the extent that bidders are proposing technology from another manufacturer, bidder should propose values consistent with such other manufacturer’s recommendations.</w:t>
      </w:r>
      <w:r>
        <w:rPr>
          <w:rFonts w:eastAsia="Times New Roman" w:cs="Arial"/>
          <w:b/>
          <w:iCs/>
          <w:highlight w:val="cyan"/>
        </w:rPr>
        <w:t>]</w:t>
      </w:r>
    </w:p>
    <w:p w:rsidRPr="00E37DA1" w:rsidR="00506657" w:rsidP="004206E0" w:rsidRDefault="00506657" w14:paraId="7793C57D" w14:textId="71F99AE1">
      <w:pPr>
        <w:pStyle w:val="zG01"/>
        <w:numPr>
          <w:ilvl w:val="0"/>
          <w:numId w:val="16"/>
        </w:numPr>
      </w:pPr>
      <w:r>
        <w:t>Technical Limits</w:t>
      </w:r>
    </w:p>
    <w:p w:rsidRPr="005F32FE" w:rsidR="00506657" w:rsidP="00B5598B" w:rsidRDefault="00506657" w14:paraId="1E016188" w14:textId="2267F6FB">
      <w:pPr>
        <w:pStyle w:val="zG02"/>
      </w:pPr>
      <w:r>
        <w:rPr>
          <w:b/>
        </w:rPr>
        <w:t xml:space="preserve">General Requirements. </w:t>
      </w:r>
      <w:r>
        <w:t>Subject to the Technical Limits set forth in Sections 1.2 (</w:t>
      </w:r>
      <w:r>
        <w:rPr>
          <w:i/>
          <w:iCs/>
        </w:rPr>
        <w:t>Minimum Capacity Limits / Net Output)</w:t>
      </w:r>
      <w:r>
        <w:t>, 1.3 (</w:t>
      </w:r>
      <w:r>
        <w:rPr>
          <w:i/>
          <w:iCs/>
        </w:rPr>
        <w:t>Maximum Ramp Rates</w:t>
      </w:r>
      <w:r>
        <w:t>), 1.4 (</w:t>
      </w:r>
      <w:r>
        <w:rPr>
          <w:i/>
          <w:iCs/>
        </w:rPr>
        <w:t>Minimum Schedule and Minimum Down Times</w:t>
      </w:r>
      <w:r>
        <w:t>), 1.5 (</w:t>
      </w:r>
      <w:r>
        <w:rPr>
          <w:i/>
          <w:iCs/>
        </w:rPr>
        <w:t>Starts</w:t>
      </w:r>
      <w:r>
        <w:t>), and 1.6 (</w:t>
      </w:r>
      <w:r>
        <w:rPr>
          <w:i/>
          <w:iCs/>
        </w:rPr>
        <w:t>Required Startup Notification</w:t>
      </w:r>
      <w:r>
        <w:t xml:space="preserve">), the Facility must be capable of meeting GPC’s Schedules at all times during the Term following the Delivery Commencement Date, twenty-four Hours per Day, seven Days per week. Seller may propose modifications or changes to the Technical Limits based on specifications and recommendations, as may be modified during the Term, of the equipment manufacturers of the CT and CT generator, steam turbine and steam turbine generator, and HRSG so long as: (i) any modifications or changes that in GPC’s sole judgment may adversely affect GPC’s Scheduling flexibility (including without limitation, magnitude, duration and response time) under this PPA will be subject to the prior written approval of GPC’s Operating Representative; and (ii) in the event such changes limit GPC’s Scheduling flexibility more than the limits as set forth in this Exhibit D, Seller must make commercially reasonable efforts to minimize the effect of any equipment manufacturer’s specifications or recommendations on Seller’s ability to deliver energy in response to GPC’s Schedules. The Parties will develop procedures for the testing contemplated in this Exhibit D, but reasonable demonstration of the capabilities from prior testing or operation may be used instead. </w:t>
      </w:r>
    </w:p>
    <w:p w:rsidRPr="008A1CF0" w:rsidR="00506657" w:rsidP="003A2897" w:rsidRDefault="00506657" w14:paraId="53D14645" w14:textId="3DE2BA1B">
      <w:pPr>
        <w:pStyle w:val="zG02"/>
        <w:rPr>
          <w:b/>
        </w:rPr>
      </w:pPr>
      <w:r>
        <w:rPr>
          <w:b/>
          <w:bCs/>
        </w:rPr>
        <w:t>Minimum Capacity Limits / Net Output.</w:t>
      </w:r>
      <w:r>
        <w:t xml:space="preserve"> Minimum output level will be established at the Minimum Capacity. The Facility is estimated to have a minimum output level of approximately </w:t>
      </w:r>
      <w:r>
        <w:rPr>
          <w:highlight w:val="yellow"/>
        </w:rPr>
        <w:t>#Number MW</w:t>
      </w:r>
      <w:r>
        <w:t xml:space="preserve"> with one CT operating (“Minimum Capacity</w:t>
      </w:r>
      <w:r>
        <w:rPr>
          <w:vertAlign w:val="subscript"/>
        </w:rPr>
        <w:t>1-on-1</w:t>
      </w:r>
      <w:r>
        <w:t xml:space="preserve">”) and </w:t>
      </w:r>
      <w:r>
        <w:rPr>
          <w:highlight w:val="yellow"/>
        </w:rPr>
        <w:t>#Number MW</w:t>
      </w:r>
      <w:r>
        <w:t xml:space="preserve"> with two CTs operating (“Minimum Capacity</w:t>
      </w:r>
      <w:r>
        <w:rPr>
          <w:vertAlign w:val="subscript"/>
        </w:rPr>
        <w:t>2-on-1</w:t>
      </w:r>
      <w:r>
        <w:t>”), subject to emissions limitations and ambient conditions.</w:t>
      </w:r>
    </w:p>
    <w:p w:rsidRPr="008A1CF0" w:rsidR="00506657" w:rsidP="003A2897" w:rsidRDefault="00506657" w14:paraId="6F6EE84B" w14:textId="473D4358">
      <w:pPr>
        <w:pStyle w:val="zG02"/>
      </w:pPr>
      <w:r>
        <w:rPr>
          <w:b/>
          <w:bCs/>
        </w:rPr>
        <w:t>Maximum Ramp Rates.</w:t>
      </w:r>
      <w:r>
        <w:t xml:space="preserve"> Maximum Ramp Rates are as specified in the following table:</w:t>
      </w:r>
    </w:p>
    <w:p w:rsidRPr="00F10071" w:rsidR="00506657" w:rsidP="00506657" w:rsidRDefault="00506657" w14:paraId="0CD2786A" w14:textId="77777777">
      <w:pPr>
        <w:adjustRightInd w:val="0"/>
        <w:spacing w:before="0" w:after="0" w:line="360" w:lineRule="atLeast"/>
        <w:textAlignment w:val="baseline"/>
        <w:rPr>
          <w:rFonts w:eastAsia="Times New Roman" w:cs="Arial"/>
        </w:rPr>
      </w:pPr>
    </w:p>
    <w:tbl>
      <w:tblPr>
        <w:tblW w:w="0" w:type="auto"/>
        <w:tblInd w:w="15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3078"/>
        <w:gridCol w:w="1530"/>
        <w:gridCol w:w="1620"/>
      </w:tblGrid>
      <w:tr w:rsidRPr="00F10071" w:rsidR="007141B9" w:rsidTr="007B5062" w14:paraId="302D6CA1" w14:textId="77777777">
        <w:tc>
          <w:tcPr>
            <w:tcW w:w="6228" w:type="dxa"/>
            <w:gridSpan w:val="3"/>
            <w:shd w:val="clear" w:color="auto" w:fill="D9D9D9" w:themeFill="background1" w:themeFillShade="D9"/>
          </w:tcPr>
          <w:p w:rsidRPr="008A1CF0" w:rsidR="007141B9" w:rsidP="00506657" w:rsidRDefault="007B5062" w14:paraId="2CC58288" w14:textId="0A25D848">
            <w:pPr>
              <w:adjustRightInd w:val="0"/>
              <w:spacing w:before="0" w:after="0" w:line="360" w:lineRule="atLeast"/>
              <w:jc w:val="center"/>
              <w:textAlignment w:val="baseline"/>
              <w:rPr>
                <w:rFonts w:eastAsia="Times New Roman" w:cs="Arial"/>
                <w:b/>
                <w:bCs/>
                <w:lang w:val="fr-FR"/>
              </w:rPr>
            </w:pPr>
            <w:r>
              <w:rPr>
                <w:rFonts w:eastAsia="Times New Roman" w:cs="Arial"/>
                <w:b/>
                <w:bCs/>
                <w:lang w:val="fr-FR"/>
              </w:rPr>
              <w:t>Maximum Ramp Rates Table</w:t>
            </w:r>
          </w:p>
        </w:tc>
      </w:tr>
      <w:tr w:rsidRPr="00F10071" w:rsidR="00506657" w:rsidTr="007B5062" w14:paraId="3112A6D6" w14:textId="77777777">
        <w:tc>
          <w:tcPr>
            <w:tcW w:w="3078" w:type="dxa"/>
            <w:shd w:val="clear" w:color="auto" w:fill="F2F2F2" w:themeFill="background1" w:themeFillShade="F2"/>
          </w:tcPr>
          <w:p w:rsidRPr="008A1CF0" w:rsidR="00506657" w:rsidP="00506657" w:rsidRDefault="00506657" w14:paraId="01623508" w14:textId="77777777">
            <w:pPr>
              <w:adjustRightInd w:val="0"/>
              <w:spacing w:before="0" w:after="0" w:line="360" w:lineRule="atLeast"/>
              <w:textAlignment w:val="baseline"/>
              <w:rPr>
                <w:rFonts w:eastAsia="Times New Roman" w:cs="Arial"/>
                <w:b/>
                <w:bCs/>
              </w:rPr>
            </w:pPr>
            <w:r>
              <w:rPr>
                <w:rFonts w:eastAsia="Times New Roman" w:cs="Arial"/>
                <w:b/>
                <w:bCs/>
              </w:rPr>
              <w:t>Max Ramp Rate</w:t>
            </w:r>
          </w:p>
        </w:tc>
        <w:tc>
          <w:tcPr>
            <w:tcW w:w="1530" w:type="dxa"/>
            <w:shd w:val="clear" w:color="auto" w:fill="F2F2F2" w:themeFill="background1" w:themeFillShade="F2"/>
          </w:tcPr>
          <w:p w:rsidRPr="008A1CF0" w:rsidR="00506657" w:rsidP="00506657" w:rsidRDefault="00506657" w14:paraId="2F992210" w14:textId="77777777">
            <w:pPr>
              <w:adjustRightInd w:val="0"/>
              <w:spacing w:before="0" w:after="0" w:line="360" w:lineRule="atLeast"/>
              <w:jc w:val="center"/>
              <w:textAlignment w:val="baseline"/>
              <w:rPr>
                <w:rFonts w:eastAsia="Times New Roman" w:cs="Arial"/>
                <w:b/>
                <w:bCs/>
                <w:lang w:val="fr-FR"/>
              </w:rPr>
            </w:pPr>
            <w:r>
              <w:rPr>
                <w:rFonts w:eastAsia="Times New Roman" w:cs="Arial"/>
                <w:b/>
                <w:bCs/>
                <w:lang w:val="fr-FR"/>
              </w:rPr>
              <w:t>Base *</w:t>
            </w:r>
          </w:p>
          <w:p w:rsidRPr="008A1CF0" w:rsidR="00506657" w:rsidP="00506657" w:rsidRDefault="00506657" w14:paraId="20BC9575" w14:textId="77777777">
            <w:pPr>
              <w:adjustRightInd w:val="0"/>
              <w:spacing w:before="0" w:after="0" w:line="360" w:lineRule="atLeast"/>
              <w:jc w:val="center"/>
              <w:textAlignment w:val="baseline"/>
              <w:rPr>
                <w:rFonts w:eastAsia="Times New Roman" w:cs="Arial"/>
                <w:b/>
                <w:bCs/>
                <w:lang w:val="fr-FR"/>
              </w:rPr>
            </w:pPr>
            <w:r>
              <w:rPr>
                <w:rFonts w:eastAsia="Times New Roman" w:cs="Arial"/>
                <w:b/>
                <w:bCs/>
                <w:lang w:val="fr-FR"/>
              </w:rPr>
              <w:t>MW/minute</w:t>
            </w:r>
          </w:p>
        </w:tc>
        <w:tc>
          <w:tcPr>
            <w:tcW w:w="1620" w:type="dxa"/>
            <w:shd w:val="clear" w:color="auto" w:fill="F2F2F2" w:themeFill="background1" w:themeFillShade="F2"/>
          </w:tcPr>
          <w:p w:rsidRPr="008A1CF0" w:rsidR="00506657" w:rsidP="00506657" w:rsidRDefault="00167470" w14:paraId="7DBE8015" w14:textId="0B0E7963">
            <w:pPr>
              <w:adjustRightInd w:val="0"/>
              <w:spacing w:before="0" w:after="0" w:line="360" w:lineRule="atLeast"/>
              <w:jc w:val="center"/>
              <w:textAlignment w:val="baseline"/>
              <w:rPr>
                <w:rFonts w:eastAsia="Times New Roman" w:cs="Arial"/>
                <w:b/>
                <w:bCs/>
                <w:lang w:val="fr-FR"/>
              </w:rPr>
            </w:pPr>
            <w:r>
              <w:rPr>
                <w:rFonts w:eastAsia="Times New Roman" w:cs="Arial"/>
                <w:b/>
                <w:bCs/>
                <w:lang w:val="fr-FR"/>
              </w:rPr>
              <w:t>Supplemental</w:t>
            </w:r>
          </w:p>
          <w:p w:rsidRPr="008A1CF0" w:rsidR="00506657" w:rsidP="00506657" w:rsidRDefault="00506657" w14:paraId="10448E45" w14:textId="77777777">
            <w:pPr>
              <w:adjustRightInd w:val="0"/>
              <w:spacing w:before="0" w:after="0" w:line="360" w:lineRule="atLeast"/>
              <w:jc w:val="center"/>
              <w:textAlignment w:val="baseline"/>
              <w:rPr>
                <w:rFonts w:eastAsia="Times New Roman" w:cs="Arial"/>
                <w:b/>
                <w:bCs/>
                <w:lang w:val="fr-FR"/>
              </w:rPr>
            </w:pPr>
            <w:r>
              <w:rPr>
                <w:rFonts w:eastAsia="Times New Roman" w:cs="Arial"/>
                <w:b/>
                <w:bCs/>
                <w:lang w:val="fr-FR"/>
              </w:rPr>
              <w:t>MW/minute</w:t>
            </w:r>
          </w:p>
        </w:tc>
      </w:tr>
      <w:tr w:rsidRPr="00F10071" w:rsidR="00506657" w:rsidTr="00E55203" w14:paraId="24889DD5" w14:textId="77777777">
        <w:tc>
          <w:tcPr>
            <w:tcW w:w="3078" w:type="dxa"/>
            <w:vAlign w:val="center"/>
          </w:tcPr>
          <w:p w:rsidRPr="00F10071" w:rsidR="00506657" w:rsidP="00506657" w:rsidRDefault="00506657" w14:paraId="33973B4E" w14:textId="77777777">
            <w:pPr>
              <w:adjustRightInd w:val="0"/>
              <w:spacing w:before="0" w:after="0" w:line="360" w:lineRule="atLeast"/>
              <w:textAlignment w:val="baseline"/>
              <w:rPr>
                <w:rFonts w:eastAsia="Times New Roman" w:cs="Arial"/>
              </w:rPr>
            </w:pPr>
            <w:r>
              <w:rPr>
                <w:rFonts w:eastAsia="Times New Roman" w:cs="Arial"/>
              </w:rPr>
              <w:t>One (1) CT/G On-line</w:t>
            </w:r>
          </w:p>
          <w:p w:rsidRPr="00F10071" w:rsidR="00506657" w:rsidP="00506657" w:rsidRDefault="00506657" w14:paraId="4BCAF7D3" w14:textId="77777777">
            <w:pPr>
              <w:adjustRightInd w:val="0"/>
              <w:spacing w:before="0" w:after="0" w:line="360" w:lineRule="atLeast"/>
              <w:textAlignment w:val="baseline"/>
              <w:rPr>
                <w:rFonts w:eastAsia="Times New Roman" w:cs="Arial"/>
              </w:rPr>
            </w:pPr>
          </w:p>
        </w:tc>
        <w:tc>
          <w:tcPr>
            <w:tcW w:w="1530" w:type="dxa"/>
            <w:vAlign w:val="center"/>
          </w:tcPr>
          <w:p w:rsidRPr="00F10071" w:rsidR="00506657" w:rsidP="00506657" w:rsidRDefault="005B3008" w14:paraId="44924759" w14:textId="57F3B57F">
            <w:pPr>
              <w:adjustRightInd w:val="0"/>
              <w:spacing w:before="0" w:after="0" w:line="360" w:lineRule="atLeast"/>
              <w:jc w:val="center"/>
              <w:textAlignment w:val="baseline"/>
              <w:rPr>
                <w:rFonts w:eastAsia="Times New Roman" w:cs="Arial"/>
              </w:rPr>
            </w:pPr>
            <w:r>
              <w:rPr>
                <w:rFonts w:eastAsia="Times New Roman" w:cs="Arial"/>
                <w:highlight w:val="yellow"/>
              </w:rPr>
              <w:t>#AddValue</w:t>
            </w:r>
          </w:p>
        </w:tc>
        <w:tc>
          <w:tcPr>
            <w:tcW w:w="1620" w:type="dxa"/>
            <w:vAlign w:val="center"/>
          </w:tcPr>
          <w:p w:rsidRPr="00F10071" w:rsidR="00506657" w:rsidP="00506657" w:rsidRDefault="00506657" w14:paraId="3AC7F82D" w14:textId="77777777">
            <w:pPr>
              <w:adjustRightInd w:val="0"/>
              <w:spacing w:before="0" w:after="0" w:line="360" w:lineRule="atLeast"/>
              <w:jc w:val="center"/>
              <w:textAlignment w:val="baseline"/>
              <w:rPr>
                <w:rFonts w:eastAsia="Times New Roman" w:cs="Arial"/>
              </w:rPr>
            </w:pPr>
            <w:r>
              <w:rPr>
                <w:rFonts w:eastAsia="Times New Roman" w:cs="Arial"/>
              </w:rPr>
              <w:t>**</w:t>
            </w:r>
          </w:p>
        </w:tc>
      </w:tr>
      <w:tr w:rsidRPr="00F10071" w:rsidR="00506657" w:rsidTr="00E55203" w14:paraId="380C495D" w14:textId="77777777">
        <w:tc>
          <w:tcPr>
            <w:tcW w:w="3078" w:type="dxa"/>
            <w:vAlign w:val="center"/>
          </w:tcPr>
          <w:p w:rsidRPr="00F10071" w:rsidR="00506657" w:rsidP="00506657" w:rsidRDefault="00506657" w14:paraId="281BB2CC" w14:textId="77777777">
            <w:pPr>
              <w:adjustRightInd w:val="0"/>
              <w:spacing w:before="0" w:after="0" w:line="360" w:lineRule="atLeast"/>
              <w:textAlignment w:val="baseline"/>
              <w:rPr>
                <w:rFonts w:eastAsia="Times New Roman" w:cs="Arial"/>
              </w:rPr>
            </w:pPr>
            <w:r>
              <w:rPr>
                <w:rFonts w:eastAsia="Times New Roman" w:cs="Arial"/>
              </w:rPr>
              <w:t>Two (2) CT/G On-line</w:t>
            </w:r>
          </w:p>
          <w:p w:rsidRPr="00F10071" w:rsidR="00506657" w:rsidP="00506657" w:rsidRDefault="00506657" w14:paraId="49A6FB59" w14:textId="77777777">
            <w:pPr>
              <w:adjustRightInd w:val="0"/>
              <w:spacing w:before="0" w:after="0" w:line="360" w:lineRule="atLeast"/>
              <w:textAlignment w:val="baseline"/>
              <w:rPr>
                <w:rFonts w:eastAsia="Times New Roman" w:cs="Arial"/>
              </w:rPr>
            </w:pPr>
          </w:p>
        </w:tc>
        <w:tc>
          <w:tcPr>
            <w:tcW w:w="1530" w:type="dxa"/>
            <w:vAlign w:val="center"/>
          </w:tcPr>
          <w:p w:rsidRPr="00F10071" w:rsidR="00506657" w:rsidP="00506657" w:rsidRDefault="005B3008" w14:paraId="26056ADD" w14:textId="613D8320">
            <w:pPr>
              <w:adjustRightInd w:val="0"/>
              <w:spacing w:before="0" w:after="0" w:line="360" w:lineRule="atLeast"/>
              <w:jc w:val="center"/>
              <w:textAlignment w:val="baseline"/>
              <w:rPr>
                <w:rFonts w:eastAsia="Times New Roman" w:cs="Arial"/>
              </w:rPr>
            </w:pPr>
            <w:r>
              <w:rPr>
                <w:rFonts w:eastAsia="Times New Roman" w:cs="Arial"/>
                <w:highlight w:val="yellow"/>
              </w:rPr>
              <w:t>#AddValue</w:t>
            </w:r>
          </w:p>
        </w:tc>
        <w:tc>
          <w:tcPr>
            <w:tcW w:w="1620" w:type="dxa"/>
            <w:vAlign w:val="center"/>
          </w:tcPr>
          <w:p w:rsidRPr="00F10071" w:rsidR="00506657" w:rsidP="00506657" w:rsidRDefault="00506657" w14:paraId="38E1587B" w14:textId="77777777">
            <w:pPr>
              <w:adjustRightInd w:val="0"/>
              <w:spacing w:before="0" w:after="0" w:line="360" w:lineRule="atLeast"/>
              <w:jc w:val="center"/>
              <w:textAlignment w:val="baseline"/>
              <w:rPr>
                <w:rFonts w:eastAsia="Times New Roman" w:cs="Arial"/>
              </w:rPr>
            </w:pPr>
            <w:r>
              <w:rPr>
                <w:rFonts w:eastAsia="Times New Roman" w:cs="Arial"/>
              </w:rPr>
              <w:t>**</w:t>
            </w:r>
          </w:p>
        </w:tc>
      </w:tr>
    </w:tbl>
    <w:p w:rsidRPr="00F10071" w:rsidR="00E220D4" w:rsidP="00E220D4" w:rsidRDefault="00E220D4" w14:paraId="42BE7CEA" w14:textId="321105EC">
      <w:pPr>
        <w:adjustRightInd w:val="0"/>
        <w:spacing w:before="0" w:after="0"/>
        <w:ind w:left="1152"/>
        <w:textAlignment w:val="baseline"/>
        <w:rPr>
          <w:rFonts w:eastAsia="Times New Roman" w:cs="Arial"/>
        </w:rPr>
      </w:pPr>
      <w:r>
        <w:rPr>
          <w:rFonts w:eastAsia="Times New Roman" w:cs="Arial"/>
        </w:rPr>
        <w:t>* Maximum Ramp Rates based on a hot steam turbine condition; cold starts require steam turbine soak at various points during start-up sequence.</w:t>
      </w:r>
    </w:p>
    <w:p w:rsidRPr="00F10071" w:rsidR="00506657" w:rsidP="00042064" w:rsidRDefault="00E220D4" w14:paraId="422E2BCA" w14:textId="68BFD0AB">
      <w:pPr>
        <w:adjustRightInd w:val="0"/>
        <w:spacing w:before="0" w:after="240"/>
        <w:ind w:left="1152"/>
        <w:textAlignment w:val="baseline"/>
        <w:rPr>
          <w:rFonts w:eastAsia="Times New Roman" w:cs="Arial"/>
        </w:rPr>
      </w:pPr>
      <w:r>
        <w:rPr>
          <w:rFonts w:eastAsia="Times New Roman" w:cs="Arial"/>
        </w:rPr>
        <w:t>** Supplemental firing Maximum Ramp Rates will be determined by Performance Test.</w:t>
      </w:r>
    </w:p>
    <w:p w:rsidRPr="008A1CF0" w:rsidR="00506657" w:rsidP="003A2897" w:rsidRDefault="00506657" w14:paraId="7F307B35" w14:textId="527CEC4F">
      <w:pPr>
        <w:pStyle w:val="zG02"/>
      </w:pPr>
      <w:r>
        <w:rPr>
          <w:b/>
          <w:bCs/>
        </w:rPr>
        <w:t>Minimum Schedule and Minimum Down Times.</w:t>
      </w:r>
      <w:r>
        <w:t xml:space="preserve"> The minimum Schedule time for the Base Operating Mode is eight consecutive hours, but GPC has the right, not to exceed 30 times per Annual Period, to terminate a Schedule after four consecutive hours if the original Schedule was based upon a contemplated eight consecutive hours or more of continuous operation. Start-up and ramping will be accomplished before the Scheduled hours. The minimum run time for the Supplemental Operating Mode is two consecutive hours. Ramping to Supplemental Operating Mode will be accomplished before Scheduled hours. The minimum down time will be six hours, except that GPC will have the right not to exceed 12 times per Annual Period to call for a restart after less than six hours, only limited by the ramping capability of the Facility. Additionally, GPC will utilize the six-hour minimum down time constraint in the normal day-ahead unit commitment process.</w:t>
      </w:r>
    </w:p>
    <w:p w:rsidRPr="008A1CF0" w:rsidR="00506657" w:rsidP="00564EFD" w:rsidRDefault="00506657" w14:paraId="7826623E" w14:textId="41BF9910">
      <w:pPr>
        <w:pStyle w:val="zG02"/>
      </w:pPr>
      <w:r>
        <w:rPr>
          <w:b/>
          <w:bCs/>
        </w:rPr>
        <w:t>Starts.</w:t>
      </w:r>
      <w:r>
        <w:t xml:space="preserve"> The maximum number of turbine starts is one start per turbine per Day, except that GPC has the right to start one turbine (and HRSG) twice a Day not to exceed a total of 30 Days per Annual Period. Seller must </w:t>
      </w:r>
      <w:r>
        <w:lastRenderedPageBreak/>
        <w:t>make the Facility capable of operating in the 1-on-1 mode if technically feasible. Operating in 1-on-1 mode entails the ability to operate a single CT, one HRSG, and the steam turbine while the second CT is shutoff. Seller must make the Facility capable of, and GPC has the right to, in any one Day, start-up in the 2-on-1 mode and to cycle from 2-on-1 operation down to 1-on-1 mode and back up to 2-on-1 mode.</w:t>
      </w:r>
    </w:p>
    <w:p w:rsidRPr="008A1CF0" w:rsidR="00506657" w:rsidP="00564EFD" w:rsidRDefault="00506657" w14:paraId="07C9A9B8" w14:textId="5B3A6052">
      <w:pPr>
        <w:pStyle w:val="zG02"/>
      </w:pPr>
      <w:r>
        <w:rPr>
          <w:b/>
          <w:bCs/>
        </w:rPr>
        <w:t>Required Startup Notification.</w:t>
      </w:r>
      <w:r>
        <w:t xml:space="preserve"> Plant start times are as specified in the following table:</w:t>
      </w:r>
    </w:p>
    <w:p w:rsidRPr="00F10071" w:rsidR="00506657" w:rsidP="00506657" w:rsidRDefault="00506657" w14:paraId="5E809D88" w14:textId="77777777">
      <w:pPr>
        <w:adjustRightInd w:val="0"/>
        <w:spacing w:before="0" w:after="0"/>
        <w:textAlignment w:val="baseline"/>
        <w:rPr>
          <w:rFonts w:eastAsia="Times New Roman" w:cs="Arial"/>
        </w:rPr>
      </w:pPr>
    </w:p>
    <w:tbl>
      <w:tblPr>
        <w:tblW w:w="0" w:type="auto"/>
        <w:tblInd w:w="19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2335"/>
        <w:gridCol w:w="2161"/>
        <w:gridCol w:w="1861"/>
      </w:tblGrid>
      <w:tr w:rsidRPr="00F10071" w:rsidR="008A1CF0" w:rsidTr="008A1CF0" w14:paraId="2750E6A6" w14:textId="77777777">
        <w:tc>
          <w:tcPr>
            <w:tcW w:w="6357" w:type="dxa"/>
            <w:gridSpan w:val="3"/>
            <w:shd w:val="clear" w:color="auto" w:fill="D9D9D9" w:themeFill="background1" w:themeFillShade="D9"/>
          </w:tcPr>
          <w:p w:rsidRPr="00E37DA1" w:rsidR="008A1CF0" w:rsidP="00506657" w:rsidRDefault="008A1CF0" w14:paraId="51899CCB" w14:textId="4403D0F9">
            <w:pPr>
              <w:adjustRightInd w:val="0"/>
              <w:spacing w:before="0" w:after="0"/>
              <w:jc w:val="center"/>
              <w:textAlignment w:val="baseline"/>
              <w:rPr>
                <w:rFonts w:eastAsia="Times New Roman" w:cs="Arial"/>
                <w:b/>
                <w:bCs/>
              </w:rPr>
            </w:pPr>
            <w:r>
              <w:rPr>
                <w:rFonts w:eastAsia="Times New Roman" w:cs="Arial"/>
                <w:b/>
                <w:bCs/>
              </w:rPr>
              <w:t>Plant Start Times</w:t>
            </w:r>
          </w:p>
        </w:tc>
      </w:tr>
      <w:tr w:rsidRPr="00F10071" w:rsidR="00506657" w:rsidTr="008A1CF0" w14:paraId="68408831" w14:textId="77777777">
        <w:tc>
          <w:tcPr>
            <w:tcW w:w="2335" w:type="dxa"/>
            <w:shd w:val="clear" w:color="auto" w:fill="F2F2F2" w:themeFill="background1" w:themeFillShade="F2"/>
          </w:tcPr>
          <w:p w:rsidRPr="00E37DA1" w:rsidR="00506657" w:rsidP="00506657" w:rsidRDefault="00506657" w14:paraId="07285243" w14:textId="77777777">
            <w:pPr>
              <w:adjustRightInd w:val="0"/>
              <w:spacing w:before="0" w:after="0"/>
              <w:textAlignment w:val="baseline"/>
              <w:rPr>
                <w:rFonts w:eastAsia="Times New Roman" w:cs="Arial"/>
                <w:b/>
                <w:bCs/>
              </w:rPr>
            </w:pPr>
            <w:r>
              <w:rPr>
                <w:rFonts w:eastAsia="Times New Roman" w:cs="Arial"/>
                <w:b/>
                <w:bCs/>
              </w:rPr>
              <w:t>Start Classification</w:t>
            </w:r>
          </w:p>
          <w:p w:rsidRPr="00E37DA1" w:rsidR="00506657" w:rsidP="00506657" w:rsidRDefault="00506657" w14:paraId="30E87E60" w14:textId="77777777">
            <w:pPr>
              <w:adjustRightInd w:val="0"/>
              <w:spacing w:before="0" w:after="0"/>
              <w:textAlignment w:val="baseline"/>
              <w:rPr>
                <w:rFonts w:eastAsia="Times New Roman" w:cs="Arial"/>
                <w:b/>
                <w:bCs/>
              </w:rPr>
            </w:pPr>
            <w:r>
              <w:rPr>
                <w:rFonts w:eastAsia="Times New Roman" w:cs="Arial"/>
                <w:b/>
                <w:bCs/>
              </w:rPr>
              <w:t>(Off-line Hours)</w:t>
            </w:r>
          </w:p>
        </w:tc>
        <w:tc>
          <w:tcPr>
            <w:tcW w:w="2161" w:type="dxa"/>
            <w:shd w:val="clear" w:color="auto" w:fill="F2F2F2" w:themeFill="background1" w:themeFillShade="F2"/>
          </w:tcPr>
          <w:p w:rsidRPr="00E37DA1" w:rsidR="00506657" w:rsidP="00506657" w:rsidRDefault="00506657" w14:paraId="6244FEE4" w14:textId="77777777">
            <w:pPr>
              <w:adjustRightInd w:val="0"/>
              <w:spacing w:before="0" w:after="0"/>
              <w:jc w:val="center"/>
              <w:textAlignment w:val="baseline"/>
              <w:rPr>
                <w:rFonts w:eastAsia="Times New Roman" w:cs="Arial"/>
                <w:b/>
                <w:bCs/>
              </w:rPr>
            </w:pPr>
            <w:r>
              <w:rPr>
                <w:rFonts w:eastAsia="Times New Roman" w:cs="Arial"/>
                <w:b/>
                <w:bCs/>
              </w:rPr>
              <w:t>Start Time to Minimum (1)</w:t>
            </w:r>
          </w:p>
          <w:p w:rsidRPr="00E37DA1" w:rsidR="00506657" w:rsidP="00506657" w:rsidRDefault="00506657" w14:paraId="0BF35EC0" w14:textId="60286B75">
            <w:pPr>
              <w:adjustRightInd w:val="0"/>
              <w:spacing w:before="0" w:after="0"/>
              <w:jc w:val="center"/>
              <w:textAlignment w:val="baseline"/>
              <w:rPr>
                <w:rFonts w:eastAsia="Times New Roman" w:cs="Arial"/>
                <w:b/>
                <w:bCs/>
              </w:rPr>
            </w:pPr>
            <w:r>
              <w:rPr>
                <w:rFonts w:eastAsia="Times New Roman" w:cs="Arial"/>
                <w:b/>
                <w:bCs/>
              </w:rPr>
              <w:t>(Hours)</w:t>
            </w:r>
          </w:p>
        </w:tc>
        <w:tc>
          <w:tcPr>
            <w:tcW w:w="1861" w:type="dxa"/>
            <w:shd w:val="clear" w:color="auto" w:fill="F2F2F2" w:themeFill="background1" w:themeFillShade="F2"/>
          </w:tcPr>
          <w:p w:rsidRPr="00E37DA1" w:rsidR="00506657" w:rsidP="00506657" w:rsidRDefault="00506657" w14:paraId="1286B123" w14:textId="77777777">
            <w:pPr>
              <w:adjustRightInd w:val="0"/>
              <w:spacing w:before="0" w:after="0"/>
              <w:jc w:val="center"/>
              <w:textAlignment w:val="baseline"/>
              <w:rPr>
                <w:rFonts w:eastAsia="Times New Roman" w:cs="Arial"/>
                <w:b/>
                <w:bCs/>
              </w:rPr>
            </w:pPr>
            <w:r>
              <w:rPr>
                <w:rFonts w:eastAsia="Times New Roman" w:cs="Arial"/>
                <w:b/>
                <w:bCs/>
              </w:rPr>
              <w:t>Start Time to</w:t>
            </w:r>
          </w:p>
          <w:p w:rsidRPr="00E37DA1" w:rsidR="00506657" w:rsidP="00506657" w:rsidRDefault="00506657" w14:paraId="544646D5" w14:textId="77777777">
            <w:pPr>
              <w:adjustRightInd w:val="0"/>
              <w:spacing w:before="0" w:after="0"/>
              <w:jc w:val="center"/>
              <w:textAlignment w:val="baseline"/>
              <w:rPr>
                <w:rFonts w:eastAsia="Times New Roman" w:cs="Arial"/>
                <w:b/>
                <w:bCs/>
              </w:rPr>
            </w:pPr>
            <w:r>
              <w:rPr>
                <w:rFonts w:eastAsia="Times New Roman" w:cs="Arial"/>
                <w:b/>
                <w:bCs/>
              </w:rPr>
              <w:t>Full Load (1)</w:t>
            </w:r>
          </w:p>
          <w:p w:rsidRPr="00E37DA1" w:rsidR="00506657" w:rsidP="00506657" w:rsidRDefault="00506657" w14:paraId="27183F49" w14:textId="09AF5D85">
            <w:pPr>
              <w:adjustRightInd w:val="0"/>
              <w:spacing w:before="0" w:after="0"/>
              <w:jc w:val="center"/>
              <w:textAlignment w:val="baseline"/>
              <w:rPr>
                <w:rFonts w:eastAsia="Times New Roman" w:cs="Arial"/>
                <w:b/>
                <w:bCs/>
              </w:rPr>
            </w:pPr>
            <w:r>
              <w:rPr>
                <w:rFonts w:eastAsia="Times New Roman" w:cs="Arial"/>
                <w:b/>
                <w:bCs/>
              </w:rPr>
              <w:t>(Hours)</w:t>
            </w:r>
          </w:p>
        </w:tc>
      </w:tr>
      <w:tr w:rsidRPr="00F10071" w:rsidR="00506657" w:rsidTr="008A1CF0" w14:paraId="4AF26195" w14:textId="77777777">
        <w:tc>
          <w:tcPr>
            <w:tcW w:w="2335" w:type="dxa"/>
            <w:vAlign w:val="center"/>
          </w:tcPr>
          <w:p w:rsidRPr="00E37DA1" w:rsidR="00506657" w:rsidP="00506657" w:rsidRDefault="00506657" w14:paraId="0EB5B43E" w14:textId="77777777">
            <w:pPr>
              <w:adjustRightInd w:val="0"/>
              <w:spacing w:before="0" w:after="0"/>
              <w:textAlignment w:val="baseline"/>
              <w:rPr>
                <w:rFonts w:eastAsia="Times New Roman" w:cs="Arial"/>
                <w:b/>
                <w:bCs/>
              </w:rPr>
            </w:pPr>
            <w:r>
              <w:rPr>
                <w:rFonts w:eastAsia="Times New Roman" w:cs="Arial"/>
                <w:b/>
                <w:bCs/>
              </w:rPr>
              <w:t>Hot</w:t>
            </w:r>
          </w:p>
          <w:p w:rsidRPr="00E37DA1" w:rsidR="00506657" w:rsidP="00506657" w:rsidRDefault="00506657" w14:paraId="6BD06C56" w14:textId="27A36E04">
            <w:pPr>
              <w:adjustRightInd w:val="0"/>
              <w:spacing w:before="0" w:after="0"/>
              <w:textAlignment w:val="baseline"/>
              <w:rPr>
                <w:rFonts w:eastAsia="Times New Roman" w:cs="Arial"/>
                <w:b/>
                <w:bCs/>
              </w:rPr>
            </w:pPr>
            <w:r>
              <w:rPr>
                <w:rFonts w:eastAsia="Times New Roman" w:cs="Arial"/>
                <w:b/>
                <w:bCs/>
              </w:rPr>
              <w:t>(&lt; 8 Hours)</w:t>
            </w:r>
          </w:p>
        </w:tc>
        <w:tc>
          <w:tcPr>
            <w:tcW w:w="2161" w:type="dxa"/>
            <w:vAlign w:val="center"/>
          </w:tcPr>
          <w:p w:rsidRPr="00F10071" w:rsidR="00506657" w:rsidP="00506657" w:rsidRDefault="005B3008" w14:paraId="35D919D3" w14:textId="3A8DF350">
            <w:pPr>
              <w:adjustRightInd w:val="0"/>
              <w:spacing w:before="0" w:after="0"/>
              <w:jc w:val="center"/>
              <w:textAlignment w:val="baseline"/>
              <w:rPr>
                <w:rFonts w:eastAsia="Times New Roman" w:cs="Arial"/>
              </w:rPr>
            </w:pPr>
            <w:r>
              <w:rPr>
                <w:rFonts w:eastAsia="Times New Roman" w:cs="Arial"/>
                <w:highlight w:val="yellow"/>
              </w:rPr>
              <w:t>#AddValue</w:t>
            </w:r>
          </w:p>
        </w:tc>
        <w:tc>
          <w:tcPr>
            <w:tcW w:w="1861" w:type="dxa"/>
            <w:vAlign w:val="center"/>
          </w:tcPr>
          <w:p w:rsidRPr="00F10071" w:rsidR="00506657" w:rsidP="00506657" w:rsidRDefault="005B3008" w14:paraId="64C093C9" w14:textId="72BC167B">
            <w:pPr>
              <w:adjustRightInd w:val="0"/>
              <w:spacing w:before="0" w:after="0"/>
              <w:jc w:val="center"/>
              <w:textAlignment w:val="baseline"/>
              <w:rPr>
                <w:rFonts w:eastAsia="Times New Roman" w:cs="Arial"/>
              </w:rPr>
            </w:pPr>
            <w:r>
              <w:rPr>
                <w:rFonts w:eastAsia="Times New Roman" w:cs="Arial"/>
                <w:highlight w:val="yellow"/>
              </w:rPr>
              <w:t># AddValue</w:t>
            </w:r>
          </w:p>
        </w:tc>
      </w:tr>
      <w:tr w:rsidRPr="00F10071" w:rsidR="00506657" w:rsidTr="008A1CF0" w14:paraId="42DC4686" w14:textId="77777777">
        <w:tc>
          <w:tcPr>
            <w:tcW w:w="2335" w:type="dxa"/>
            <w:vAlign w:val="center"/>
          </w:tcPr>
          <w:p w:rsidRPr="00E37DA1" w:rsidR="00506657" w:rsidP="00506657" w:rsidRDefault="00506657" w14:paraId="4F96699E" w14:textId="77777777">
            <w:pPr>
              <w:adjustRightInd w:val="0"/>
              <w:spacing w:before="0" w:after="0"/>
              <w:textAlignment w:val="baseline"/>
              <w:rPr>
                <w:rFonts w:eastAsia="Times New Roman" w:cs="Arial"/>
                <w:b/>
                <w:bCs/>
              </w:rPr>
            </w:pPr>
            <w:r>
              <w:rPr>
                <w:rFonts w:eastAsia="Times New Roman" w:cs="Arial"/>
                <w:b/>
                <w:bCs/>
              </w:rPr>
              <w:t>Warm</w:t>
            </w:r>
          </w:p>
          <w:p w:rsidRPr="00E37DA1" w:rsidR="00506657" w:rsidP="00506657" w:rsidRDefault="00506657" w14:paraId="585EC018" w14:textId="43C059DB">
            <w:pPr>
              <w:adjustRightInd w:val="0"/>
              <w:spacing w:before="0" w:after="0"/>
              <w:textAlignment w:val="baseline"/>
              <w:rPr>
                <w:rFonts w:eastAsia="Times New Roman" w:cs="Arial"/>
                <w:b/>
                <w:bCs/>
              </w:rPr>
            </w:pPr>
            <w:r>
              <w:rPr>
                <w:rFonts w:eastAsia="Times New Roman" w:cs="Arial"/>
                <w:b/>
                <w:bCs/>
              </w:rPr>
              <w:t>(8 &lt; Hours &lt; 48)</w:t>
            </w:r>
          </w:p>
        </w:tc>
        <w:tc>
          <w:tcPr>
            <w:tcW w:w="2161" w:type="dxa"/>
            <w:vAlign w:val="center"/>
          </w:tcPr>
          <w:p w:rsidRPr="00F10071" w:rsidR="00506657" w:rsidP="00506657" w:rsidRDefault="005B3008" w14:paraId="45FC2F90" w14:textId="63741C1E">
            <w:pPr>
              <w:adjustRightInd w:val="0"/>
              <w:spacing w:before="0" w:after="0"/>
              <w:jc w:val="center"/>
              <w:textAlignment w:val="baseline"/>
              <w:rPr>
                <w:rFonts w:eastAsia="Times New Roman" w:cs="Arial"/>
              </w:rPr>
            </w:pPr>
            <w:r>
              <w:rPr>
                <w:rFonts w:eastAsia="Times New Roman" w:cs="Arial"/>
                <w:highlight w:val="yellow"/>
              </w:rPr>
              <w:t># AddValue</w:t>
            </w:r>
          </w:p>
        </w:tc>
        <w:tc>
          <w:tcPr>
            <w:tcW w:w="1861" w:type="dxa"/>
            <w:vAlign w:val="center"/>
          </w:tcPr>
          <w:p w:rsidRPr="00F10071" w:rsidR="00506657" w:rsidP="00506657" w:rsidRDefault="005B3008" w14:paraId="76B96ECB" w14:textId="1463B79F">
            <w:pPr>
              <w:adjustRightInd w:val="0"/>
              <w:spacing w:before="0" w:after="0"/>
              <w:jc w:val="center"/>
              <w:textAlignment w:val="baseline"/>
              <w:rPr>
                <w:rFonts w:eastAsia="Times New Roman" w:cs="Arial"/>
              </w:rPr>
            </w:pPr>
            <w:r>
              <w:rPr>
                <w:rFonts w:eastAsia="Times New Roman" w:cs="Arial"/>
                <w:highlight w:val="yellow"/>
              </w:rPr>
              <w:t># AddValue</w:t>
            </w:r>
          </w:p>
        </w:tc>
      </w:tr>
      <w:tr w:rsidRPr="00F10071" w:rsidR="00506657" w:rsidTr="008A1CF0" w14:paraId="65E84694" w14:textId="77777777">
        <w:tc>
          <w:tcPr>
            <w:tcW w:w="2335" w:type="dxa"/>
            <w:vAlign w:val="center"/>
          </w:tcPr>
          <w:p w:rsidRPr="00E37DA1" w:rsidR="00506657" w:rsidP="00506657" w:rsidRDefault="00506657" w14:paraId="178A685C" w14:textId="77777777">
            <w:pPr>
              <w:adjustRightInd w:val="0"/>
              <w:spacing w:before="0" w:after="0"/>
              <w:textAlignment w:val="baseline"/>
              <w:rPr>
                <w:rFonts w:eastAsia="Times New Roman" w:cs="Arial"/>
                <w:b/>
                <w:bCs/>
              </w:rPr>
            </w:pPr>
            <w:r>
              <w:rPr>
                <w:rFonts w:eastAsia="Times New Roman" w:cs="Arial"/>
                <w:b/>
                <w:bCs/>
              </w:rPr>
              <w:t>Cold</w:t>
            </w:r>
          </w:p>
          <w:p w:rsidRPr="00E37DA1" w:rsidR="00506657" w:rsidP="00506657" w:rsidRDefault="00506657" w14:paraId="33D2578E" w14:textId="45440E8F">
            <w:pPr>
              <w:adjustRightInd w:val="0"/>
              <w:spacing w:before="0" w:after="0"/>
              <w:textAlignment w:val="baseline"/>
              <w:rPr>
                <w:rFonts w:eastAsia="Times New Roman" w:cs="Arial"/>
                <w:b/>
                <w:bCs/>
              </w:rPr>
            </w:pPr>
            <w:r>
              <w:rPr>
                <w:rFonts w:eastAsia="Times New Roman" w:cs="Arial"/>
                <w:b/>
                <w:bCs/>
              </w:rPr>
              <w:t>(&gt; 48 Hours)</w:t>
            </w:r>
          </w:p>
        </w:tc>
        <w:tc>
          <w:tcPr>
            <w:tcW w:w="2161" w:type="dxa"/>
            <w:vAlign w:val="center"/>
          </w:tcPr>
          <w:p w:rsidRPr="00F10071" w:rsidR="00506657" w:rsidP="00506657" w:rsidRDefault="005B3008" w14:paraId="2775BD07" w14:textId="5087FAE5">
            <w:pPr>
              <w:adjustRightInd w:val="0"/>
              <w:spacing w:before="0" w:after="0"/>
              <w:jc w:val="center"/>
              <w:textAlignment w:val="baseline"/>
              <w:rPr>
                <w:rFonts w:eastAsia="Times New Roman" w:cs="Arial"/>
              </w:rPr>
            </w:pPr>
            <w:r>
              <w:rPr>
                <w:rFonts w:eastAsia="Times New Roman" w:cs="Arial"/>
                <w:highlight w:val="yellow"/>
              </w:rPr>
              <w:t># AddValue</w:t>
            </w:r>
          </w:p>
        </w:tc>
        <w:tc>
          <w:tcPr>
            <w:tcW w:w="1861" w:type="dxa"/>
            <w:vAlign w:val="center"/>
          </w:tcPr>
          <w:p w:rsidRPr="00F10071" w:rsidR="00506657" w:rsidP="00506657" w:rsidRDefault="005B3008" w14:paraId="6AE1723C" w14:textId="1548FCF3">
            <w:pPr>
              <w:adjustRightInd w:val="0"/>
              <w:spacing w:before="0" w:after="0"/>
              <w:jc w:val="center"/>
              <w:textAlignment w:val="baseline"/>
              <w:rPr>
                <w:rFonts w:eastAsia="Times New Roman" w:cs="Arial"/>
              </w:rPr>
            </w:pPr>
            <w:r>
              <w:rPr>
                <w:rFonts w:eastAsia="Times New Roman" w:cs="Arial"/>
                <w:highlight w:val="yellow"/>
              </w:rPr>
              <w:t># AddValue</w:t>
            </w:r>
          </w:p>
        </w:tc>
      </w:tr>
      <w:tr w:rsidRPr="00F10071" w:rsidR="00506657" w:rsidTr="008A1CF0" w14:paraId="765C8419" w14:textId="77777777">
        <w:tc>
          <w:tcPr>
            <w:tcW w:w="2335" w:type="dxa"/>
            <w:vAlign w:val="center"/>
          </w:tcPr>
          <w:p w:rsidRPr="00E37DA1" w:rsidR="00506657" w:rsidP="00506657" w:rsidRDefault="00506657" w14:paraId="1AE8936E" w14:textId="77777777">
            <w:pPr>
              <w:adjustRightInd w:val="0"/>
              <w:spacing w:before="0" w:after="0"/>
              <w:textAlignment w:val="baseline"/>
              <w:rPr>
                <w:rFonts w:eastAsia="Times New Roman" w:cs="Arial"/>
                <w:b/>
                <w:bCs/>
              </w:rPr>
            </w:pPr>
            <w:r>
              <w:rPr>
                <w:rFonts w:eastAsia="Times New Roman" w:cs="Arial"/>
                <w:b/>
                <w:bCs/>
              </w:rPr>
              <w:t>Winter Cold (2)</w:t>
            </w:r>
          </w:p>
          <w:p w:rsidRPr="00E37DA1" w:rsidR="00506657" w:rsidP="00506657" w:rsidRDefault="00506657" w14:paraId="676C9982" w14:textId="5EEF6248">
            <w:pPr>
              <w:adjustRightInd w:val="0"/>
              <w:spacing w:before="0" w:after="0"/>
              <w:textAlignment w:val="baseline"/>
              <w:rPr>
                <w:rFonts w:eastAsia="Times New Roman" w:cs="Arial"/>
                <w:b/>
                <w:bCs/>
              </w:rPr>
            </w:pPr>
            <w:r>
              <w:rPr>
                <w:rFonts w:eastAsia="Times New Roman" w:cs="Arial"/>
                <w:b/>
                <w:bCs/>
              </w:rPr>
              <w:t>(&gt; 48 Hours)</w:t>
            </w:r>
          </w:p>
        </w:tc>
        <w:tc>
          <w:tcPr>
            <w:tcW w:w="2161" w:type="dxa"/>
            <w:vAlign w:val="center"/>
          </w:tcPr>
          <w:p w:rsidRPr="00F10071" w:rsidR="00506657" w:rsidP="00506657" w:rsidRDefault="005B3008" w14:paraId="4C49F30E" w14:textId="2C1CAC9A">
            <w:pPr>
              <w:adjustRightInd w:val="0"/>
              <w:spacing w:before="0" w:after="0"/>
              <w:jc w:val="center"/>
              <w:textAlignment w:val="baseline"/>
              <w:rPr>
                <w:rFonts w:eastAsia="Times New Roman" w:cs="Arial"/>
              </w:rPr>
            </w:pPr>
            <w:r>
              <w:rPr>
                <w:rFonts w:eastAsia="Times New Roman" w:cs="Arial"/>
                <w:highlight w:val="yellow"/>
              </w:rPr>
              <w:t># AddValue</w:t>
            </w:r>
          </w:p>
        </w:tc>
        <w:tc>
          <w:tcPr>
            <w:tcW w:w="1861" w:type="dxa"/>
            <w:vAlign w:val="center"/>
          </w:tcPr>
          <w:p w:rsidRPr="00F10071" w:rsidR="00506657" w:rsidP="00506657" w:rsidRDefault="005B3008" w14:paraId="4BFE5054" w14:textId="1C6F90BB">
            <w:pPr>
              <w:adjustRightInd w:val="0"/>
              <w:spacing w:before="0" w:after="0"/>
              <w:jc w:val="center"/>
              <w:textAlignment w:val="baseline"/>
              <w:rPr>
                <w:rFonts w:eastAsia="Times New Roman" w:cs="Arial"/>
              </w:rPr>
            </w:pPr>
            <w:r>
              <w:rPr>
                <w:rFonts w:eastAsia="Times New Roman" w:cs="Arial"/>
                <w:highlight w:val="yellow"/>
              </w:rPr>
              <w:t># AddValue</w:t>
            </w:r>
          </w:p>
        </w:tc>
      </w:tr>
      <w:tr w:rsidRPr="00F10071" w:rsidR="00506657" w:rsidTr="00E55203" w14:paraId="05C7C672" w14:textId="77777777">
        <w:trPr>
          <w:cantSplit/>
        </w:trPr>
        <w:tc>
          <w:tcPr>
            <w:tcW w:w="6357" w:type="dxa"/>
            <w:gridSpan w:val="3"/>
            <w:vAlign w:val="center"/>
          </w:tcPr>
          <w:p w:rsidRPr="005E718C" w:rsidR="00506657" w:rsidP="00506657" w:rsidRDefault="00506657" w14:paraId="5644AE43" w14:textId="77777777">
            <w:pPr>
              <w:adjustRightInd w:val="0"/>
              <w:spacing w:before="0" w:after="0"/>
              <w:textAlignment w:val="baseline"/>
              <w:rPr>
                <w:rFonts w:eastAsia="Times New Roman" w:cs="Arial"/>
                <w:b/>
                <w:bCs/>
                <w:u w:val="single"/>
              </w:rPr>
            </w:pPr>
            <w:r>
              <w:rPr>
                <w:rFonts w:eastAsia="Times New Roman" w:cs="Arial"/>
                <w:b/>
                <w:bCs/>
                <w:u w:val="single"/>
              </w:rPr>
              <w:t>Notes:</w:t>
            </w:r>
          </w:p>
          <w:p w:rsidRPr="00F10071" w:rsidR="00506657" w:rsidP="00506657" w:rsidRDefault="00506657" w14:paraId="23DE31DC" w14:textId="75FA0930">
            <w:pPr>
              <w:adjustRightInd w:val="0"/>
              <w:spacing w:before="0" w:after="0"/>
              <w:textAlignment w:val="baseline"/>
              <w:rPr>
                <w:rFonts w:eastAsia="Times New Roman" w:cs="Arial"/>
              </w:rPr>
            </w:pPr>
            <w:r>
              <w:rPr>
                <w:rFonts w:eastAsia="Times New Roman" w:cs="Arial"/>
              </w:rPr>
              <w:t>1. Start Time equals time of notice. Seller must provide GPC with copies of results of any tests that demonstrate the ability of the Facility to meet the above start times.</w:t>
            </w:r>
          </w:p>
          <w:p w:rsidRPr="00F10071" w:rsidR="00506657" w:rsidP="00506657" w:rsidRDefault="00506657" w14:paraId="1E2B7F85" w14:textId="430DF650">
            <w:pPr>
              <w:adjustRightInd w:val="0"/>
              <w:spacing w:before="0" w:after="0"/>
              <w:textAlignment w:val="baseline"/>
              <w:rPr>
                <w:rFonts w:eastAsia="Times New Roman" w:cs="Arial"/>
              </w:rPr>
            </w:pPr>
            <w:r>
              <w:rPr>
                <w:rFonts w:eastAsia="Times New Roman" w:cs="Arial"/>
              </w:rPr>
              <w:t>2. Winter cold applies when operator has taken freeze mitigation actions, but Seller must promptly notify GPC before implementing any planned freeze mitigation actions and afford GPC a reasonable opportunity to Schedule the Facility in lieu of implementing such freeze mitigation actions.</w:t>
            </w:r>
          </w:p>
        </w:tc>
      </w:tr>
    </w:tbl>
    <w:p w:rsidRPr="00F10071" w:rsidR="00506657" w:rsidP="00506657" w:rsidRDefault="00506657" w14:paraId="5C14AE92" w14:textId="77777777">
      <w:pPr>
        <w:adjustRightInd w:val="0"/>
        <w:spacing w:before="0" w:after="0"/>
        <w:textAlignment w:val="baseline"/>
        <w:rPr>
          <w:rFonts w:eastAsia="Times New Roman" w:cs="Arial"/>
        </w:rPr>
      </w:pPr>
    </w:p>
    <w:p w:rsidRPr="005E718C" w:rsidR="00506657" w:rsidP="00564EFD" w:rsidRDefault="00506657" w14:paraId="04B29008" w14:textId="55FB62DF">
      <w:pPr>
        <w:pStyle w:val="zG02"/>
      </w:pPr>
      <w:r>
        <w:rPr>
          <w:b/>
          <w:bCs/>
        </w:rPr>
        <w:t>Natural Gas Pipeline Pressure.</w:t>
      </w:r>
      <w:r>
        <w:t xml:space="preserve"> Natural Gas deliveries under this PPA will be at a pressure that is greater than or equal to the lower of (i) </w:t>
      </w:r>
      <w:r>
        <w:rPr>
          <w:highlight w:val="yellow"/>
        </w:rPr>
        <w:t>#Number</w:t>
      </w:r>
      <w:r>
        <w:t xml:space="preserve"> psig; or (ii) the minimum pressure recommended by the manufacturer to operate a unit on Natural Gas, as may be modified from time to time.</w:t>
      </w:r>
    </w:p>
    <w:p w:rsidRPr="00E50681" w:rsidR="00506657" w:rsidP="00564EFD" w:rsidRDefault="00506657" w14:paraId="514C278C" w14:textId="16E053F7">
      <w:pPr>
        <w:pStyle w:val="zG01"/>
      </w:pPr>
      <w:r>
        <w:t>Schedule Procedures</w:t>
      </w:r>
    </w:p>
    <w:p w:rsidRPr="00F10071" w:rsidR="00506657" w:rsidP="00F2092F" w:rsidRDefault="00506657" w14:paraId="7195F8E1" w14:textId="6E5FC776">
      <w:pPr>
        <w:pStyle w:val="zGNormal"/>
      </w:pPr>
      <w:r>
        <w:t>This Part 2 sets forth the procedures to be followed by GPC and Seller for notification and Scheduling the Facility when required by GPC. The procedures specified are subject to change upon mutual agreement of the Parties.</w:t>
      </w:r>
    </w:p>
    <w:p w:rsidRPr="00F10071" w:rsidR="00506657" w:rsidP="00564EFD" w:rsidRDefault="00506657" w14:paraId="2179B378" w14:textId="19A6E99D">
      <w:pPr>
        <w:pStyle w:val="zG02"/>
      </w:pPr>
      <w:r>
        <w:rPr>
          <w:b/>
          <w:bCs/>
        </w:rPr>
        <w:t>Notification Communication.</w:t>
      </w:r>
    </w:p>
    <w:p w:rsidRPr="00F10071" w:rsidR="00506657" w:rsidP="00564EFD" w:rsidRDefault="00327D29" w14:paraId="54E6D371" w14:textId="5C3A23EA">
      <w:pPr>
        <w:pStyle w:val="zG03"/>
      </w:pPr>
      <w:r>
        <w:rPr>
          <w:b/>
          <w:bCs/>
        </w:rPr>
        <w:t xml:space="preserve">Seller Contacts for Scheduling Energy. </w:t>
      </w:r>
      <w:r>
        <w:t>Three Months before the Delivery Commencement Date, Seller will supply the Scheduling Center with the names of the personnel who can be called to Schedule energy. Seller must provide GPC a single phone number that will be answered 24 Hours a Day and corresponding fax number and email address. Seller will keep this information current.</w:t>
      </w:r>
    </w:p>
    <w:p w:rsidRPr="00F10071" w:rsidR="00506657" w:rsidP="00564EFD" w:rsidRDefault="002B78EB" w14:paraId="364A6F84" w14:textId="3D80ACB6">
      <w:pPr>
        <w:pStyle w:val="zG03"/>
      </w:pPr>
      <w:r>
        <w:rPr>
          <w:b/>
          <w:bCs/>
        </w:rPr>
        <w:t>Scheduling Center Contacts for Facility Availability and Energy Schedules.</w:t>
      </w:r>
      <w:r>
        <w:t xml:space="preserve"> Three Months before the Delivery Commencement Date, the Scheduling Center will supply Seller with the names of individuals to be contacted concerning availability of the Facility and energy Schedules. The Scheduling Center will provide Seller with a single phone number that will be answered 24 Hours per Day and corresponding fax number and email address. The Scheduling Center will keep this information current.</w:t>
      </w:r>
    </w:p>
    <w:p w:rsidRPr="00B10832" w:rsidR="00506657" w:rsidP="00B10832" w:rsidRDefault="00506657" w14:paraId="60A4F025" w14:textId="338436DC">
      <w:pPr>
        <w:pStyle w:val="zG02"/>
        <w:rPr>
          <w:b/>
          <w:bCs/>
        </w:rPr>
      </w:pPr>
      <w:r>
        <w:rPr>
          <w:b/>
          <w:bCs/>
        </w:rPr>
        <w:t>Scheduling and Notification Procedures.</w:t>
      </w:r>
    </w:p>
    <w:p w:rsidRPr="000057B0" w:rsidR="00506657" w:rsidP="00CD108D" w:rsidRDefault="00586B4F" w14:paraId="329DA970" w14:textId="0C6EA0C1">
      <w:pPr>
        <w:pStyle w:val="zG03"/>
      </w:pPr>
      <w:r>
        <w:rPr>
          <w:b/>
          <w:bCs/>
        </w:rPr>
        <w:t xml:space="preserve">Scheduling Period. </w:t>
      </w:r>
      <w:r>
        <w:t>By 12:00 p.m. (noon) CPT of each Business Day, or by 9:00 a.m. CPT if Seller has elected to deliver from an Alternate Resource, the Scheduling Center will contact Seller if it anticipates submitting a Schedule for the next Business Day and any subsequent Days which are not Business Days (the period covered by such Schedule being referred to as a “Scheduling Period”). The Scheduling Center will provide a Schedule for each Hour of the Scheduling Period in accordance with Part 12 (</w:t>
      </w:r>
      <w:r>
        <w:rPr>
          <w:i/>
          <w:iCs/>
        </w:rPr>
        <w:t xml:space="preserve">Energy Scheduling and </w:t>
      </w:r>
      <w:r>
        <w:rPr>
          <w:i/>
          <w:iCs/>
        </w:rPr>
        <w:lastRenderedPageBreak/>
        <w:t>Transmission</w:t>
      </w:r>
      <w:r>
        <w:t>). The Scheduling Center will also provide a good faith, non-binding estimate for the next Scheduling Period. The Scheduling Center is not obligated to contact Seller if it does not plan to submit a Schedule for a Scheduling Period.</w:t>
      </w:r>
    </w:p>
    <w:p w:rsidRPr="000057B0" w:rsidR="00506657" w:rsidP="00CD108D" w:rsidRDefault="007456BE" w14:paraId="6579FA0A" w14:textId="0EDE5FFE">
      <w:pPr>
        <w:pStyle w:val="zG03"/>
      </w:pPr>
      <w:r>
        <w:rPr>
          <w:b/>
          <w:bCs/>
        </w:rPr>
        <w:t xml:space="preserve">Facility De-Rating Notice. </w:t>
      </w:r>
      <w:r>
        <w:t>By no later than 1:30 p.m. CPT, Seller must inform the Scheduling Center if the Facility or in the case of Alternate Delivery, the Alternate Resource, will be de-rated during the next Scheduling Period. Seller must provide an estimate of the time and degree to which the generation levels will be reduced. Unless due to the declaration of an FME, the Seller notification does not preclude GPC from requesting any amount of energy from the Facility or relieve Seller of its obligation to deliver energy in accordance with any Scheduling Instructions.</w:t>
      </w:r>
    </w:p>
    <w:p w:rsidRPr="000057B0" w:rsidR="00506657" w:rsidP="00CD108D" w:rsidRDefault="006257B6" w14:paraId="137A2EFF" w14:textId="43E44B8C">
      <w:pPr>
        <w:pStyle w:val="zG03"/>
      </w:pPr>
      <w:r>
        <w:rPr>
          <w:b/>
          <w:bCs/>
        </w:rPr>
        <w:t xml:space="preserve">Equipment Problem or Unplanned Outage Notice. </w:t>
      </w:r>
      <w:r>
        <w:t>Seller must promptly inform the Scheduling Center of any equipment problems or unplanned outages and the expected time and degree to which generation levels will be reduced. During Facility outages, Seller must continue to keep GPC informed regarding the expected date when the Facility, or in the case of Alternate Delivery, the Alternate Resource, will be returned to service for dispatch.</w:t>
      </w:r>
    </w:p>
    <w:p w:rsidRPr="000057B0" w:rsidR="00506657" w:rsidP="00CD108D" w:rsidRDefault="00285601" w14:paraId="5169AC8D" w14:textId="0B19CF67">
      <w:pPr>
        <w:pStyle w:val="zG03"/>
      </w:pPr>
      <w:r>
        <w:rPr>
          <w:b/>
          <w:bCs/>
        </w:rPr>
        <w:t xml:space="preserve">Intra-Day Scheduling. </w:t>
      </w:r>
      <w:r>
        <w:t>Intra-Day Scheduling will be permitted in accordance with Part 12 (</w:t>
      </w:r>
      <w:r>
        <w:rPr>
          <w:i/>
          <w:iCs/>
        </w:rPr>
        <w:t>Energy Scheduling and Transmission</w:t>
      </w:r>
      <w:r>
        <w:t>).</w:t>
      </w:r>
    </w:p>
    <w:p w:rsidRPr="00F10071" w:rsidR="00506657" w:rsidP="00CD108D" w:rsidRDefault="00400D55" w14:paraId="5E0D74BD" w14:textId="28ADD522">
      <w:pPr>
        <w:pStyle w:val="zG03"/>
      </w:pPr>
      <w:r>
        <w:rPr>
          <w:b/>
          <w:bCs/>
        </w:rPr>
        <w:t xml:space="preserve">Alternate Resource Scheduling. </w:t>
      </w:r>
      <w:r>
        <w:t>Procedures will be established as needed for the Scheduling of energy delivered from an Alternate Resource, so long as Seller bears the ultimate responsibility for all tagging and other transmission arrangements regarding the deliveries.</w:t>
      </w:r>
    </w:p>
    <w:p w:rsidRPr="00F10071" w:rsidR="00506657" w:rsidP="00086900" w:rsidRDefault="00506657" w14:paraId="4544567E" w14:textId="77777777">
      <w:pPr>
        <w:widowControl w:val="0"/>
        <w:numPr>
          <w:ilvl w:val="0"/>
          <w:numId w:val="6"/>
        </w:numPr>
        <w:adjustRightInd w:val="0"/>
        <w:spacing w:before="0" w:after="600" w:line="360" w:lineRule="atLeast"/>
        <w:textAlignment w:val="baseline"/>
        <w:rPr>
          <w:rFonts w:eastAsia="Times New Roman" w:cs="Arial"/>
        </w:rPr>
        <w:sectPr w:rsidRPr="00F10071" w:rsidR="00506657" w:rsidSect="005B310E">
          <w:headerReference w:type="default" r:id="rId37"/>
          <w:footerReference w:type="default" r:id="rId38"/>
          <w:pgSz w:w="12240" w:h="15840" w:code="1"/>
          <w:pgMar w:top="1440" w:right="1440" w:bottom="1440" w:left="1440" w:header="720" w:footer="720" w:gutter="0"/>
          <w:paperSrc w:first="15" w:other="15"/>
          <w:cols w:space="1440"/>
        </w:sectPr>
      </w:pPr>
    </w:p>
    <w:p w:rsidRPr="0031580B" w:rsidR="00506657" w:rsidP="0031580B" w:rsidRDefault="00517474" w14:paraId="69B705D3" w14:textId="387E3456">
      <w:pPr>
        <w:pStyle w:val="zGTitleExhibit"/>
      </w:pPr>
      <w:bookmarkStart w:name="_Toc212473096" w:id="453"/>
      <w:bookmarkStart w:name="_Toc227840792" w:id="454"/>
      <w:r>
        <w:lastRenderedPageBreak/>
        <w:t>Exhibit E – Performance Testing Procedures</w:t>
      </w:r>
      <w:bookmarkEnd w:id="453"/>
      <w:bookmarkEnd w:id="454"/>
      <w:r>
        <w:t xml:space="preserve"> </w:t>
      </w:r>
    </w:p>
    <w:p w:rsidRPr="00E37DA1" w:rsidR="00506657" w:rsidP="006D2EC2" w:rsidRDefault="00506657" w14:paraId="70BFDE52" w14:textId="77777777">
      <w:pPr>
        <w:pStyle w:val="zG01"/>
        <w:numPr>
          <w:ilvl w:val="0"/>
          <w:numId w:val="35"/>
        </w:numPr>
      </w:pPr>
      <w:r>
        <w:t>Objective</w:t>
      </w:r>
    </w:p>
    <w:p w:rsidRPr="000057B0" w:rsidR="00506657" w:rsidP="00F10071" w:rsidRDefault="00506657" w14:paraId="0BC0D4B9" w14:textId="4B17453C">
      <w:pPr>
        <w:adjustRightInd w:val="0"/>
        <w:textAlignment w:val="baseline"/>
        <w:rPr>
          <w:rFonts w:eastAsia="Times New Roman" w:cs="Arial"/>
        </w:rPr>
      </w:pPr>
      <w:r>
        <w:rPr>
          <w:rFonts w:eastAsia="Times New Roman" w:cs="Arial"/>
        </w:rPr>
        <w:t xml:space="preserve">The purpose of this </w:t>
      </w:r>
      <w:r>
        <w:rPr>
          <w:rFonts w:cs="Arial"/>
          <w:bCs/>
        </w:rPr>
        <w:t>Exhibit</w:t>
      </w:r>
      <w:r>
        <w:rPr>
          <w:rFonts w:eastAsia="Times New Roman" w:cs="Arial"/>
          <w:bCs/>
        </w:rPr>
        <w:t xml:space="preserve"> E</w:t>
      </w:r>
      <w:r>
        <w:rPr>
          <w:rFonts w:eastAsia="Times New Roman" w:cs="Arial"/>
        </w:rPr>
        <w:t xml:space="preserve"> is to provide an agreed upon method for the determination of Tested Reliable Capacity. Consistent, past performance of the Facility in reliably meeting the Declared Capacity and in reliably meeting the Scheduling Instructions </w:t>
      </w:r>
      <w:r>
        <w:rPr>
          <w:rFonts w:cs="Arial"/>
        </w:rPr>
        <w:t>will</w:t>
      </w:r>
      <w:r>
        <w:rPr>
          <w:rFonts w:eastAsia="Times New Roman" w:cs="Arial"/>
        </w:rPr>
        <w:t xml:space="preserve"> be deemed as acceptable demonstration of the capability of the Facility.  </w:t>
      </w:r>
    </w:p>
    <w:p w:rsidRPr="000057B0" w:rsidR="00506657" w:rsidP="00F10071" w:rsidRDefault="00506657" w14:paraId="7FAD6417" w14:textId="16A074E4">
      <w:pPr>
        <w:adjustRightInd w:val="0"/>
        <w:textAlignment w:val="baseline"/>
        <w:rPr>
          <w:rFonts w:eastAsia="Times New Roman" w:cs="Arial"/>
          <w:bCs/>
        </w:rPr>
      </w:pPr>
      <w:r>
        <w:rPr>
          <w:rFonts w:eastAsia="Times New Roman" w:cs="Arial"/>
        </w:rPr>
        <w:t>During the Performance Test for purposes of determining the Tested Standard Base Capacity and the Tested Standard Supplemental Capacity, the Facility’s actual net plant output will be corrected to Reference Conditions for the Standard Seasonal Performance Periods at the Site, and for purposes of determining the Tested Winter Reliable Capacity and the Tested Winter Supplemental Capacity, the Facility’s actual net plant output will be corrected to Reference Conditions for the Winter Seasonal Performance Period at the Site.</w:t>
      </w:r>
    </w:p>
    <w:p w:rsidRPr="000057B0" w:rsidR="00506657" w:rsidP="00A912AA" w:rsidRDefault="00506657" w14:paraId="39E5D0F9" w14:textId="77777777">
      <w:pPr>
        <w:pStyle w:val="zG01"/>
      </w:pPr>
      <w:r>
        <w:t>Operating Conditions</w:t>
      </w:r>
    </w:p>
    <w:p w:rsidRPr="000057B0" w:rsidR="00506657" w:rsidP="00F10071" w:rsidRDefault="00506657" w14:paraId="408EBBCB" w14:textId="11BFB70B">
      <w:pPr>
        <w:adjustRightInd w:val="0"/>
        <w:textAlignment w:val="baseline"/>
        <w:rPr>
          <w:rFonts w:eastAsia="Times New Roman" w:cs="Arial"/>
        </w:rPr>
      </w:pPr>
      <w:r>
        <w:rPr>
          <w:rFonts w:eastAsia="Times New Roman" w:cs="Arial"/>
        </w:rPr>
        <w:t>During the Performance Test, the Facility will be operated within the normal design limits, consistent with continuous operation, and in accordance with Prudent Industry Practices, as confirmed by available unit operating data. The gas turbines will be operated at maximum load for the duration of the test. All auxiliary systems will be operated as appropriate for the actual ambient conditions existing during the test period.</w:t>
      </w:r>
    </w:p>
    <w:p w:rsidRPr="000057B0" w:rsidR="00506657" w:rsidP="00A912AA" w:rsidRDefault="00506657" w14:paraId="3EC744B2" w14:textId="77777777">
      <w:pPr>
        <w:pStyle w:val="zG01"/>
      </w:pPr>
      <w:r>
        <w:t>Testing</w:t>
      </w:r>
    </w:p>
    <w:p w:rsidRPr="000057B0" w:rsidR="00506657" w:rsidP="33351F9A" w:rsidRDefault="00506657" w14:paraId="7DA3345B" w14:textId="280B22DC">
      <w:pPr>
        <w:adjustRightInd w:val="0"/>
        <w:textAlignment w:val="baseline"/>
        <w:rPr>
          <w:rFonts w:eastAsia="Times New Roman" w:cs="Arial"/>
          <w:b/>
          <w:bCs/>
          <w:i/>
          <w:iCs/>
        </w:rPr>
      </w:pPr>
      <w:r>
        <w:rPr>
          <w:rFonts w:eastAsia="Times New Roman" w:cs="Arial"/>
        </w:rPr>
        <w:t xml:space="preserve">On the date of the Performance Test, the Facility </w:t>
      </w:r>
      <w:r>
        <w:rPr>
          <w:rFonts w:cs="Arial"/>
        </w:rPr>
        <w:t>will</w:t>
      </w:r>
      <w:r>
        <w:rPr>
          <w:rFonts w:eastAsia="Times New Roman" w:cs="Arial"/>
        </w:rPr>
        <w:t xml:space="preserve"> be brought to maximum load using Natural Gas. The Performance Test </w:t>
      </w:r>
      <w:r>
        <w:rPr>
          <w:rFonts w:cs="Arial"/>
        </w:rPr>
        <w:t>will</w:t>
      </w:r>
      <w:r>
        <w:rPr>
          <w:rFonts w:eastAsia="Times New Roman" w:cs="Arial"/>
        </w:rPr>
        <w:t xml:space="preserve"> be scheduled between the weekday Hours of 7</w:t>
      </w:r>
      <w:r>
        <w:rPr>
          <w:rFonts w:eastAsia="MS Mincho" w:cs="Arial"/>
          <w:w w:val="0"/>
        </w:rPr>
        <w:t xml:space="preserve">:00 </w:t>
      </w:r>
      <w:r>
        <w:rPr>
          <w:rFonts w:eastAsia="Times New Roman" w:cs="Arial"/>
        </w:rPr>
        <w:t>a.m. and 7:00 p.m. CT and as close as practical with GPC’s Scheduling requirements. During the test period separate tests will be conducted at: (i) base load for determination of Tested Minimum and Maximum Base Capacity, and (ii) base load with full supplemental firing for determination of Tested Tier 1 and Tier 2 Supplemental Capacities. Data will be collected for a minimum of two Hours at maximum capability of the respective mode. For example, if the Facility has Tier 1 and Tier 2 Supplemental Operating Modes, in addition to the Base Operating Mode, the test will cover two Hours for each mode for a total of six Hours. To the extent that the Facility experiences equipment malfunction, unsteady operation or unreliability during any Performance Test or its historical operating records show difficulty or unreliability during testing of the Facility or deficiencies in meeting GPC’s Schedules, GPC may request that Seller perform additional testing of the Facility at Seller’s expense to demonstrate to GPC’s reasonable satisfaction the reliability of the Facility.</w:t>
      </w:r>
    </w:p>
    <w:p w:rsidRPr="000057B0" w:rsidR="00506657" w:rsidP="00F10071" w:rsidRDefault="00794398" w14:paraId="791C8323" w14:textId="04FBFED6">
      <w:pPr>
        <w:adjustRightInd w:val="0"/>
        <w:textAlignment w:val="baseline"/>
        <w:rPr>
          <w:rFonts w:eastAsia="Times New Roman" w:cs="Arial"/>
        </w:rPr>
      </w:pPr>
      <w:r>
        <w:rPr>
          <w:rFonts w:eastAsia="Times New Roman" w:cs="Arial"/>
        </w:rPr>
        <w:t xml:space="preserve">Performance Testing will be performed in accordance with ASME Performance Test Code and other applicable industry standards and all </w:t>
      </w:r>
      <w:r>
        <w:t>applicable laws</w:t>
      </w:r>
      <w:r>
        <w:rPr>
          <w:rFonts w:eastAsia="Times New Roman" w:cs="Arial"/>
        </w:rPr>
        <w:t xml:space="preserve">. All Performance Test activities will be conducted by, or under the supervision of, Seller and its Representatives. GPC </w:t>
      </w:r>
      <w:r>
        <w:rPr>
          <w:rFonts w:cs="Arial"/>
        </w:rPr>
        <w:t>will</w:t>
      </w:r>
      <w:r>
        <w:rPr>
          <w:rFonts w:eastAsia="Times New Roman" w:cs="Arial"/>
        </w:rPr>
        <w:t xml:space="preserve"> have the right to have a Representative present to witness Performance Tests conducted in accordance with this PPA. Each Party will notify the other of its intent to conduct any Performance Test with a six Business Day advanced notice as specified in Exhibit B (</w:t>
      </w:r>
      <w:r>
        <w:rPr>
          <w:rFonts w:eastAsia="Times New Roman" w:cs="Arial"/>
          <w:i/>
          <w:iCs/>
        </w:rPr>
        <w:t>Capacity; Capacity Payments and Payment Reductions; Buydown</w:t>
      </w:r>
      <w:r>
        <w:rPr>
          <w:rFonts w:eastAsia="Times New Roman" w:cs="Arial"/>
        </w:rPr>
        <w:t>).</w:t>
      </w:r>
    </w:p>
    <w:p w:rsidRPr="000057B0" w:rsidR="00506657" w:rsidP="00F10071" w:rsidRDefault="00506657" w14:paraId="05F37792" w14:textId="6D99C309">
      <w:pPr>
        <w:adjustRightInd w:val="0"/>
        <w:textAlignment w:val="baseline"/>
        <w:rPr>
          <w:rFonts w:eastAsia="Times New Roman" w:cs="Arial"/>
        </w:rPr>
      </w:pPr>
      <w:r>
        <w:rPr>
          <w:rFonts w:eastAsia="Times New Roman" w:cs="Arial"/>
        </w:rPr>
        <w:t>Actual net output of the Facility will be metered with the Metering System. No commercial test tolerances or measurement uncertainties will be applied to test results.</w:t>
      </w:r>
    </w:p>
    <w:p w:rsidRPr="000057B0" w:rsidR="00506657" w:rsidP="00A912AA" w:rsidRDefault="00506657" w14:paraId="4EA2D5FE" w14:textId="51A8D20C">
      <w:pPr>
        <w:pStyle w:val="zG01"/>
      </w:pPr>
      <w:r>
        <w:t>Reduction of Data</w:t>
      </w:r>
    </w:p>
    <w:p w:rsidRPr="000057B0" w:rsidR="00506657" w:rsidP="00F10071" w:rsidRDefault="00506657" w14:paraId="6C7D3CA9" w14:textId="7343353C">
      <w:pPr>
        <w:adjustRightInd w:val="0"/>
        <w:textAlignment w:val="baseline"/>
        <w:rPr>
          <w:rFonts w:eastAsia="MS Mincho" w:cs="Arial"/>
          <w:w w:val="0"/>
        </w:rPr>
      </w:pPr>
      <w:r>
        <w:rPr>
          <w:rFonts w:eastAsia="MS Mincho" w:cs="Arial"/>
          <w:w w:val="0"/>
        </w:rPr>
        <w:t>Actual tested capacity will be adjusted to the Reference Conditions</w:t>
      </w:r>
      <w:r>
        <w:rPr>
          <w:rFonts w:eastAsia="MS Mincho" w:cs="Arial"/>
        </w:rPr>
        <w:t xml:space="preserve"> applicable to the Standard Seasonal Performance Periods</w:t>
      </w:r>
      <w:r>
        <w:rPr>
          <w:rFonts w:eastAsia="MS Mincho" w:cs="Arial"/>
          <w:w w:val="0"/>
        </w:rPr>
        <w:t>, using correction curves provided by Seller or its engineer in accordance with the equations set forth below, to determine the following capacity values:</w:t>
      </w:r>
    </w:p>
    <w:p w:rsidRPr="00F10071" w:rsidR="00506657" w:rsidP="00F10071" w:rsidRDefault="00506657" w14:paraId="0D86BEFD" w14:textId="48B6A387">
      <w:pPr>
        <w:adjustRightInd w:val="0"/>
        <w:textAlignment w:val="baseline"/>
        <w:rPr>
          <w:rFonts w:eastAsia="MS Mincho" w:cs="Arial"/>
          <w:w w:val="0"/>
        </w:rPr>
      </w:pPr>
      <w:r>
        <w:rPr>
          <w:rFonts w:eastAsia="MS Mincho" w:cs="Arial"/>
          <w:w w:val="0"/>
        </w:rPr>
        <w:t>Tested Standard Base Capacity = Actual Maximum Base Net Output x Fwetblb1 x Fbaro1 x Fpf1 x DP/100</w:t>
      </w:r>
    </w:p>
    <w:p w:rsidRPr="00F10071" w:rsidR="00731EA5" w:rsidP="00F10071" w:rsidRDefault="00731EA5" w14:paraId="351377CF" w14:textId="215B8F50">
      <w:pPr>
        <w:adjustRightInd w:val="0"/>
        <w:textAlignment w:val="baseline"/>
        <w:rPr>
          <w:rFonts w:eastAsia="MS Mincho" w:cs="Arial"/>
          <w:w w:val="0"/>
        </w:rPr>
      </w:pPr>
      <w:r>
        <w:rPr>
          <w:rFonts w:eastAsia="MS Mincho" w:cs="Arial"/>
          <w:w w:val="0"/>
        </w:rPr>
        <w:t>Tested Standard Reliable Capacity = Actual Maximum Fired Net Output x Fwetblb1 x Fbaro1 x Fpf1 x DP/100</w:t>
      </w:r>
    </w:p>
    <w:p w:rsidR="00577DF2" w:rsidP="00577DF2" w:rsidRDefault="00577DF2" w14:paraId="22411697" w14:textId="77777777">
      <w:pPr>
        <w:adjustRightInd w:val="0"/>
        <w:textAlignment w:val="baseline"/>
        <w:rPr>
          <w:rFonts w:eastAsia="MS Mincho" w:cs="Arial"/>
          <w:w w:val="0"/>
        </w:rPr>
      </w:pPr>
      <w:r>
        <w:rPr>
          <w:rFonts w:eastAsia="MS Mincho" w:cs="Arial"/>
          <w:w w:val="0"/>
        </w:rPr>
        <w:lastRenderedPageBreak/>
        <w:t>Tested Standard Supplemental Capacity = Tested Standard Reliable Capacity – Tested Standard Base Capacity</w:t>
      </w:r>
    </w:p>
    <w:p w:rsidR="00930F38" w:rsidP="00930F38" w:rsidRDefault="004E0D62" w14:paraId="750B7503" w14:textId="56575DE1">
      <w:pPr>
        <w:adjustRightInd w:val="0"/>
        <w:textAlignment w:val="baseline"/>
        <w:rPr>
          <w:rFonts w:eastAsia="MS Mincho" w:cs="Arial"/>
          <w:w w:val="0"/>
        </w:rPr>
      </w:pPr>
      <w:r>
        <w:rPr>
          <w:rFonts w:eastAsia="MS Mincho" w:cs="Arial"/>
          <w:w w:val="0"/>
        </w:rPr>
        <w:t>Tested Standard Minimum Reliable Capacity = Actual Minimum Fired Net Output x Fwetblb2 x Fbaro2 x Fpf2 x DP/100</w:t>
      </w:r>
    </w:p>
    <w:p w:rsidRPr="00F10071" w:rsidR="00E14E96" w:rsidP="00930F38" w:rsidRDefault="00E14E96" w14:paraId="5410078E" w14:textId="28D09EC3">
      <w:pPr>
        <w:adjustRightInd w:val="0"/>
        <w:textAlignment w:val="baseline"/>
        <w:rPr>
          <w:rFonts w:eastAsia="MS Mincho" w:cs="Arial"/>
          <w:w w:val="0"/>
        </w:rPr>
      </w:pPr>
      <w:r>
        <w:rPr>
          <w:rFonts w:eastAsia="MS Mincho" w:cs="Arial"/>
          <w:w w:val="0"/>
        </w:rPr>
        <w:t>The following capacity values will be determined by adjusting actual tested capacity to the Reference Conditions applicable to the Winter Seasonal Performance Period, using correction curves provided by Seller or its engineer in accordance with the following equation:</w:t>
      </w:r>
    </w:p>
    <w:p w:rsidR="00AF2A5A" w:rsidP="00AF2A5A" w:rsidRDefault="00930F38" w14:paraId="6E38FCEE" w14:textId="77777777">
      <w:pPr>
        <w:adjustRightInd w:val="0"/>
        <w:textAlignment w:val="baseline"/>
        <w:rPr>
          <w:rFonts w:eastAsia="MS Mincho" w:cs="Arial"/>
          <w:w w:val="0"/>
        </w:rPr>
      </w:pPr>
      <w:r>
        <w:rPr>
          <w:rFonts w:eastAsia="MS Mincho" w:cs="Arial"/>
          <w:w w:val="0"/>
        </w:rPr>
        <w:t>Tested Winter Base Capacity = Actual Maximum Base Net Output x Fwetblb1 x Fbaro1 x Fpf1 x DP/100</w:t>
      </w:r>
    </w:p>
    <w:p w:rsidR="004E0D62" w:rsidP="00577DF2" w:rsidRDefault="00AF2A5A" w14:paraId="43F2356D" w14:textId="50C7DB1B">
      <w:pPr>
        <w:adjustRightInd w:val="0"/>
        <w:textAlignment w:val="baseline"/>
        <w:rPr>
          <w:rFonts w:eastAsia="MS Mincho" w:cs="Arial"/>
          <w:w w:val="0"/>
        </w:rPr>
      </w:pPr>
      <w:r>
        <w:rPr>
          <w:rFonts w:eastAsia="MS Mincho" w:cs="Arial"/>
          <w:w w:val="0"/>
        </w:rPr>
        <w:t>Tested Winter Reliable Capacity = Actual Maximum Fired Net Output x Fwetblb2 x Fbaro2 x Fpf2 x DP/100</w:t>
      </w:r>
    </w:p>
    <w:p w:rsidR="00577DF2" w:rsidP="00F10071" w:rsidRDefault="002C1D27" w14:paraId="05ADDE46" w14:textId="0D00D993">
      <w:pPr>
        <w:adjustRightInd w:val="0"/>
        <w:textAlignment w:val="baseline"/>
        <w:rPr>
          <w:rFonts w:eastAsia="MS Mincho" w:cs="Arial"/>
          <w:w w:val="0"/>
        </w:rPr>
      </w:pPr>
      <w:r>
        <w:rPr>
          <w:rFonts w:eastAsia="MS Mincho" w:cs="Arial"/>
          <w:w w:val="0"/>
        </w:rPr>
        <w:t>Tested Winter Supplemental Capacity = Tested Winter Reliable Capacity – Tested Winter Base Capacity</w:t>
      </w:r>
    </w:p>
    <w:p w:rsidRPr="00F10071" w:rsidR="00506657" w:rsidP="00F10071" w:rsidRDefault="00506657" w14:paraId="0534AAC0" w14:textId="4DD3038E">
      <w:pPr>
        <w:adjustRightInd w:val="0"/>
        <w:textAlignment w:val="baseline"/>
        <w:rPr>
          <w:rFonts w:eastAsia="MS Mincho" w:cs="Arial"/>
          <w:w w:val="0"/>
        </w:rPr>
      </w:pPr>
      <w:r>
        <w:rPr>
          <w:rFonts w:eastAsia="MS Mincho" w:cs="Arial"/>
          <w:w w:val="0"/>
        </w:rPr>
        <w:t>Tested Winter Minimum Reliable Capacity = Actual Minimum Fired Net Output x Fwetblb2 x Fbaro2 x Fpf2 x DP/100</w:t>
      </w:r>
    </w:p>
    <w:p w:rsidRPr="00F10071" w:rsidR="00506657" w:rsidP="00F10071" w:rsidRDefault="00506657" w14:paraId="4816E0EA" w14:textId="68F00E8B">
      <w:pPr>
        <w:adjustRightInd w:val="0"/>
        <w:textAlignment w:val="baseline"/>
        <w:rPr>
          <w:rFonts w:eastAsia="MS Mincho" w:cs="Arial"/>
          <w:w w:val="0"/>
        </w:rPr>
      </w:pPr>
      <w:r>
        <w:rPr>
          <w:rFonts w:eastAsia="MS Mincho" w:cs="Arial"/>
          <w:w w:val="0"/>
        </w:rPr>
        <w:t>Where:</w:t>
      </w:r>
    </w:p>
    <w:p w:rsidRPr="00F10071" w:rsidR="00506657" w:rsidP="00F10071" w:rsidRDefault="00506657" w14:paraId="33C16E5C" w14:textId="397296CA">
      <w:pPr>
        <w:adjustRightInd w:val="0"/>
        <w:textAlignment w:val="baseline"/>
        <w:rPr>
          <w:rFonts w:eastAsia="MS Mincho" w:cs="Arial"/>
          <w:w w:val="0"/>
        </w:rPr>
      </w:pPr>
      <w:r>
        <w:rPr>
          <w:rFonts w:eastAsia="MS Mincho" w:cs="Arial"/>
          <w:w w:val="0"/>
        </w:rPr>
        <w:t>Actual Maximum Base Net Output = actual net Facility output measured during the test conducted at maximum base load.</w:t>
      </w:r>
    </w:p>
    <w:p w:rsidRPr="000057B0" w:rsidR="00506657" w:rsidP="00F10071" w:rsidRDefault="00506657" w14:paraId="6BDD4792" w14:textId="76C1C695">
      <w:pPr>
        <w:adjustRightInd w:val="0"/>
        <w:textAlignment w:val="baseline"/>
        <w:rPr>
          <w:rFonts w:eastAsia="MS Mincho" w:cs="Arial"/>
          <w:w w:val="0"/>
        </w:rPr>
      </w:pPr>
      <w:r>
        <w:rPr>
          <w:rFonts w:eastAsia="MS Mincho" w:cs="Arial"/>
          <w:w w:val="0"/>
        </w:rPr>
        <w:t>Actual Maximum Fired Net Output = actual net Facility output measured during the test conducted at maximum base load with full Tier 1 and Tier 2 Supplemental Operating Modes firing.</w:t>
      </w:r>
    </w:p>
    <w:p w:rsidRPr="000057B0" w:rsidR="00506657" w:rsidP="00F10071" w:rsidRDefault="00506657" w14:paraId="266770DD" w14:textId="6B73F319">
      <w:pPr>
        <w:adjustRightInd w:val="0"/>
        <w:textAlignment w:val="baseline"/>
        <w:rPr>
          <w:rFonts w:eastAsia="MS Mincho" w:cs="Arial"/>
          <w:w w:val="0"/>
        </w:rPr>
      </w:pPr>
      <w:r>
        <w:rPr>
          <w:rFonts w:eastAsia="MS Mincho" w:cs="Arial"/>
          <w:w w:val="0"/>
        </w:rPr>
        <w:t>Fwetblb = correction factor for dry bulb temperature and relative humidity from actual conditions to Reference Conditions. Fwetblb for the Facility = Figure E1 (</w:t>
      </w:r>
      <w:r>
        <w:rPr>
          <w:rFonts w:eastAsia="Times New Roman" w:cs="Arial"/>
          <w:i/>
          <w:iCs/>
        </w:rPr>
        <w:t>Power Output vs. Dry Bulb temperature and Relative Humidity</w:t>
      </w:r>
      <w:r>
        <w:rPr>
          <w:rFonts w:eastAsia="MS Mincho" w:cs="Arial"/>
          <w:w w:val="0"/>
        </w:rPr>
        <w:t>).</w:t>
      </w:r>
    </w:p>
    <w:p w:rsidRPr="000057B0" w:rsidR="00506657" w:rsidP="00F10071" w:rsidRDefault="00506657" w14:paraId="5E6DF3FB" w14:textId="5A420263">
      <w:pPr>
        <w:adjustRightInd w:val="0"/>
        <w:textAlignment w:val="baseline"/>
        <w:rPr>
          <w:rFonts w:eastAsia="MS Mincho" w:cs="Arial"/>
          <w:w w:val="0"/>
        </w:rPr>
      </w:pPr>
      <w:r>
        <w:rPr>
          <w:rFonts w:eastAsia="MS Mincho" w:cs="Arial"/>
          <w:w w:val="0"/>
        </w:rPr>
        <w:t>Fbaro = correction for barometric pressure from actual test conditions to applicable Reference Conditions. Fbaro for the Facility = Figure E2 (</w:t>
      </w:r>
      <w:r>
        <w:rPr>
          <w:rFonts w:eastAsia="Times New Roman" w:cs="Arial"/>
          <w:i/>
          <w:iCs/>
        </w:rPr>
        <w:t>Power Output vs. Barometric Pressure</w:t>
      </w:r>
      <w:r>
        <w:rPr>
          <w:rFonts w:eastAsia="Times New Roman" w:cs="Arial"/>
        </w:rPr>
        <w:t>)</w:t>
      </w:r>
      <w:r>
        <w:rPr>
          <w:rFonts w:eastAsia="MS Mincho" w:cs="Arial"/>
          <w:w w:val="0"/>
        </w:rPr>
        <w:t>.</w:t>
      </w:r>
    </w:p>
    <w:p w:rsidRPr="000057B0" w:rsidR="00506657" w:rsidP="00F10071" w:rsidRDefault="00506657" w14:paraId="1C316B07" w14:textId="316276FE">
      <w:pPr>
        <w:adjustRightInd w:val="0"/>
        <w:textAlignment w:val="baseline"/>
        <w:rPr>
          <w:rFonts w:eastAsia="MS Mincho" w:cs="Arial"/>
          <w:w w:val="0"/>
        </w:rPr>
      </w:pPr>
      <w:r>
        <w:rPr>
          <w:rFonts w:eastAsia="MS Mincho" w:cs="Arial"/>
          <w:w w:val="0"/>
        </w:rPr>
        <w:t>Fpf = correction for reactive power output from actual test conditions to applicable Reference Conditions. Fpf for the Facility = Figure E3 (</w:t>
      </w:r>
      <w:r>
        <w:rPr>
          <w:rFonts w:eastAsia="Times New Roman" w:cs="Arial"/>
          <w:i/>
          <w:iCs/>
        </w:rPr>
        <w:t>Power Output vs. Generator Reactive Power Output</w:t>
      </w:r>
      <w:r>
        <w:rPr>
          <w:rFonts w:eastAsia="MS Mincho" w:cs="Arial"/>
          <w:w w:val="0"/>
        </w:rPr>
        <w:t>).</w:t>
      </w:r>
    </w:p>
    <w:p w:rsidRPr="00F10071" w:rsidR="00506657" w:rsidP="00F10071" w:rsidRDefault="00506657" w14:paraId="2EE3BC9E" w14:textId="69E1891E">
      <w:pPr>
        <w:adjustRightInd w:val="0"/>
        <w:textAlignment w:val="baseline"/>
        <w:rPr>
          <w:rFonts w:eastAsia="Times New Roman" w:cs="Arial"/>
        </w:rPr>
      </w:pPr>
      <w:r>
        <w:rPr>
          <w:rFonts w:eastAsia="MS Mincho" w:cs="Arial"/>
          <w:w w:val="0"/>
        </w:rPr>
        <w:t>DP = the dedicated percentage of the Facility that is committed to this PPA, which for the Facility = ________________</w:t>
      </w:r>
      <w:r>
        <w:rPr>
          <w:rFonts w:eastAsia="Times New Roman" w:cs="Arial"/>
        </w:rPr>
        <w:t xml:space="preserve">.  </w:t>
      </w:r>
    </w:p>
    <w:p w:rsidRPr="00F10071" w:rsidR="00506657" w:rsidP="00506657" w:rsidRDefault="00506657" w14:paraId="71C7C167" w14:textId="77777777">
      <w:pPr>
        <w:adjustRightInd w:val="0"/>
        <w:spacing w:before="0" w:after="480"/>
        <w:textAlignment w:val="baseline"/>
        <w:rPr>
          <w:rFonts w:eastAsia="Times New Roman" w:cs="Arial"/>
        </w:rPr>
      </w:pPr>
    </w:p>
    <w:p w:rsidRPr="00E37DA1" w:rsidR="00506657" w:rsidP="00506657" w:rsidRDefault="00506657" w14:paraId="78B9FECA" w14:textId="77777777">
      <w:pPr>
        <w:adjustRightInd w:val="0"/>
        <w:spacing w:before="0" w:after="480"/>
        <w:jc w:val="center"/>
        <w:textAlignment w:val="baseline"/>
        <w:rPr>
          <w:rFonts w:eastAsia="Times New Roman" w:cs="Arial"/>
          <w:iCs/>
        </w:rPr>
      </w:pPr>
      <w:r>
        <w:rPr>
          <w:rFonts w:eastAsia="Times New Roman" w:cs="Arial"/>
          <w:iCs/>
          <w:highlight w:val="yellow"/>
        </w:rPr>
        <w:t>[To be provided by Bidder]</w:t>
      </w:r>
    </w:p>
    <w:p w:rsidRPr="00F10071" w:rsidR="00506657" w:rsidP="00506657" w:rsidRDefault="00506657" w14:paraId="12707389" w14:textId="49889AEC">
      <w:pPr>
        <w:adjustRightInd w:val="0"/>
        <w:spacing w:before="0" w:after="480"/>
        <w:jc w:val="left"/>
        <w:textAlignment w:val="baseline"/>
        <w:rPr>
          <w:rFonts w:eastAsia="Times New Roman" w:cs="Arial"/>
        </w:rPr>
      </w:pPr>
      <w:r>
        <w:rPr>
          <w:rFonts w:eastAsia="Times New Roman" w:cs="Arial"/>
          <w:b/>
        </w:rPr>
        <w:t>Figure E1</w:t>
      </w:r>
      <w:r>
        <w:rPr>
          <w:rFonts w:eastAsia="Times New Roman" w:cs="Arial"/>
        </w:rPr>
        <w:t>: Power Output vs. Dry Bulb temperature and Relative Humidity</w:t>
      </w:r>
    </w:p>
    <w:p w:rsidRPr="00F10071" w:rsidR="00506657" w:rsidP="00506657" w:rsidRDefault="00506657" w14:paraId="7F0D14D3" w14:textId="77777777">
      <w:pPr>
        <w:adjustRightInd w:val="0"/>
        <w:spacing w:before="0" w:after="480"/>
        <w:jc w:val="left"/>
        <w:textAlignment w:val="baseline"/>
        <w:rPr>
          <w:rFonts w:eastAsia="Times New Roman" w:cs="Arial"/>
          <w:i/>
        </w:rPr>
      </w:pPr>
    </w:p>
    <w:p w:rsidRPr="00F10071" w:rsidR="00506657" w:rsidP="00506657" w:rsidRDefault="00506657" w14:paraId="2D97F493" w14:textId="77777777">
      <w:pPr>
        <w:adjustRightInd w:val="0"/>
        <w:spacing w:before="0" w:after="480"/>
        <w:jc w:val="left"/>
        <w:textAlignment w:val="baseline"/>
        <w:rPr>
          <w:rFonts w:eastAsia="Times New Roman" w:cs="Arial"/>
          <w:i/>
        </w:rPr>
      </w:pPr>
    </w:p>
    <w:p w:rsidRPr="00F10071" w:rsidR="00506657" w:rsidP="00506657" w:rsidRDefault="00506657" w14:paraId="398E7E59" w14:textId="77777777">
      <w:pPr>
        <w:adjustRightInd w:val="0"/>
        <w:spacing w:before="0" w:after="480"/>
        <w:jc w:val="left"/>
        <w:textAlignment w:val="baseline"/>
        <w:rPr>
          <w:rFonts w:eastAsia="Times New Roman" w:cs="Arial"/>
          <w:i/>
        </w:rPr>
      </w:pPr>
    </w:p>
    <w:p w:rsidRPr="00E37DA1" w:rsidR="00506657" w:rsidP="00506657" w:rsidRDefault="00506657" w14:paraId="2A91F918" w14:textId="77777777">
      <w:pPr>
        <w:adjustRightInd w:val="0"/>
        <w:spacing w:before="0" w:after="480"/>
        <w:jc w:val="center"/>
        <w:textAlignment w:val="baseline"/>
        <w:rPr>
          <w:rFonts w:eastAsia="Times New Roman" w:cs="Arial"/>
          <w:iCs/>
        </w:rPr>
      </w:pPr>
      <w:r>
        <w:rPr>
          <w:rFonts w:eastAsia="Times New Roman" w:cs="Arial"/>
          <w:iCs/>
          <w:highlight w:val="yellow"/>
        </w:rPr>
        <w:t>[To be provided by Bidder]</w:t>
      </w:r>
    </w:p>
    <w:p w:rsidRPr="00F10071" w:rsidR="00506657" w:rsidP="00506657" w:rsidRDefault="00506657" w14:paraId="3D0DE29D" w14:textId="1EB2AA5D">
      <w:pPr>
        <w:adjustRightInd w:val="0"/>
        <w:spacing w:before="0" w:after="480"/>
        <w:jc w:val="left"/>
        <w:textAlignment w:val="baseline"/>
        <w:rPr>
          <w:rFonts w:eastAsia="Times New Roman" w:cs="Arial"/>
        </w:rPr>
      </w:pPr>
      <w:r>
        <w:rPr>
          <w:rFonts w:eastAsia="Times New Roman" w:cs="Arial"/>
          <w:b/>
        </w:rPr>
        <w:t>Figure E2</w:t>
      </w:r>
      <w:r>
        <w:rPr>
          <w:rFonts w:eastAsia="Times New Roman" w:cs="Arial"/>
        </w:rPr>
        <w:t>: Power Output vs. Barometric Pressure</w:t>
      </w:r>
    </w:p>
    <w:p w:rsidRPr="00F10071" w:rsidR="00506657" w:rsidP="00506657" w:rsidRDefault="00506657" w14:paraId="198ACC03" w14:textId="77777777">
      <w:pPr>
        <w:adjustRightInd w:val="0"/>
        <w:spacing w:before="0" w:after="480"/>
        <w:jc w:val="left"/>
        <w:textAlignment w:val="baseline"/>
        <w:rPr>
          <w:rFonts w:eastAsia="Times New Roman" w:cs="Arial"/>
          <w:i/>
        </w:rPr>
      </w:pPr>
    </w:p>
    <w:p w:rsidRPr="00F10071" w:rsidR="00506657" w:rsidP="00506657" w:rsidRDefault="00506657" w14:paraId="7CC15D16" w14:textId="77777777">
      <w:pPr>
        <w:adjustRightInd w:val="0"/>
        <w:spacing w:before="0" w:after="480"/>
        <w:jc w:val="left"/>
        <w:textAlignment w:val="baseline"/>
        <w:rPr>
          <w:rFonts w:eastAsia="Times New Roman" w:cs="Arial"/>
          <w:i/>
        </w:rPr>
      </w:pPr>
    </w:p>
    <w:p w:rsidRPr="00C0477A" w:rsidR="00506657" w:rsidP="00506657" w:rsidRDefault="00506657" w14:paraId="211D1892" w14:textId="77777777">
      <w:pPr>
        <w:adjustRightInd w:val="0"/>
        <w:spacing w:before="0" w:after="480"/>
        <w:jc w:val="center"/>
        <w:textAlignment w:val="baseline"/>
        <w:rPr>
          <w:rFonts w:eastAsia="Times New Roman" w:cs="Arial"/>
          <w:iCs/>
        </w:rPr>
      </w:pPr>
      <w:r>
        <w:rPr>
          <w:rFonts w:eastAsia="Times New Roman" w:cs="Arial"/>
          <w:iCs/>
          <w:highlight w:val="yellow"/>
        </w:rPr>
        <w:t>[To be provided by Bidder]</w:t>
      </w:r>
    </w:p>
    <w:p w:rsidR="00556AE6" w:rsidP="00506657" w:rsidRDefault="00506657" w14:paraId="48258486" w14:textId="5E4F155F">
      <w:pPr>
        <w:suppressAutoHyphens/>
        <w:adjustRightInd w:val="0"/>
        <w:spacing w:before="0" w:after="240" w:line="360" w:lineRule="atLeast"/>
        <w:jc w:val="left"/>
        <w:textAlignment w:val="baseline"/>
        <w:outlineLvl w:val="0"/>
        <w:rPr>
          <w:rFonts w:eastAsia="Times New Roman" w:cs="Arial"/>
        </w:rPr>
      </w:pPr>
      <w:r>
        <w:rPr>
          <w:rFonts w:eastAsia="Times New Roman" w:cs="Arial"/>
          <w:b/>
        </w:rPr>
        <w:t>Figure E3</w:t>
      </w:r>
      <w:r>
        <w:rPr>
          <w:rFonts w:eastAsia="Times New Roman" w:cs="Arial"/>
        </w:rPr>
        <w:t xml:space="preserve">: Power Output vs. Generator Reactive Power Output  </w:t>
      </w:r>
    </w:p>
    <w:p w:rsidR="001D798C" w:rsidP="00506657" w:rsidRDefault="001D798C" w14:paraId="74E0AAEA" w14:textId="77777777">
      <w:pPr>
        <w:suppressAutoHyphens/>
        <w:adjustRightInd w:val="0"/>
        <w:spacing w:before="0" w:after="240" w:line="360" w:lineRule="atLeast"/>
        <w:jc w:val="left"/>
        <w:textAlignment w:val="baseline"/>
        <w:outlineLvl w:val="0"/>
        <w:rPr>
          <w:rFonts w:eastAsia="Times New Roman" w:cs="Arial"/>
        </w:rPr>
        <w:sectPr w:rsidR="001D798C" w:rsidSect="005B310E">
          <w:headerReference w:type="default" r:id="rId39"/>
          <w:footerReference w:type="default" r:id="rId40"/>
          <w:pgSz w:w="12240" w:h="15840" w:code="1"/>
          <w:pgMar w:top="1440" w:right="1440" w:bottom="1440" w:left="1440" w:header="720" w:footer="720" w:gutter="0"/>
          <w:paperSrc w:first="15" w:other="15"/>
          <w:cols w:space="1440"/>
        </w:sectPr>
      </w:pPr>
    </w:p>
    <w:p w:rsidRPr="00F10071" w:rsidR="00E87429" w:rsidP="00E87429" w:rsidRDefault="00E87429" w14:paraId="56772604" w14:textId="3BCE3611">
      <w:pPr>
        <w:pStyle w:val="zGTitleExhibit"/>
        <w:rPr>
          <w:rFonts w:cs="Arial"/>
        </w:rPr>
      </w:pPr>
      <w:bookmarkStart w:name="_Toc212473097" w:id="455"/>
      <w:bookmarkStart w:name="_Toc227840793" w:id="456"/>
      <w:r>
        <w:rPr>
          <w:rFonts w:cs="Arial"/>
        </w:rPr>
        <w:lastRenderedPageBreak/>
        <w:t>Exhibit F – Guaranteed Heat Rates</w:t>
      </w:r>
      <w:bookmarkEnd w:id="455"/>
      <w:bookmarkEnd w:id="456"/>
    </w:p>
    <w:p w:rsidRPr="000057B0" w:rsidR="00E87429" w:rsidP="00E87429" w:rsidRDefault="00E87429" w14:paraId="33FA4F9B" w14:textId="0B518260">
      <w:pPr>
        <w:adjustRightInd w:val="0"/>
        <w:spacing w:before="0" w:after="480"/>
        <w:textAlignment w:val="baseline"/>
        <w:outlineLvl w:val="0"/>
        <w:rPr>
          <w:rFonts w:eastAsia="Times New Roman" w:cs="Arial"/>
        </w:rPr>
      </w:pPr>
      <w:r>
        <w:rPr>
          <w:rFonts w:eastAsia="Times New Roman" w:cs="Arial"/>
        </w:rPr>
        <w:t xml:space="preserve">Energy produced by Seller and delivered to GPC from synchronization to Minimum Capacity and from Minimum Capacity to offline will be paid for at the Guaranteed Heat Rate at Minimum Capacity. Guaranteed Heat Rate will be established at Reference Conditions for each mode of operation. </w:t>
      </w:r>
      <w:r>
        <w:rPr>
          <w:rFonts w:eastAsia="Times New Roman" w:cs="Arial"/>
          <w:b/>
          <w:i/>
        </w:rPr>
        <w:t>GPC recognizes that this may not completely compensate bidders for the cost incurred to reach minimum output. Therefore, bidders should include any shortfall in the fuel startup charge.</w:t>
      </w:r>
    </w:p>
    <w:p w:rsidRPr="000057B0" w:rsidR="645A97AD" w:rsidP="2F6F4B58" w:rsidRDefault="645A97AD" w14:paraId="2FFA93C1" w14:textId="2CFDE9C6">
      <w:pPr>
        <w:spacing w:before="0" w:after="480" w:line="360" w:lineRule="atLeast"/>
        <w:jc w:val="center"/>
        <w:outlineLvl w:val="0"/>
        <w:rPr>
          <w:rFonts w:eastAsia="Times New Roman" w:cs="Arial"/>
          <w:b/>
          <w:bCs/>
        </w:rPr>
      </w:pPr>
      <w:r>
        <w:rPr>
          <w:rFonts w:eastAsia="Times New Roman" w:cs="Arial"/>
          <w:b/>
          <w:bCs/>
        </w:rPr>
        <w:t>Guaranteed Heat Rate (in MMBtu/MWh) = Ap + B + C/p</w:t>
      </w:r>
    </w:p>
    <w:p w:rsidRPr="000057B0" w:rsidR="645A97AD" w:rsidP="2F6F4B58" w:rsidRDefault="30C7B92A" w14:paraId="76A539B3" w14:textId="17734F99">
      <w:pPr>
        <w:spacing w:before="0" w:after="480" w:line="360" w:lineRule="atLeast"/>
        <w:jc w:val="center"/>
        <w:outlineLvl w:val="0"/>
        <w:rPr>
          <w:rFonts w:eastAsia="Times New Roman" w:cs="Arial"/>
          <w:b/>
          <w:bCs/>
        </w:rPr>
      </w:pPr>
      <w:r>
        <w:rPr>
          <w:rFonts w:eastAsia="Times New Roman" w:cs="Arial"/>
          <w:b/>
          <w:bCs/>
        </w:rPr>
        <w:t>Where p = net output from the Facility</w:t>
      </w:r>
    </w:p>
    <w:p w:rsidR="00517474" w:rsidP="000C60E1" w:rsidRDefault="00517474" w14:paraId="4E96033F" w14:textId="77777777">
      <w:pPr>
        <w:pStyle w:val="zGNormal"/>
      </w:pPr>
    </w:p>
    <w:p w:rsidR="00480218" w:rsidP="000C60E1" w:rsidRDefault="00480218" w14:paraId="745F15AB" w14:textId="77777777">
      <w:pPr>
        <w:pStyle w:val="zGNormal"/>
      </w:pPr>
    </w:p>
    <w:p w:rsidR="00480218" w:rsidP="000C60E1" w:rsidRDefault="00480218" w14:paraId="7ECF3123" w14:textId="77777777">
      <w:pPr>
        <w:pStyle w:val="zGNormal"/>
        <w:sectPr w:rsidR="00480218" w:rsidSect="005B310E">
          <w:headerReference w:type="default" r:id="rId41"/>
          <w:footerReference w:type="default" r:id="rId42"/>
          <w:pgSz w:w="12240" w:h="15840" w:code="1"/>
          <w:pgMar w:top="1440" w:right="1440" w:bottom="1440" w:left="1440" w:header="720" w:footer="720" w:gutter="0"/>
          <w:paperSrc w:first="15" w:other="15"/>
          <w:cols w:space="1440"/>
        </w:sectPr>
      </w:pPr>
    </w:p>
    <w:p w:rsidRPr="00F10071" w:rsidR="00480218" w:rsidP="00480218" w:rsidRDefault="00480218" w14:paraId="6D9CFAD5" w14:textId="632C9ACC">
      <w:pPr>
        <w:pStyle w:val="zGTitleExhibit"/>
        <w:rPr>
          <w:rFonts w:cs="Arial"/>
        </w:rPr>
      </w:pPr>
      <w:bookmarkStart w:name="_Toc212473098" w:id="457"/>
      <w:bookmarkStart w:name="_Toc227840794" w:id="458"/>
      <w:r>
        <w:rPr>
          <w:rFonts w:cs="Arial"/>
        </w:rPr>
        <w:lastRenderedPageBreak/>
        <w:t>Exhibit G – Form of Guaranty</w:t>
      </w:r>
      <w:bookmarkEnd w:id="457"/>
      <w:bookmarkEnd w:id="458"/>
    </w:p>
    <w:p w:rsidRPr="00E14CB1" w:rsidR="00480218" w:rsidP="00480218" w:rsidRDefault="00480218" w14:paraId="3A4FA59B" w14:textId="77777777">
      <w:pPr>
        <w:rPr>
          <w:rFonts w:eastAsia="Times New Roman"/>
        </w:rPr>
      </w:pPr>
      <w:r>
        <w:rPr>
          <w:rFonts w:eastAsia="Times New Roman"/>
        </w:rPr>
        <w:t xml:space="preserve">This </w:t>
      </w:r>
      <w:r>
        <w:rPr>
          <w:rFonts w:eastAsia="Times New Roman"/>
          <w:b/>
        </w:rPr>
        <w:t>Guaranty Agreement</w:t>
      </w:r>
      <w:r>
        <w:rPr>
          <w:rFonts w:eastAsia="Times New Roman"/>
        </w:rPr>
        <w:t xml:space="preserve"> (“</w:t>
      </w:r>
      <w:r>
        <w:rPr>
          <w:rFonts w:eastAsia="Times New Roman"/>
          <w:b/>
        </w:rPr>
        <w:t>Guaranty</w:t>
      </w:r>
      <w:r>
        <w:rPr>
          <w:rFonts w:eastAsia="Times New Roman"/>
        </w:rPr>
        <w:t>”), effective as of ___________, 20__ (“</w:t>
      </w:r>
      <w:r>
        <w:rPr>
          <w:rFonts w:eastAsia="Times New Roman"/>
          <w:b/>
        </w:rPr>
        <w:t>Effective Date</w:t>
      </w:r>
      <w:r>
        <w:rPr>
          <w:rFonts w:eastAsia="Times New Roman"/>
        </w:rPr>
        <w:t>”), is entered into by __________________ (“</w:t>
      </w:r>
      <w:r>
        <w:rPr>
          <w:rFonts w:eastAsia="Times New Roman"/>
          <w:b/>
        </w:rPr>
        <w:t>Guarantor</w:t>
      </w:r>
      <w:r>
        <w:rPr>
          <w:rFonts w:eastAsia="Times New Roman"/>
        </w:rPr>
        <w:t>”) in favor of Georgia Power Company (“</w:t>
      </w:r>
      <w:r>
        <w:rPr>
          <w:rFonts w:eastAsia="Times New Roman"/>
          <w:b/>
        </w:rPr>
        <w:t>Beneficiary</w:t>
      </w:r>
      <w:r>
        <w:rPr>
          <w:rFonts w:eastAsia="Times New Roman"/>
        </w:rPr>
        <w:t>”). Guarantor acknowledges:</w:t>
      </w:r>
    </w:p>
    <w:p w:rsidRPr="000057B0" w:rsidR="00480218" w:rsidP="004206E0" w:rsidRDefault="00480218" w14:paraId="1C90F843" w14:textId="14AF9AC1">
      <w:pPr>
        <w:numPr>
          <w:ilvl w:val="0"/>
          <w:numId w:val="14"/>
        </w:numPr>
        <w:spacing w:after="0"/>
        <w:rPr>
          <w:rFonts w:eastAsia="Times New Roman"/>
          <w:spacing w:val="-4"/>
        </w:rPr>
      </w:pPr>
      <w:bookmarkStart w:name="_DV_M826" w:id="459"/>
      <w:bookmarkEnd w:id="459"/>
      <w:r>
        <w:rPr>
          <w:rFonts w:eastAsia="Times New Roman"/>
          <w:spacing w:val="-4"/>
        </w:rPr>
        <w:t>Beneficiary and ____________________ (“</w:t>
      </w:r>
      <w:r>
        <w:rPr>
          <w:rFonts w:eastAsia="Times New Roman"/>
          <w:b/>
          <w:bCs/>
          <w:spacing w:val="-4"/>
        </w:rPr>
        <w:t>Company</w:t>
      </w:r>
      <w:r>
        <w:rPr>
          <w:rFonts w:eastAsia="Times New Roman"/>
          <w:spacing w:val="-4"/>
        </w:rPr>
        <w:t>”), [an Affiliate of Guarantor], have entered into a</w:t>
      </w:r>
      <w:r>
        <w:t xml:space="preserve"> </w:t>
      </w:r>
      <w:bookmarkStart w:name="_Hlk142671291" w:id="460"/>
      <w:r>
        <w:rPr>
          <w:rStyle w:val="eop"/>
          <w:rFonts w:cs="Arial"/>
          <w:b/>
          <w:shd w:val="clear" w:color="auto" w:fill="FFFFFF"/>
        </w:rPr>
        <w:t xml:space="preserve">Power Purchase Agreement for </w:t>
      </w:r>
      <w:r>
        <w:rPr>
          <w:rStyle w:val="eop"/>
          <w:rFonts w:cs="Arial"/>
          <w:b/>
          <w:bCs/>
          <w:shd w:val="clear" w:color="auto" w:fill="FFFFFF"/>
        </w:rPr>
        <w:t>Firm Capacity, Firm</w:t>
      </w:r>
      <w:r>
        <w:rPr>
          <w:rStyle w:val="eop"/>
          <w:rFonts w:cs="Arial"/>
          <w:b/>
          <w:shd w:val="clear" w:color="auto" w:fill="FFFFFF"/>
        </w:rPr>
        <w:t xml:space="preserve"> Energy, and Ancillary Services from a Combined Cycle Facility</w:t>
      </w:r>
      <w:r>
        <w:rPr>
          <w:rFonts w:eastAsia="Times New Roman" w:cs="Arial"/>
          <w:b/>
        </w:rPr>
        <w:t xml:space="preserve"> </w:t>
      </w:r>
      <w:r>
        <w:rPr>
          <w:rFonts w:eastAsia="Times New Roman" w:cs="Arial"/>
          <w:b/>
          <w:bCs/>
        </w:rPr>
        <w:t xml:space="preserve">for 2026 All-Source Capacity Request for Proposals for Need Years </w:t>
      </w:r>
      <w:r>
        <w:rPr>
          <w:rFonts w:eastAsia="Times New Roman" w:cs="Arial"/>
          <w:b/>
        </w:rPr>
        <w:t>2032</w:t>
      </w:r>
      <w:r>
        <w:rPr>
          <w:rFonts w:cs="Arial"/>
          <w:b/>
        </w:rPr>
        <w:t>–</w:t>
      </w:r>
      <w:r>
        <w:rPr>
          <w:rFonts w:eastAsia="Times New Roman" w:cs="Arial"/>
          <w:b/>
        </w:rPr>
        <w:t xml:space="preserve">2033 </w:t>
      </w:r>
      <w:bookmarkEnd w:id="460"/>
      <w:r>
        <w:rPr>
          <w:rFonts w:eastAsia="Times New Roman"/>
          <w:spacing w:val="-4"/>
        </w:rPr>
        <w:t xml:space="preserve">dated as of ____________, 20__ </w:t>
      </w:r>
      <w:r>
        <w:rPr>
          <w:rFonts w:eastAsia="Times New Roman"/>
        </w:rPr>
        <w:t>(as amended, restated, supplemented or otherwise modified from time to time, “</w:t>
      </w:r>
      <w:r>
        <w:rPr>
          <w:rFonts w:eastAsia="Times New Roman"/>
          <w:b/>
          <w:spacing w:val="-4"/>
        </w:rPr>
        <w:t>PPA</w:t>
      </w:r>
      <w:r>
        <w:rPr>
          <w:rFonts w:eastAsia="Times New Roman"/>
          <w:spacing w:val="-4"/>
        </w:rPr>
        <w:t xml:space="preserve">”) regarding combined cycle facility located in </w:t>
      </w:r>
      <w:r>
        <w:rPr>
          <w:rFonts w:eastAsia="Times New Roman"/>
          <w:spacing w:val="-4"/>
          <w:highlight w:val="yellow"/>
        </w:rPr>
        <w:t>#FacilityCity,</w:t>
      </w:r>
      <w:r>
        <w:rPr>
          <w:rFonts w:eastAsia="Times New Roman"/>
          <w:spacing w:val="-4"/>
        </w:rPr>
        <w:t xml:space="preserve"> </w:t>
      </w:r>
      <w:r>
        <w:rPr>
          <w:rFonts w:eastAsia="Times New Roman"/>
          <w:spacing w:val="-4"/>
          <w:highlight w:val="yellow"/>
        </w:rPr>
        <w:t>#FacilityState</w:t>
      </w:r>
      <w:r>
        <w:rPr>
          <w:rFonts w:eastAsia="Times New Roman"/>
          <w:spacing w:val="-4"/>
        </w:rPr>
        <w:t>, as further described in Exhibit A (</w:t>
      </w:r>
      <w:r>
        <w:rPr>
          <w:rFonts w:eastAsia="Times New Roman"/>
          <w:i/>
          <w:spacing w:val="-4"/>
        </w:rPr>
        <w:t>Facility Description and Additional Details</w:t>
      </w:r>
      <w:bookmarkStart w:name="_DV_M827" w:id="461"/>
      <w:bookmarkEnd w:id="461"/>
      <w:r>
        <w:rPr>
          <w:rFonts w:eastAsia="Times New Roman"/>
          <w:spacing w:val="-4"/>
        </w:rPr>
        <w:t>);</w:t>
      </w:r>
    </w:p>
    <w:p w:rsidRPr="000057B0" w:rsidR="00480218" w:rsidP="004206E0" w:rsidRDefault="00480218" w14:paraId="0090EABA" w14:textId="77777777">
      <w:pPr>
        <w:numPr>
          <w:ilvl w:val="0"/>
          <w:numId w:val="14"/>
        </w:numPr>
        <w:spacing w:after="0"/>
        <w:rPr>
          <w:rFonts w:eastAsia="Times New Roman"/>
          <w:spacing w:val="-4"/>
        </w:rPr>
      </w:pPr>
      <w:r>
        <w:rPr>
          <w:rFonts w:eastAsia="Times New Roman"/>
          <w:spacing w:val="-4"/>
        </w:rPr>
        <w:t xml:space="preserve">Beneficiary has required, as </w:t>
      </w:r>
      <w:r>
        <w:rPr>
          <w:rFonts w:eastAsia="Times New Roman"/>
        </w:rPr>
        <w:t>an inducement</w:t>
      </w:r>
      <w:r>
        <w:rPr>
          <w:rFonts w:eastAsia="Times New Roman"/>
          <w:spacing w:val="-4"/>
        </w:rPr>
        <w:t xml:space="preserve"> to its entry into the PPA, that Guarantor deliver to the Beneficiary this Guaranty or other Eligible Collateral as and when required under the PPA;</w:t>
      </w:r>
      <w:bookmarkStart w:name="_DV_M828" w:id="462"/>
      <w:bookmarkEnd w:id="462"/>
    </w:p>
    <w:p w:rsidRPr="000057B0" w:rsidR="00480218" w:rsidP="004206E0" w:rsidRDefault="00480218" w14:paraId="52898084" w14:textId="77777777">
      <w:pPr>
        <w:numPr>
          <w:ilvl w:val="0"/>
          <w:numId w:val="14"/>
        </w:numPr>
        <w:spacing w:after="0"/>
        <w:rPr>
          <w:rFonts w:eastAsia="Times New Roman"/>
          <w:spacing w:val="-4"/>
        </w:rPr>
      </w:pPr>
      <w:r>
        <w:rPr>
          <w:rFonts w:eastAsia="Times New Roman"/>
          <w:spacing w:val="-4"/>
        </w:rPr>
        <w:t>Guarantor qualifies as a Seller Guarantor under the PPA, and this Guaranty qualifies as Eligible Collateral under the PPA; and</w:t>
      </w:r>
      <w:bookmarkStart w:name="_DV_M829" w:id="463"/>
      <w:bookmarkEnd w:id="463"/>
    </w:p>
    <w:p w:rsidRPr="000057B0" w:rsidR="00480218" w:rsidP="004206E0" w:rsidRDefault="00480218" w14:paraId="00142279" w14:textId="77777777">
      <w:pPr>
        <w:numPr>
          <w:ilvl w:val="0"/>
          <w:numId w:val="14"/>
        </w:numPr>
        <w:spacing w:after="0"/>
        <w:rPr>
          <w:rFonts w:eastAsia="Times New Roman"/>
          <w:spacing w:val="-4"/>
        </w:rPr>
      </w:pPr>
      <w:r>
        <w:rPr>
          <w:rFonts w:eastAsia="Times New Roman"/>
          <w:spacing w:val="-4"/>
        </w:rPr>
        <w:t>Guarantor will derive substantial direct and indirect benefit from the transactions contemplated by the PPA.</w:t>
      </w:r>
    </w:p>
    <w:p w:rsidRPr="000057B0" w:rsidR="00480218" w:rsidP="00480218" w:rsidRDefault="00480218" w14:paraId="1F7B24B8" w14:textId="77777777">
      <w:pPr>
        <w:rPr>
          <w:rFonts w:eastAsia="Times New Roman"/>
        </w:rPr>
      </w:pPr>
      <w:bookmarkStart w:name="_DV_M830" w:id="464"/>
      <w:bookmarkEnd w:id="464"/>
      <w:r>
        <w:rPr>
          <w:rFonts w:eastAsia="Times New Roman"/>
        </w:rPr>
        <w:t>To induce Beneficiary to enter into and perform its obligations under the PPA, and for and in consideration of the foregoing premises, the mutual agreements contained herein, and other good and valuable consideration, the receipt and sufficiency of which are acknowledged, Guarantor agrees as follows:</w:t>
      </w:r>
    </w:p>
    <w:p w:rsidRPr="000057B0" w:rsidR="00480218" w:rsidP="00480218" w:rsidRDefault="00480218" w14:paraId="523C797E" w14:textId="20D3ABED">
      <w:pPr>
        <w:keepNext/>
        <w:autoSpaceDE w:val="0"/>
        <w:autoSpaceDN w:val="0"/>
        <w:adjustRightInd w:val="0"/>
        <w:spacing w:before="240"/>
        <w:jc w:val="left"/>
        <w:outlineLvl w:val="0"/>
        <w:rPr>
          <w:rFonts w:eastAsia="Times New Roman"/>
          <w:b/>
          <w:caps/>
        </w:rPr>
      </w:pPr>
      <w:bookmarkStart w:name="_DV_M831" w:id="465"/>
      <w:bookmarkEnd w:id="465"/>
      <w:r>
        <w:rPr>
          <w:rFonts w:eastAsia="Times New Roman"/>
          <w:b/>
          <w:caps/>
        </w:rPr>
        <w:t>PART 1 Definitions</w:t>
      </w:r>
    </w:p>
    <w:p w:rsidRPr="000057B0" w:rsidR="00480218" w:rsidP="004206E0" w:rsidRDefault="00480218" w14:paraId="750DA54C" w14:textId="77777777">
      <w:pPr>
        <w:numPr>
          <w:ilvl w:val="0"/>
          <w:numId w:val="13"/>
        </w:numPr>
        <w:tabs>
          <w:tab w:val="left" w:pos="540"/>
        </w:tabs>
        <w:autoSpaceDE w:val="0"/>
        <w:autoSpaceDN w:val="0"/>
        <w:adjustRightInd w:val="0"/>
        <w:ind w:left="0" w:firstLine="0"/>
        <w:outlineLvl w:val="1"/>
        <w:rPr>
          <w:rFonts w:eastAsia="Times New Roman"/>
        </w:rPr>
      </w:pPr>
      <w:bookmarkStart w:name="_DV_M832" w:id="466"/>
      <w:bookmarkEnd w:id="466"/>
      <w:r>
        <w:rPr>
          <w:rFonts w:eastAsia="Times New Roman"/>
          <w:b/>
        </w:rPr>
        <w:t>Definitions.</w:t>
      </w:r>
      <w:r>
        <w:rPr>
          <w:rFonts w:eastAsia="Times New Roman"/>
        </w:rPr>
        <w:t xml:space="preserve"> Unless otherwise defined in this Guaranty, capitalized terms have the meanings specified or referred to in the PPA.</w:t>
      </w:r>
    </w:p>
    <w:p w:rsidRPr="000057B0" w:rsidR="00480218" w:rsidP="00480218" w:rsidRDefault="00480218" w14:paraId="278B3C3D" w14:textId="73776D93">
      <w:pPr>
        <w:keepNext/>
        <w:autoSpaceDE w:val="0"/>
        <w:autoSpaceDN w:val="0"/>
        <w:adjustRightInd w:val="0"/>
        <w:spacing w:before="240"/>
        <w:jc w:val="left"/>
        <w:outlineLvl w:val="0"/>
        <w:rPr>
          <w:rFonts w:eastAsia="Times New Roman"/>
          <w:b/>
          <w:caps/>
        </w:rPr>
      </w:pPr>
      <w:bookmarkStart w:name="_DV_M833" w:id="467"/>
      <w:bookmarkEnd w:id="467"/>
      <w:r>
        <w:rPr>
          <w:rFonts w:eastAsia="Times New Roman"/>
          <w:b/>
          <w:caps/>
        </w:rPr>
        <w:t>PART 2 Guaranty</w:t>
      </w:r>
    </w:p>
    <w:p w:rsidRPr="000057B0" w:rsidR="00480218" w:rsidP="004206E0" w:rsidRDefault="00480218" w14:paraId="2392ABBB" w14:textId="2BE98AA3">
      <w:pPr>
        <w:numPr>
          <w:ilvl w:val="0"/>
          <w:numId w:val="13"/>
        </w:numPr>
        <w:tabs>
          <w:tab w:val="left" w:pos="540"/>
        </w:tabs>
        <w:autoSpaceDE w:val="0"/>
        <w:autoSpaceDN w:val="0"/>
        <w:adjustRightInd w:val="0"/>
        <w:ind w:left="0" w:firstLine="0"/>
        <w:outlineLvl w:val="1"/>
        <w:rPr>
          <w:rFonts w:eastAsia="Times New Roman"/>
        </w:rPr>
      </w:pPr>
      <w:bookmarkStart w:name="_DV_M834" w:id="468"/>
      <w:bookmarkEnd w:id="468"/>
      <w:r>
        <w:rPr>
          <w:rFonts w:eastAsia="Times New Roman"/>
          <w:b/>
        </w:rPr>
        <w:t>Guaranty.</w:t>
      </w:r>
      <w:r>
        <w:rPr>
          <w:rFonts w:eastAsia="Times New Roman"/>
          <w:i/>
        </w:rPr>
        <w:t xml:space="preserve"> </w:t>
      </w:r>
      <w:r>
        <w:rPr>
          <w:rFonts w:eastAsia="Times New Roman"/>
        </w:rPr>
        <w:t>Guarantor unconditionally and irrevocably guarantees to Beneficiary and Beneficiary’s successors and assigns, that Guarantor will make prompt and full payment of any obligations of Company to Beneficiary when due, whether by acceleration or otherwise, with any interest as may accrue under the PPA or under any other documents or instruments now or in the future evidencing, securing, or otherwise relating to the PPA (“</w:t>
      </w:r>
      <w:r>
        <w:rPr>
          <w:rFonts w:eastAsia="Times New Roman"/>
          <w:b/>
        </w:rPr>
        <w:t>Guaranteed Obligations</w:t>
      </w:r>
      <w:r>
        <w:rPr>
          <w:rFonts w:eastAsia="Times New Roman"/>
        </w:rPr>
        <w:t>”), except that Guarantor’s liability under this Guaranty will in no event exceed the aggregate amount of Eligible Collateral that Company must provide in accordance with PPA Part 6 (</w:t>
      </w:r>
      <w:r>
        <w:rPr>
          <w:rFonts w:eastAsia="Times New Roman"/>
          <w:i/>
          <w:iCs/>
        </w:rPr>
        <w:t>Performance Security</w:t>
      </w:r>
      <w:r>
        <w:rPr>
          <w:rFonts w:eastAsia="Times New Roman"/>
        </w:rPr>
        <w:t>) (plus costs of enforcement of this Guaranty as provided in Section 4.4 (</w:t>
      </w:r>
      <w:r>
        <w:rPr>
          <w:rFonts w:eastAsia="Times New Roman"/>
          <w:i/>
        </w:rPr>
        <w:t>Expenses</w:t>
      </w:r>
      <w:r>
        <w:rPr>
          <w:rFonts w:eastAsia="Times New Roman"/>
        </w:rPr>
        <w:t>)). Guarantor must immediately pay for any obligation of Company upon demand by Beneficiary.</w:t>
      </w:r>
    </w:p>
    <w:p w:rsidRPr="000057B0" w:rsidR="00480218" w:rsidP="00480218" w:rsidRDefault="00480218" w14:paraId="4CD2E7EB" w14:textId="77777777">
      <w:pPr>
        <w:tabs>
          <w:tab w:val="left" w:pos="540"/>
          <w:tab w:val="left" w:pos="1440"/>
        </w:tabs>
        <w:autoSpaceDE w:val="0"/>
        <w:autoSpaceDN w:val="0"/>
        <w:adjustRightInd w:val="0"/>
        <w:outlineLvl w:val="1"/>
        <w:rPr>
          <w:rFonts w:eastAsia="Times New Roman"/>
          <w:b/>
          <w:i/>
        </w:rPr>
      </w:pPr>
      <w:bookmarkStart w:name="_DV_M835" w:id="469"/>
      <w:bookmarkEnd w:id="469"/>
      <w:r>
        <w:rPr>
          <w:rFonts w:eastAsia="Times New Roman"/>
          <w:b/>
        </w:rPr>
        <w:t>2.2</w:t>
      </w:r>
      <w:r>
        <w:rPr>
          <w:rFonts w:eastAsia="Times New Roman"/>
          <w:b/>
          <w:i/>
        </w:rPr>
        <w:tab/>
      </w:r>
      <w:r>
        <w:rPr>
          <w:rFonts w:eastAsia="Times New Roman"/>
          <w:b/>
        </w:rPr>
        <w:t>Guaranty Absolute</w:t>
      </w:r>
      <w:r>
        <w:rPr>
          <w:rFonts w:eastAsia="Times New Roman"/>
          <w:b/>
          <w:i/>
        </w:rPr>
        <w:t>.</w:t>
      </w:r>
    </w:p>
    <w:p w:rsidRPr="00E14CB1" w:rsidR="00480218" w:rsidP="00480218" w:rsidRDefault="00480218" w14:paraId="52180B0C" w14:textId="77777777">
      <w:pPr>
        <w:tabs>
          <w:tab w:val="left" w:pos="1440"/>
        </w:tabs>
        <w:autoSpaceDE w:val="0"/>
        <w:autoSpaceDN w:val="0"/>
        <w:adjustRightInd w:val="0"/>
        <w:ind w:left="270"/>
        <w:outlineLvl w:val="1"/>
        <w:rPr>
          <w:rFonts w:eastAsia="Times New Roman"/>
        </w:rPr>
      </w:pPr>
      <w:bookmarkStart w:name="_DV_M836" w:id="470"/>
      <w:bookmarkEnd w:id="470"/>
      <w:r>
        <w:rPr>
          <w:rFonts w:eastAsia="Times New Roman"/>
          <w:b/>
          <w:iCs/>
        </w:rPr>
        <w:t>2.2.1. Guarantor Guarantees.</w:t>
      </w:r>
      <w:r>
        <w:rPr>
          <w:rFonts w:eastAsia="Times New Roman"/>
        </w:rPr>
        <w:t xml:space="preserve"> Guarantor absolutely guarantees that the Guaranteed Obligations will be paid strictly in accordance with the terms of the PPA, regardless of any law or regulation in effect now, or that may come into effect in the future, in any jurisdiction affecting any of the terms or the rights of Beneficiary regarding the PPA. This Guaranty constitutes a guarantee of payment and not of collection. The obligations of Guarantor under this Guaranty are primary obligations and are several from Company or any other Person, and Guarantor is the principal obligor under this Guaranty. Guarantor’s liability under this Guaranty will be direct and immediate and not conditional or contingent upon the pursuit of any remedies against Company or any other person, nor against securities or liens available to Beneficiary or Beneficiary’s successors or assigns. </w:t>
      </w:r>
      <w:r>
        <w:rPr>
          <w:rFonts w:eastAsia="Times New Roman"/>
          <w:b/>
          <w:bCs/>
        </w:rPr>
        <w:t>Guarantor’s liability under this Guaranty will be irrevocable, absolute, and unconditional irrespective of, and Guarantor unconditionally and irrevocably waives any defenses it may now have or later acquire in any way relating to:</w:t>
      </w:r>
    </w:p>
    <w:p w:rsidRPr="00E14CB1" w:rsidR="00480218" w:rsidP="004206E0" w:rsidRDefault="00480218" w14:paraId="7F6C9BAE" w14:textId="77777777">
      <w:pPr>
        <w:widowControl w:val="0"/>
        <w:numPr>
          <w:ilvl w:val="6"/>
          <w:numId w:val="10"/>
        </w:numPr>
        <w:tabs>
          <w:tab w:val="left" w:pos="1080"/>
          <w:tab w:val="left" w:pos="5788"/>
        </w:tabs>
        <w:autoSpaceDE w:val="0"/>
        <w:autoSpaceDN w:val="0"/>
        <w:adjustRightInd w:val="0"/>
        <w:ind w:left="540" w:firstLine="0"/>
        <w:outlineLvl w:val="6"/>
        <w:rPr>
          <w:rFonts w:eastAsia="Times New Roman"/>
          <w:b/>
        </w:rPr>
      </w:pPr>
      <w:bookmarkStart w:name="_DV_M837" w:id="471"/>
      <w:bookmarkEnd w:id="471"/>
      <w:r>
        <w:rPr>
          <w:rFonts w:eastAsia="Times New Roman"/>
          <w:b/>
        </w:rPr>
        <w:t xml:space="preserve">any change in the time, manner, or place of payment of, or in any other term of, any of the Guaranteed Obligations, or any other amendment, modification, or waiver of, or any </w:t>
      </w:r>
      <w:r>
        <w:rPr>
          <w:rFonts w:eastAsia="Times New Roman"/>
          <w:b/>
        </w:rPr>
        <w:lastRenderedPageBreak/>
        <w:t>consent to departure from, the terms of any Guaranteed Obligations, or any compromise, settlement, release, or termination of any of the Guaranteed Obligations;</w:t>
      </w:r>
      <w:bookmarkStart w:name="_DV_M838" w:id="472"/>
      <w:bookmarkEnd w:id="472"/>
    </w:p>
    <w:p w:rsidRPr="00E14CB1" w:rsidR="00480218" w:rsidP="004206E0" w:rsidRDefault="00480218" w14:paraId="049D57A1" w14:textId="77777777">
      <w:pPr>
        <w:widowControl w:val="0"/>
        <w:numPr>
          <w:ilvl w:val="6"/>
          <w:numId w:val="10"/>
        </w:numPr>
        <w:tabs>
          <w:tab w:val="left" w:pos="1080"/>
          <w:tab w:val="left" w:pos="5788"/>
        </w:tabs>
        <w:autoSpaceDE w:val="0"/>
        <w:autoSpaceDN w:val="0"/>
        <w:adjustRightInd w:val="0"/>
        <w:ind w:left="540" w:firstLine="0"/>
        <w:outlineLvl w:val="6"/>
        <w:rPr>
          <w:rFonts w:eastAsia="Times New Roman"/>
          <w:b/>
        </w:rPr>
      </w:pPr>
      <w:r>
        <w:rPr>
          <w:rFonts w:eastAsia="Times New Roman"/>
          <w:b/>
        </w:rPr>
        <w:t>any change, restructuring, or termination of the corporate structure or existence of Company or any of its subsidiaries, including Guarantor’s disposal of any part of Guarantor’s interest in Company, or Guarantor’s alteration of Guarantor’s investment in Company in any manner;</w:t>
      </w:r>
      <w:bookmarkStart w:name="_DV_M839" w:id="473"/>
      <w:bookmarkEnd w:id="473"/>
    </w:p>
    <w:p w:rsidRPr="00E14CB1" w:rsidR="00480218" w:rsidP="004206E0" w:rsidRDefault="00480218" w14:paraId="233760E1" w14:textId="77777777">
      <w:pPr>
        <w:keepNext/>
        <w:keepLines/>
        <w:numPr>
          <w:ilvl w:val="6"/>
          <w:numId w:val="10"/>
        </w:numPr>
        <w:tabs>
          <w:tab w:val="left" w:pos="1080"/>
          <w:tab w:val="left" w:pos="5788"/>
        </w:tabs>
        <w:autoSpaceDE w:val="0"/>
        <w:autoSpaceDN w:val="0"/>
        <w:adjustRightInd w:val="0"/>
        <w:ind w:left="547" w:firstLine="0"/>
        <w:outlineLvl w:val="6"/>
        <w:rPr>
          <w:rFonts w:eastAsia="Times New Roman"/>
          <w:b/>
        </w:rPr>
      </w:pPr>
      <w:r>
        <w:rPr>
          <w:rFonts w:eastAsia="Times New Roman"/>
          <w:b/>
        </w:rPr>
        <w:t>any lack of validity or enforceability, in whole or in part, of the Guaranteed Obligations, the PPA, or any agreement or instrument relating the Guaranteed Obligations or the PPA;</w:t>
      </w:r>
      <w:bookmarkStart w:name="_DV_M840" w:id="474"/>
      <w:bookmarkEnd w:id="474"/>
    </w:p>
    <w:p w:rsidRPr="00E14CB1" w:rsidR="00480218" w:rsidP="004206E0" w:rsidRDefault="00480218" w14:paraId="1E8C63B8" w14:textId="77777777">
      <w:pPr>
        <w:widowControl w:val="0"/>
        <w:numPr>
          <w:ilvl w:val="6"/>
          <w:numId w:val="10"/>
        </w:numPr>
        <w:tabs>
          <w:tab w:val="left" w:pos="1080"/>
          <w:tab w:val="left" w:pos="5788"/>
        </w:tabs>
        <w:autoSpaceDE w:val="0"/>
        <w:autoSpaceDN w:val="0"/>
        <w:adjustRightInd w:val="0"/>
        <w:ind w:left="540" w:firstLine="0"/>
        <w:outlineLvl w:val="6"/>
        <w:rPr>
          <w:rFonts w:eastAsia="Times New Roman"/>
          <w:b/>
        </w:rPr>
      </w:pPr>
      <w:r>
        <w:rPr>
          <w:rFonts w:eastAsia="Times New Roman"/>
          <w:b/>
        </w:rPr>
        <w:t xml:space="preserve">any failure of Beneficiary to disclose to either Company or Guarantor any information relating to the business, condition (financial or otherwise), operations, performance, properties, or prospects of either Company or any of its subsidiaries now or in the future known to Beneficiary (Guarantor waiving any duty on the part of Beneficiary to disclose </w:t>
      </w:r>
      <w:r>
        <w:rPr>
          <w:rFonts w:eastAsia="Times New Roman"/>
          <w:b/>
          <w:bCs/>
        </w:rPr>
        <w:t>the</w:t>
      </w:r>
      <w:r>
        <w:rPr>
          <w:rFonts w:eastAsia="Times New Roman"/>
          <w:b/>
        </w:rPr>
        <w:t xml:space="preserve"> information);</w:t>
      </w:r>
      <w:bookmarkStart w:name="_DV_M841" w:id="475"/>
      <w:bookmarkEnd w:id="475"/>
    </w:p>
    <w:p w:rsidRPr="00E14CB1" w:rsidR="00480218" w:rsidP="004206E0" w:rsidRDefault="00480218" w14:paraId="0ADA445E" w14:textId="77777777">
      <w:pPr>
        <w:widowControl w:val="0"/>
        <w:numPr>
          <w:ilvl w:val="6"/>
          <w:numId w:val="10"/>
        </w:numPr>
        <w:tabs>
          <w:tab w:val="left" w:pos="1080"/>
          <w:tab w:val="left" w:pos="5788"/>
        </w:tabs>
        <w:autoSpaceDE w:val="0"/>
        <w:autoSpaceDN w:val="0"/>
        <w:adjustRightInd w:val="0"/>
        <w:ind w:left="540" w:firstLine="0"/>
        <w:outlineLvl w:val="6"/>
        <w:rPr>
          <w:rFonts w:eastAsia="Times New Roman"/>
          <w:b/>
        </w:rPr>
      </w:pPr>
      <w:r>
        <w:rPr>
          <w:rFonts w:eastAsia="Times New Roman"/>
          <w:b/>
        </w:rPr>
        <w:t>any failure, omission, delay, or lack on the part of Beneficiary to enforce, ascertain, or exercise any right, power, or remedy under or pursuant to the terms of the PPA, the Guaranteed Obligations, or this Guaranty;</w:t>
      </w:r>
      <w:bookmarkStart w:name="_DV_M842" w:id="476"/>
      <w:bookmarkEnd w:id="476"/>
    </w:p>
    <w:p w:rsidRPr="00E14CB1" w:rsidR="00480218" w:rsidP="004206E0" w:rsidRDefault="00480218" w14:paraId="727D784D" w14:textId="41DFEB7F">
      <w:pPr>
        <w:widowControl w:val="0"/>
        <w:numPr>
          <w:ilvl w:val="6"/>
          <w:numId w:val="10"/>
        </w:numPr>
        <w:tabs>
          <w:tab w:val="left" w:pos="1080"/>
          <w:tab w:val="left" w:pos="5788"/>
        </w:tabs>
        <w:autoSpaceDE w:val="0"/>
        <w:autoSpaceDN w:val="0"/>
        <w:adjustRightInd w:val="0"/>
        <w:ind w:left="540" w:firstLine="0"/>
        <w:outlineLvl w:val="6"/>
        <w:rPr>
          <w:rFonts w:eastAsia="Times New Roman"/>
          <w:b/>
        </w:rPr>
      </w:pPr>
      <w:r>
        <w:rPr>
          <w:rFonts w:eastAsia="Times New Roman"/>
          <w:b/>
        </w:rPr>
        <w:t>any failure by Beneficiary to commence an action against Company, including as contemplated by the provisions of O.C.G.A. Section 10-7-24, as amended;</w:t>
      </w:r>
      <w:bookmarkStart w:name="_DV_M843" w:id="477"/>
      <w:bookmarkEnd w:id="477"/>
      <w:r>
        <w:rPr>
          <w:rFonts w:eastAsia="Times New Roman"/>
          <w:b/>
        </w:rPr>
        <w:t xml:space="preserve"> any lack of due diligence by Beneficiary in the collection or protection of or realization upon any collateral securing the Guaranteed Obligations; </w:t>
      </w:r>
      <w:bookmarkStart w:name="_DV_M844" w:id="478"/>
      <w:bookmarkEnd w:id="478"/>
    </w:p>
    <w:p w:rsidRPr="00E14CB1" w:rsidR="00480218" w:rsidP="004206E0" w:rsidRDefault="00480218" w14:paraId="527D1DFA" w14:textId="77777777">
      <w:pPr>
        <w:widowControl w:val="0"/>
        <w:numPr>
          <w:ilvl w:val="6"/>
          <w:numId w:val="10"/>
        </w:numPr>
        <w:tabs>
          <w:tab w:val="left" w:pos="1080"/>
          <w:tab w:val="left" w:pos="5788"/>
        </w:tabs>
        <w:autoSpaceDE w:val="0"/>
        <w:autoSpaceDN w:val="0"/>
        <w:adjustRightInd w:val="0"/>
        <w:ind w:left="540" w:firstLine="0"/>
        <w:outlineLvl w:val="6"/>
        <w:rPr>
          <w:rFonts w:eastAsia="Times New Roman"/>
          <w:b/>
        </w:rPr>
      </w:pPr>
      <w:r>
        <w:rPr>
          <w:rFonts w:eastAsia="Times New Roman"/>
          <w:b/>
        </w:rPr>
        <w:t>the bankruptcy, insolvency, winding up, dissolution, liquidation, administration, reorganization, or other similar or dissimilar failure or financial disability of Guarantor or Company, or any legal limitation, disability, incapacity, or other circumstance relating to Guarantor or Company;</w:t>
      </w:r>
      <w:bookmarkStart w:name="_DV_M845" w:id="479"/>
      <w:bookmarkEnd w:id="479"/>
    </w:p>
    <w:p w:rsidRPr="00E14CB1" w:rsidR="00480218" w:rsidP="004206E0" w:rsidRDefault="00480218" w14:paraId="24F3F157" w14:textId="77777777">
      <w:pPr>
        <w:widowControl w:val="0"/>
        <w:numPr>
          <w:ilvl w:val="6"/>
          <w:numId w:val="10"/>
        </w:numPr>
        <w:tabs>
          <w:tab w:val="left" w:pos="1080"/>
          <w:tab w:val="left" w:pos="5788"/>
        </w:tabs>
        <w:autoSpaceDE w:val="0"/>
        <w:autoSpaceDN w:val="0"/>
        <w:adjustRightInd w:val="0"/>
        <w:ind w:left="540" w:firstLine="0"/>
        <w:outlineLvl w:val="6"/>
        <w:rPr>
          <w:rFonts w:eastAsia="Times New Roman"/>
          <w:b/>
        </w:rPr>
      </w:pPr>
      <w:r>
        <w:rPr>
          <w:rFonts w:eastAsia="Times New Roman"/>
          <w:b/>
        </w:rPr>
        <w:t xml:space="preserve">the addition, substitution or partial or entire release of any guarantor, maker, or other Parson (including Company) primarily or secondarily liable or responsible for the payment and observance of the Guaranteed Obligations or by any extension, waiver, amendment, or other action or instrument that may release or discharge (in whole or in part) a guarantor, maker, or </w:t>
      </w:r>
      <w:r>
        <w:rPr>
          <w:rFonts w:eastAsia="Times New Roman"/>
          <w:b/>
          <w:bCs/>
        </w:rPr>
        <w:t>other Person</w:t>
      </w:r>
      <w:r>
        <w:rPr>
          <w:rFonts w:eastAsia="Times New Roman"/>
          <w:b/>
        </w:rPr>
        <w:t xml:space="preserve"> (other than as a result of the indefeasible payment of the Guaranteed Obligations in full);</w:t>
      </w:r>
      <w:bookmarkStart w:name="_DV_M846" w:id="480"/>
      <w:bookmarkEnd w:id="480"/>
    </w:p>
    <w:p w:rsidRPr="000057B0" w:rsidR="00480218" w:rsidP="004206E0" w:rsidRDefault="00480218" w14:paraId="3D7E5133" w14:textId="77777777">
      <w:pPr>
        <w:widowControl w:val="0"/>
        <w:numPr>
          <w:ilvl w:val="6"/>
          <w:numId w:val="10"/>
        </w:numPr>
        <w:tabs>
          <w:tab w:val="left" w:pos="1080"/>
          <w:tab w:val="left" w:pos="5788"/>
        </w:tabs>
        <w:autoSpaceDE w:val="0"/>
        <w:autoSpaceDN w:val="0"/>
        <w:adjustRightInd w:val="0"/>
        <w:ind w:left="540" w:firstLine="0"/>
        <w:outlineLvl w:val="6"/>
        <w:rPr>
          <w:rFonts w:eastAsia="Times New Roman"/>
          <w:b/>
        </w:rPr>
      </w:pPr>
      <w:r>
        <w:rPr>
          <w:rFonts w:eastAsia="Times New Roman"/>
          <w:b/>
        </w:rPr>
        <w:t xml:space="preserve">the taking, variation, renewal, addition, substitution, subordination, or partial or entire release of any security or other credit support for the Guaranteed Obligations, or the enforcement or neglect to perfect or enforce </w:t>
      </w:r>
      <w:r>
        <w:rPr>
          <w:rFonts w:eastAsia="Times New Roman"/>
          <w:b/>
          <w:bCs/>
        </w:rPr>
        <w:t>the</w:t>
      </w:r>
      <w:r>
        <w:rPr>
          <w:rFonts w:eastAsia="Times New Roman"/>
          <w:b/>
        </w:rPr>
        <w:t xml:space="preserve"> security or support; or </w:t>
      </w:r>
      <w:bookmarkStart w:name="_DV_M847" w:id="481"/>
      <w:bookmarkEnd w:id="481"/>
    </w:p>
    <w:p w:rsidRPr="00E14CB1" w:rsidR="00480218" w:rsidP="004206E0" w:rsidRDefault="008957BE" w14:paraId="31FDED04" w14:textId="572272D8">
      <w:pPr>
        <w:widowControl w:val="0"/>
        <w:numPr>
          <w:ilvl w:val="6"/>
          <w:numId w:val="10"/>
        </w:numPr>
        <w:tabs>
          <w:tab w:val="left" w:pos="1080"/>
          <w:tab w:val="left" w:pos="5788"/>
        </w:tabs>
        <w:autoSpaceDE w:val="0"/>
        <w:autoSpaceDN w:val="0"/>
        <w:adjustRightInd w:val="0"/>
        <w:ind w:left="540" w:firstLine="0"/>
        <w:outlineLvl w:val="6"/>
        <w:rPr>
          <w:rFonts w:eastAsia="Times New Roman"/>
          <w:b/>
        </w:rPr>
      </w:pPr>
      <w:r>
        <w:rPr>
          <w:rFonts w:eastAsia="Times New Roman"/>
          <w:b/>
        </w:rPr>
        <w:t>any circumstance whatsoever (including any statute of limitations) or any act of Beneficiary or any existence of or reliance on any representation by Beneficiary that might otherwise constitute a legal or equitable defense available to, or a discharge of, Guarantor.</w:t>
      </w:r>
    </w:p>
    <w:p w:rsidRPr="00E14CB1" w:rsidR="00480218" w:rsidP="00480218" w:rsidRDefault="00480218" w14:paraId="757A83F9" w14:textId="05313E8F">
      <w:pPr>
        <w:tabs>
          <w:tab w:val="left" w:pos="2160"/>
          <w:tab w:val="left" w:pos="5068"/>
        </w:tabs>
        <w:autoSpaceDE w:val="0"/>
        <w:autoSpaceDN w:val="0"/>
        <w:adjustRightInd w:val="0"/>
        <w:ind w:left="270"/>
        <w:outlineLvl w:val="5"/>
        <w:rPr>
          <w:rFonts w:eastAsia="Times New Roman"/>
        </w:rPr>
      </w:pPr>
      <w:bookmarkStart w:name="_DV_M848" w:id="482"/>
      <w:bookmarkStart w:name="_DV_M849" w:id="483"/>
      <w:bookmarkEnd w:id="482"/>
      <w:bookmarkEnd w:id="483"/>
      <w:r>
        <w:rPr>
          <w:rFonts w:eastAsia="Times New Roman"/>
          <w:b/>
        </w:rPr>
        <w:t>2.2.2. Guarantee Effectiveness.</w:t>
      </w:r>
      <w:r>
        <w:rPr>
          <w:rFonts w:eastAsia="Times New Roman"/>
        </w:rPr>
        <w:t xml:space="preserve"> This Guaranty will continue to be effective or must be reinstated by Guarantor, as applicable, if at any time any payment of the Guaranteed Obligations should for any reason subsequently be asserted or declared to be void or voidable, or is unwound in any way under any state or federal law, including any provision of the U.S. Bankruptcy Code related to fraudulent conveyance or preference (each, a “</w:t>
      </w:r>
      <w:r>
        <w:rPr>
          <w:rFonts w:eastAsia="Times New Roman"/>
          <w:b/>
        </w:rPr>
        <w:t>Voidable Transfer</w:t>
      </w:r>
      <w:r>
        <w:rPr>
          <w:rFonts w:eastAsia="Times New Roman"/>
        </w:rPr>
        <w:t>”). Beneficiary or any other person is not required to repay or restore, in whole or in part, any Voidable Transfer, and any attempt to repay or restore any Voidable Transfer will be construed as though the payment had not been made.</w:t>
      </w:r>
    </w:p>
    <w:p w:rsidRPr="00E14CB1" w:rsidR="00480218" w:rsidP="00480218" w:rsidRDefault="00480218" w14:paraId="7825D945" w14:textId="77777777">
      <w:pPr>
        <w:tabs>
          <w:tab w:val="left" w:pos="2160"/>
          <w:tab w:val="left" w:pos="5068"/>
        </w:tabs>
        <w:autoSpaceDE w:val="0"/>
        <w:autoSpaceDN w:val="0"/>
        <w:adjustRightInd w:val="0"/>
        <w:ind w:left="270"/>
        <w:outlineLvl w:val="5"/>
        <w:rPr>
          <w:rFonts w:eastAsia="Times New Roman"/>
        </w:rPr>
      </w:pPr>
      <w:r>
        <w:rPr>
          <w:rFonts w:eastAsia="Times New Roman"/>
          <w:b/>
        </w:rPr>
        <w:t>2.2.3.</w:t>
      </w:r>
      <w:r>
        <w:rPr>
          <w:rFonts w:eastAsia="Times New Roman"/>
        </w:rPr>
        <w:t xml:space="preserve"> </w:t>
      </w:r>
      <w:r>
        <w:rPr>
          <w:rFonts w:eastAsia="Times New Roman"/>
          <w:b/>
        </w:rPr>
        <w:t xml:space="preserve">No Release of Guaranty. </w:t>
      </w:r>
      <w:r>
        <w:rPr>
          <w:rFonts w:eastAsia="Times New Roman"/>
        </w:rPr>
        <w:t>No action that Beneficiary takes or fails to take in connection with the Guaranteed Obligations, or any security for the payment of any of the Guaranteed Obligations, nor any course of dealing with Company or any other person, will release Guarantor’s obligations under this Guaranty, affect this Guaranty in any way, or give Guarantor any recourse against Beneficiary.</w:t>
      </w:r>
    </w:p>
    <w:p w:rsidRPr="00E14CB1" w:rsidR="00480218" w:rsidP="00480218" w:rsidRDefault="00480218" w14:paraId="5F0D28F8" w14:textId="77777777">
      <w:pPr>
        <w:tabs>
          <w:tab w:val="left" w:pos="2160"/>
          <w:tab w:val="left" w:pos="5068"/>
        </w:tabs>
        <w:ind w:left="270"/>
        <w:outlineLvl w:val="5"/>
        <w:rPr>
          <w:rFonts w:eastAsia="Times New Roman"/>
        </w:rPr>
      </w:pPr>
      <w:bookmarkStart w:name="_DV_M850" w:id="484"/>
      <w:bookmarkEnd w:id="484"/>
      <w:r>
        <w:rPr>
          <w:rFonts w:eastAsia="Calibri"/>
          <w:b/>
        </w:rPr>
        <w:t>2.2.4. Enforcement following PPA Event of Default.</w:t>
      </w:r>
      <w:r>
        <w:rPr>
          <w:rFonts w:eastAsia="Calibri"/>
        </w:rPr>
        <w:t xml:space="preserve"> </w:t>
      </w:r>
      <w:r>
        <w:rPr>
          <w:rFonts w:eastAsia="Times New Roman"/>
        </w:rPr>
        <w:t xml:space="preserve">In the case of an Event of Default under the PPA or regarding any of the Guaranteed Obligations, Guarantor agrees that Beneficiary will have the right to </w:t>
      </w:r>
      <w:r>
        <w:rPr>
          <w:rFonts w:eastAsia="Times New Roman"/>
        </w:rPr>
        <w:lastRenderedPageBreak/>
        <w:t>enforce its rights, powers, and remedies under the PPA and Guaranty or under any other instrument now or in the future evidencing, securing, or otherwise relating to the Guaranteed Obligations, and apply any payments or credits received by Company or Guarantor or realized from any security, in any manner and in any order as Beneficiary, in its sole discretion, sees fit, and all rights, powers, and remedies available to Beneficiary in that event will be nonexclusive and cumulative of all other rights, powers, and remedies provided under the PPA, this Guaranty, by law, or in equity. If the Guaranteed Obligations are partially paid at the election of Beneficiary or Beneficiary’s successors or assigns, to pursue any of the remedies available to Beneficiary, or if the indebtedness is otherwise partially paid, this Guaranty will nevertheless remain in full force and effect, and Guarantor will remain liable for the entire balance of the Guaranteed Obligations even though any rights that Guarantor may have against Company may be destroyed or diminished by the exercise of the remedy.</w:t>
      </w:r>
    </w:p>
    <w:p w:rsidRPr="00E14CB1" w:rsidR="00480218" w:rsidP="004206E0" w:rsidRDefault="00480218" w14:paraId="16E9AA82" w14:textId="77777777">
      <w:pPr>
        <w:keepNext/>
        <w:widowControl w:val="0"/>
        <w:numPr>
          <w:ilvl w:val="1"/>
          <w:numId w:val="12"/>
        </w:numPr>
        <w:tabs>
          <w:tab w:val="left" w:pos="540"/>
        </w:tabs>
        <w:autoSpaceDE w:val="0"/>
        <w:autoSpaceDN w:val="0"/>
        <w:adjustRightInd w:val="0"/>
        <w:ind w:left="0"/>
        <w:outlineLvl w:val="1"/>
        <w:rPr>
          <w:rFonts w:eastAsia="Times New Roman"/>
          <w:b/>
        </w:rPr>
      </w:pPr>
      <w:bookmarkStart w:name="_DV_M851" w:id="485"/>
      <w:bookmarkEnd w:id="485"/>
      <w:r>
        <w:rPr>
          <w:rFonts w:eastAsia="Times New Roman"/>
          <w:b/>
        </w:rPr>
        <w:t>Waivers and Acknowledgments.</w:t>
      </w:r>
    </w:p>
    <w:p w:rsidRPr="00E14CB1" w:rsidR="00480218" w:rsidP="00480218" w:rsidRDefault="00480218" w14:paraId="1D3EECBC" w14:textId="77777777">
      <w:pPr>
        <w:autoSpaceDE w:val="0"/>
        <w:autoSpaceDN w:val="0"/>
        <w:adjustRightInd w:val="0"/>
        <w:ind w:left="270"/>
        <w:outlineLvl w:val="5"/>
        <w:rPr>
          <w:rFonts w:eastAsia="Times New Roman"/>
        </w:rPr>
      </w:pPr>
      <w:bookmarkStart w:name="_DV_M852" w:id="486"/>
      <w:bookmarkEnd w:id="486"/>
      <w:r>
        <w:rPr>
          <w:rFonts w:eastAsia="Times New Roman"/>
          <w:b/>
        </w:rPr>
        <w:t>2.3.1. Guarantor Notice Waiver.</w:t>
      </w:r>
      <w:r>
        <w:rPr>
          <w:rFonts w:eastAsia="Times New Roman"/>
        </w:rPr>
        <w:t xml:space="preserve"> Guarantor unconditionally and irrevocably waives promptness, diligence, presentment, demand of payment, acceptance, notice of acceptance, protest, notice of dishonor, and any other notices regarding any of the Guaranteed Obligations and this Guaranty.</w:t>
      </w:r>
    </w:p>
    <w:p w:rsidRPr="00E14CB1" w:rsidR="00480218" w:rsidP="00480218" w:rsidRDefault="00480218" w14:paraId="120CA1EB" w14:textId="64232CF7">
      <w:pPr>
        <w:tabs>
          <w:tab w:val="left" w:pos="2160"/>
        </w:tabs>
        <w:autoSpaceDE w:val="0"/>
        <w:autoSpaceDN w:val="0"/>
        <w:adjustRightInd w:val="0"/>
        <w:ind w:left="270"/>
        <w:outlineLvl w:val="5"/>
        <w:rPr>
          <w:rFonts w:eastAsia="Times New Roman"/>
        </w:rPr>
      </w:pPr>
      <w:r>
        <w:rPr>
          <w:rFonts w:eastAsia="Times New Roman"/>
          <w:b/>
        </w:rPr>
        <w:t xml:space="preserve">2.3.2. Guarantor Waiver of Guaranty and Acknowledgement of Continuing Obligations. </w:t>
      </w:r>
      <w:r>
        <w:rPr>
          <w:rFonts w:eastAsia="Times New Roman"/>
        </w:rPr>
        <w:t>Guarantor unconditionally and irrevocably waives any right to revoke this Guaranty and acknowledges that this Guaranty is continuing in nature and applies to all Guaranteed Obligations, whether existing now or in the future. The provisions of this Guaranty will extend and be applicable to any modification of the PPA.</w:t>
      </w:r>
    </w:p>
    <w:p w:rsidRPr="00E14CB1" w:rsidR="00480218" w:rsidP="00480218" w:rsidRDefault="00480218" w14:paraId="09AC8200" w14:textId="4268CC6B">
      <w:pPr>
        <w:tabs>
          <w:tab w:val="left" w:pos="2160"/>
          <w:tab w:val="left" w:pos="5068"/>
        </w:tabs>
        <w:autoSpaceDE w:val="0"/>
        <w:autoSpaceDN w:val="0"/>
        <w:adjustRightInd w:val="0"/>
        <w:ind w:left="270"/>
        <w:outlineLvl w:val="5"/>
        <w:rPr>
          <w:rFonts w:eastAsia="Times New Roman"/>
        </w:rPr>
      </w:pPr>
      <w:bookmarkStart w:name="_DV_M854" w:id="487"/>
      <w:bookmarkEnd w:id="487"/>
      <w:r>
        <w:rPr>
          <w:rFonts w:eastAsia="Times New Roman"/>
          <w:b/>
        </w:rPr>
        <w:t>2.3.3. Waiver of Rights and Remedies.</w:t>
      </w:r>
      <w:r>
        <w:rPr>
          <w:rFonts w:eastAsia="Times New Roman"/>
        </w:rPr>
        <w:t xml:space="preserve"> Guarantor unconditionally and irrevocably waives all rights and remedies accorded by application of law to sureties or guarantors and Guarantor must not assert or take advantage of those rights or remedies, including:</w:t>
      </w:r>
    </w:p>
    <w:p w:rsidRPr="00E14CB1" w:rsidR="00480218" w:rsidP="004206E0" w:rsidRDefault="00480218" w14:paraId="3A03F45F" w14:textId="77777777">
      <w:pPr>
        <w:widowControl w:val="0"/>
        <w:numPr>
          <w:ilvl w:val="6"/>
          <w:numId w:val="11"/>
        </w:numPr>
        <w:tabs>
          <w:tab w:val="left" w:pos="1260"/>
          <w:tab w:val="left" w:pos="2160"/>
          <w:tab w:val="left" w:pos="5788"/>
        </w:tabs>
        <w:autoSpaceDE w:val="0"/>
        <w:autoSpaceDN w:val="0"/>
        <w:adjustRightInd w:val="0"/>
        <w:ind w:left="806" w:firstLine="4"/>
        <w:outlineLvl w:val="6"/>
        <w:rPr>
          <w:rFonts w:eastAsia="Times New Roman"/>
        </w:rPr>
      </w:pPr>
      <w:bookmarkStart w:name="_DV_M855" w:id="488"/>
      <w:bookmarkEnd w:id="488"/>
      <w:r>
        <w:rPr>
          <w:rFonts w:eastAsia="Times New Roman"/>
        </w:rPr>
        <w:t>any right to require Beneficiary to proceed against Company or any other person or to proceed against or exhaust any security held by Beneficiary at any time or to pursue any other remedy in Beneficiary’s power before proceeding against Guarantor;</w:t>
      </w:r>
      <w:bookmarkStart w:name="_DV_M856" w:id="489"/>
      <w:bookmarkEnd w:id="489"/>
    </w:p>
    <w:p w:rsidRPr="00E14CB1" w:rsidR="00480218" w:rsidP="004206E0" w:rsidRDefault="00480218" w14:paraId="44C2A718" w14:textId="77777777">
      <w:pPr>
        <w:widowControl w:val="0"/>
        <w:numPr>
          <w:ilvl w:val="6"/>
          <w:numId w:val="11"/>
        </w:numPr>
        <w:tabs>
          <w:tab w:val="left" w:pos="1260"/>
          <w:tab w:val="left" w:pos="2160"/>
          <w:tab w:val="left" w:pos="5788"/>
        </w:tabs>
        <w:autoSpaceDE w:val="0"/>
        <w:autoSpaceDN w:val="0"/>
        <w:adjustRightInd w:val="0"/>
        <w:ind w:left="806" w:firstLine="4"/>
        <w:outlineLvl w:val="6"/>
        <w:rPr>
          <w:rFonts w:eastAsia="Times New Roman"/>
        </w:rPr>
      </w:pPr>
      <w:r>
        <w:rPr>
          <w:rFonts w:eastAsia="Times New Roman"/>
        </w:rPr>
        <w:t>any defense that may arise because of the incapacity, lack of authority, death, or disability of any other Person or the failure of Beneficiary to file or enforce a claim against the estate (in administration, bankruptcy, or any other proceeding) of any other Person; or</w:t>
      </w:r>
      <w:bookmarkStart w:name="_DV_M857" w:id="490"/>
      <w:bookmarkEnd w:id="490"/>
    </w:p>
    <w:p w:rsidRPr="00E14CB1" w:rsidR="00480218" w:rsidP="004206E0" w:rsidRDefault="00480218" w14:paraId="7A91219A" w14:textId="77777777">
      <w:pPr>
        <w:widowControl w:val="0"/>
        <w:numPr>
          <w:ilvl w:val="6"/>
          <w:numId w:val="11"/>
        </w:numPr>
        <w:tabs>
          <w:tab w:val="left" w:pos="1260"/>
          <w:tab w:val="left" w:pos="2160"/>
          <w:tab w:val="left" w:pos="5788"/>
        </w:tabs>
        <w:autoSpaceDE w:val="0"/>
        <w:autoSpaceDN w:val="0"/>
        <w:adjustRightInd w:val="0"/>
        <w:ind w:left="806" w:firstLine="4"/>
        <w:outlineLvl w:val="6"/>
        <w:rPr>
          <w:rFonts w:eastAsia="Times New Roman"/>
        </w:rPr>
      </w:pPr>
      <w:r>
        <w:rPr>
          <w:rFonts w:eastAsia="Times New Roman"/>
        </w:rPr>
        <w:t xml:space="preserve">any defense arising because of the exercise of any right or remedy available to, or election made by, Beneficiary </w:t>
      </w:r>
      <w:r>
        <w:rPr>
          <w:rFonts w:eastAsia="Yu Mincho"/>
        </w:rPr>
        <w:t>under</w:t>
      </w:r>
      <w:r>
        <w:rPr>
          <w:rFonts w:eastAsia="Times New Roman"/>
        </w:rPr>
        <w:t xml:space="preserve"> the U.S. Bankruptcy Code, whether as an unsecured or under secured creditor, seeking adequate protection or otherwise.</w:t>
      </w:r>
    </w:p>
    <w:p w:rsidRPr="00E14CB1" w:rsidR="00480218" w:rsidP="00480218" w:rsidRDefault="00480218" w14:paraId="2CC301A4" w14:textId="77777777">
      <w:pPr>
        <w:tabs>
          <w:tab w:val="left" w:pos="2160"/>
          <w:tab w:val="left" w:pos="5068"/>
        </w:tabs>
        <w:autoSpaceDE w:val="0"/>
        <w:autoSpaceDN w:val="0"/>
        <w:adjustRightInd w:val="0"/>
        <w:ind w:left="270"/>
        <w:outlineLvl w:val="5"/>
        <w:rPr>
          <w:rFonts w:eastAsia="Times New Roman"/>
        </w:rPr>
      </w:pPr>
      <w:bookmarkStart w:name="_DV_M858" w:id="491"/>
      <w:bookmarkEnd w:id="491"/>
      <w:r>
        <w:rPr>
          <w:rFonts w:eastAsia="Times New Roman"/>
          <w:b/>
        </w:rPr>
        <w:t>2.3.4. Guarantor’s Waiver of Defenses Based on Set-Off or Counterclaim.</w:t>
      </w:r>
      <w:r>
        <w:rPr>
          <w:rFonts w:eastAsia="Times New Roman"/>
        </w:rPr>
        <w:t xml:space="preserve"> Guarantor unconditionally and irrevocably waives any defense based on any right of set-off or counterclaim against or concerning the obligations of Guarantor under this Guaranty.</w:t>
      </w:r>
    </w:p>
    <w:p w:rsidRPr="00E14CB1" w:rsidR="00480218" w:rsidP="00480218" w:rsidRDefault="00480218" w14:paraId="5022AB3F" w14:textId="77777777">
      <w:pPr>
        <w:autoSpaceDE w:val="0"/>
        <w:autoSpaceDN w:val="0"/>
        <w:adjustRightInd w:val="0"/>
        <w:ind w:left="270"/>
        <w:outlineLvl w:val="5"/>
        <w:rPr>
          <w:rFonts w:eastAsia="Times New Roman"/>
        </w:rPr>
      </w:pPr>
      <w:bookmarkStart w:name="_DV_M859" w:id="492"/>
      <w:bookmarkEnd w:id="492"/>
      <w:r>
        <w:rPr>
          <w:rFonts w:eastAsia="Times New Roman"/>
          <w:b/>
        </w:rPr>
        <w:t>2.3.5.</w:t>
      </w:r>
      <w:r>
        <w:rPr>
          <w:rFonts w:eastAsia="Times New Roman"/>
        </w:rPr>
        <w:t xml:space="preserve"> </w:t>
      </w:r>
      <w:r>
        <w:rPr>
          <w:rFonts w:eastAsia="Times New Roman"/>
          <w:b/>
        </w:rPr>
        <w:t xml:space="preserve">Guarantor Waiver of Defenses, Claims, and Discharges. </w:t>
      </w:r>
      <w:r>
        <w:rPr>
          <w:rFonts w:eastAsia="Times New Roman"/>
        </w:rPr>
        <w:t xml:space="preserve">Guarantor unconditionally and irrevocably waives all defenses, claims, and discharges of Company, or any other obligor regarding the Guaranteed Obligations. Without limiting the generality of the preceding sentence, Guarantor will not assert, plead, or enforce against Beneficiary or any other Person any defense of waiver, release, statute of limitations, res judicata, statute of frauds, fraud, incapacity, minority, usury, illegality, or unenforceability that may be available to Company or any other person liable concerning any indebtedness, or any setoff available against Beneficiary to Company or any other Person, whether or not on account of a related transaction. Guarantor expressly waives reliance on any anti-deficiency statute(s). If a foreclosure proceeding is commenced, Guarantor expressly agrees that Guarantor will be and remain unconditionally liable, to the fullest extent permitted by applicable law, for any deficiency remaining after foreclosure of any mortgage or security interest securing indebtedness, whether or not the liability of Company or any other person for the deficiency is discharged </w:t>
      </w:r>
      <w:r>
        <w:rPr>
          <w:rFonts w:eastAsia="Calibri"/>
        </w:rPr>
        <w:t>under</w:t>
      </w:r>
      <w:r>
        <w:rPr>
          <w:rFonts w:eastAsia="Times New Roman"/>
        </w:rPr>
        <w:t xml:space="preserve"> statute or judicial decision.</w:t>
      </w:r>
    </w:p>
    <w:p w:rsidRPr="00E14CB1" w:rsidR="00480218" w:rsidP="00480218" w:rsidRDefault="00480218" w14:paraId="5D107257" w14:textId="77777777">
      <w:pPr>
        <w:tabs>
          <w:tab w:val="left" w:pos="540"/>
        </w:tabs>
        <w:autoSpaceDE w:val="0"/>
        <w:autoSpaceDN w:val="0"/>
        <w:adjustRightInd w:val="0"/>
        <w:outlineLvl w:val="1"/>
        <w:rPr>
          <w:rFonts w:eastAsia="Times New Roman"/>
        </w:rPr>
      </w:pPr>
      <w:bookmarkStart w:name="_DV_M860" w:id="493"/>
      <w:bookmarkEnd w:id="493"/>
      <w:r>
        <w:rPr>
          <w:rFonts w:eastAsia="Times New Roman"/>
          <w:b/>
        </w:rPr>
        <w:t>2.4</w:t>
      </w:r>
      <w:r>
        <w:rPr>
          <w:rFonts w:eastAsia="Times New Roman"/>
          <w:b/>
        </w:rPr>
        <w:tab/>
        <w:t>Subrogation.</w:t>
      </w:r>
      <w:r>
        <w:rPr>
          <w:rFonts w:eastAsia="Times New Roman"/>
        </w:rPr>
        <w:t xml:space="preserve"> Despite any payment or payments made by Guarantor under this Guaranty, Guarantor unconditionally and irrevocably waives any rights of subrogation to the rights of Beneficiary against Company and any rights of reimbursement, assignment, indemnification, or implied contract or any similar </w:t>
      </w:r>
      <w:r>
        <w:rPr>
          <w:rFonts w:eastAsia="Times New Roman"/>
        </w:rPr>
        <w:lastRenderedPageBreak/>
        <w:t>rights (including any statutory rights of subrogation under U.S. Bankruptcy Code Section 509 (11 U.S.C. § 509)) against Company or against any other guarantor of all or any part of the Guaranteed Obligations until when the Guaranteed Obligations have been indefeasibly performed in full. If, despite the preceding sentence, any amount will be paid to Guarantor on account of the subrogation or similar rights at any time when all of the Guaranteed Obligations will not have been indefeasibly paid in full, those amounts will be held by Guarantor in trust for Beneficiary and Guarantor must turn over to Beneficiary those amounts in the exact form received by Guarantor, to be applied against the Guaranteed Obligations in the order that Beneficiary may determine in Beneficiary’s sole discretion.</w:t>
      </w:r>
    </w:p>
    <w:p w:rsidRPr="00E14CB1" w:rsidR="00480218" w:rsidP="00480218" w:rsidRDefault="00480218" w14:paraId="5AFF675E" w14:textId="77777777">
      <w:pPr>
        <w:tabs>
          <w:tab w:val="left" w:pos="540"/>
        </w:tabs>
        <w:autoSpaceDE w:val="0"/>
        <w:autoSpaceDN w:val="0"/>
        <w:adjustRightInd w:val="0"/>
        <w:outlineLvl w:val="1"/>
        <w:rPr>
          <w:rFonts w:eastAsia="Times New Roman"/>
        </w:rPr>
      </w:pPr>
      <w:bookmarkStart w:name="_DV_M861" w:id="494"/>
      <w:bookmarkEnd w:id="494"/>
      <w:r>
        <w:rPr>
          <w:rFonts w:eastAsia="Times New Roman"/>
          <w:b/>
        </w:rPr>
        <w:t>2.5</w:t>
      </w:r>
      <w:r>
        <w:rPr>
          <w:rFonts w:eastAsia="Times New Roman"/>
          <w:b/>
          <w:i/>
        </w:rPr>
        <w:tab/>
      </w:r>
      <w:r>
        <w:rPr>
          <w:rFonts w:eastAsia="Times New Roman"/>
          <w:b/>
        </w:rPr>
        <w:t>Contribution, Indemnification, Reimbursement.</w:t>
      </w:r>
      <w:r>
        <w:rPr>
          <w:rFonts w:eastAsia="Times New Roman"/>
        </w:rPr>
        <w:t xml:space="preserve"> Guarantor unconditionally, irrevocably, and absolutely waives all right of contribution, indemnification, reimbursement, or similar rights against Company regarding the Guaranty, whether the rights arise under an express or implied contract or by operation of law, and it is the intention of Guarantor and Company that Guarantor will not be deemed to be a “creditor” (as defined in U.S. Bankruptcy Code Section 101 or any other applicable law) of Company because of the existence of this Guaranty if Company becomes a debtor in any proceeding under the U.S. Bankruptcy Code or any other applicable law.</w:t>
      </w:r>
    </w:p>
    <w:p w:rsidRPr="00E14CB1" w:rsidR="00480218" w:rsidP="00480218" w:rsidRDefault="00480218" w14:paraId="132D7358" w14:textId="77777777">
      <w:pPr>
        <w:tabs>
          <w:tab w:val="left" w:pos="540"/>
        </w:tabs>
        <w:autoSpaceDE w:val="0"/>
        <w:autoSpaceDN w:val="0"/>
        <w:adjustRightInd w:val="0"/>
        <w:outlineLvl w:val="1"/>
        <w:rPr>
          <w:rFonts w:eastAsia="Times New Roman"/>
        </w:rPr>
      </w:pPr>
      <w:bookmarkStart w:name="_DV_M862" w:id="495"/>
      <w:bookmarkEnd w:id="495"/>
      <w:r>
        <w:rPr>
          <w:rFonts w:eastAsia="Times New Roman"/>
          <w:b/>
        </w:rPr>
        <w:t>2.6</w:t>
      </w:r>
      <w:r>
        <w:rPr>
          <w:rFonts w:eastAsia="Times New Roman"/>
          <w:i/>
        </w:rPr>
        <w:tab/>
      </w:r>
      <w:r>
        <w:rPr>
          <w:rFonts w:eastAsia="Times New Roman"/>
          <w:b/>
        </w:rPr>
        <w:t>Agreement regarding Bankruptcy of Company.</w:t>
      </w:r>
      <w:r>
        <w:rPr>
          <w:rFonts w:eastAsia="Times New Roman"/>
        </w:rPr>
        <w:t xml:space="preserve"> So long as any Guaranteed Obligations are owed to Beneficiary, Guarantor must not, without the prior written consent of Beneficiary, commence, or join with any other person in commencing, any bankruptcy, reorganization or insolvency proceeding against Company.</w:t>
      </w:r>
    </w:p>
    <w:p w:rsidRPr="00E14CB1" w:rsidR="00480218" w:rsidP="00480218" w:rsidRDefault="00480218" w14:paraId="51AEA38D" w14:textId="472446C3">
      <w:pPr>
        <w:keepNext/>
        <w:autoSpaceDE w:val="0"/>
        <w:autoSpaceDN w:val="0"/>
        <w:adjustRightInd w:val="0"/>
        <w:spacing w:before="240"/>
        <w:jc w:val="left"/>
        <w:outlineLvl w:val="0"/>
        <w:rPr>
          <w:rFonts w:eastAsia="Times New Roman"/>
          <w:b/>
          <w:caps/>
        </w:rPr>
      </w:pPr>
      <w:bookmarkStart w:name="_DV_M863" w:id="496"/>
      <w:bookmarkEnd w:id="496"/>
      <w:r>
        <w:rPr>
          <w:rFonts w:eastAsia="Times New Roman"/>
          <w:b/>
          <w:caps/>
        </w:rPr>
        <w:t>PART 3 Representations and Warranties</w:t>
      </w:r>
    </w:p>
    <w:p w:rsidRPr="00E14CB1" w:rsidR="00480218" w:rsidP="00480218" w:rsidRDefault="00480218" w14:paraId="33C534FC" w14:textId="77777777">
      <w:pPr>
        <w:rPr>
          <w:rFonts w:eastAsia="Times New Roman"/>
        </w:rPr>
      </w:pPr>
      <w:bookmarkStart w:name="_DV_M864" w:id="497"/>
      <w:bookmarkEnd w:id="497"/>
      <w:r>
        <w:rPr>
          <w:rFonts w:eastAsia="Times New Roman"/>
        </w:rPr>
        <w:t>Guarantor hereby represents and warrants as follows:</w:t>
      </w:r>
    </w:p>
    <w:p w:rsidRPr="00E14CB1" w:rsidR="00480218" w:rsidP="00480218" w:rsidRDefault="00480218" w14:paraId="2F8E7C71" w14:textId="77777777">
      <w:pPr>
        <w:tabs>
          <w:tab w:val="left" w:pos="540"/>
        </w:tabs>
        <w:autoSpaceDE w:val="0"/>
        <w:autoSpaceDN w:val="0"/>
        <w:adjustRightInd w:val="0"/>
        <w:outlineLvl w:val="1"/>
        <w:rPr>
          <w:rFonts w:eastAsia="Times New Roman"/>
        </w:rPr>
      </w:pPr>
      <w:bookmarkStart w:name="_DV_M865" w:id="498"/>
      <w:bookmarkEnd w:id="498"/>
      <w:r>
        <w:rPr>
          <w:rFonts w:eastAsia="Times New Roman"/>
          <w:b/>
        </w:rPr>
        <w:t>3.1</w:t>
      </w:r>
      <w:r>
        <w:rPr>
          <w:rFonts w:eastAsia="Times New Roman"/>
          <w:i/>
        </w:rPr>
        <w:tab/>
      </w:r>
      <w:r>
        <w:rPr>
          <w:rFonts w:eastAsia="Times New Roman"/>
          <w:b/>
        </w:rPr>
        <w:t>Organization.</w:t>
      </w:r>
      <w:r>
        <w:rPr>
          <w:rFonts w:eastAsia="Times New Roman"/>
        </w:rPr>
        <w:t xml:space="preserve"> Guarantor is </w:t>
      </w:r>
      <w:r>
        <w:rPr>
          <w:rFonts w:eastAsia="Times New Roman"/>
          <w:highlight w:val="yellow"/>
        </w:rPr>
        <w:t xml:space="preserve">#a </w:t>
      </w:r>
      <w:r>
        <w:rPr>
          <w:rFonts w:eastAsia="Times New Roman"/>
          <w:b/>
          <w:i/>
          <w:color w:val="FF0000"/>
          <w:highlight w:val="yellow"/>
          <w:u w:val="single"/>
        </w:rPr>
        <w:t>OR</w:t>
      </w:r>
      <w:r>
        <w:rPr>
          <w:rFonts w:eastAsia="Times New Roman"/>
          <w:highlight w:val="yellow"/>
        </w:rPr>
        <w:t xml:space="preserve"> #an</w:t>
      </w:r>
      <w:r>
        <w:rPr>
          <w:rFonts w:eastAsia="Times New Roman"/>
        </w:rPr>
        <w:t xml:space="preserve"> </w:t>
      </w:r>
      <w:r>
        <w:rPr>
          <w:rFonts w:eastAsia="Times New Roman"/>
          <w:highlight w:val="yellow"/>
        </w:rPr>
        <w:t>#GuarantorEntityType#</w:t>
      </w:r>
      <w:r>
        <w:rPr>
          <w:rFonts w:eastAsia="Times New Roman"/>
        </w:rPr>
        <w:t xml:space="preserve"> organized, validly existing, and in good standing under the laws of the state of </w:t>
      </w:r>
      <w:r>
        <w:rPr>
          <w:rFonts w:eastAsia="Times New Roman"/>
          <w:highlight w:val="yellow"/>
        </w:rPr>
        <w:t>#GuarantorEntityRegistrationState</w:t>
      </w:r>
      <w:r>
        <w:rPr>
          <w:rFonts w:eastAsia="Times New Roman"/>
        </w:rPr>
        <w:t>.</w:t>
      </w:r>
    </w:p>
    <w:p w:rsidRPr="00E14CB1" w:rsidR="00480218" w:rsidP="00480218" w:rsidRDefault="00480218" w14:paraId="0848CD2D" w14:textId="77777777">
      <w:pPr>
        <w:tabs>
          <w:tab w:val="left" w:pos="540"/>
        </w:tabs>
        <w:autoSpaceDE w:val="0"/>
        <w:autoSpaceDN w:val="0"/>
        <w:adjustRightInd w:val="0"/>
        <w:outlineLvl w:val="1"/>
        <w:rPr>
          <w:rFonts w:eastAsia="Times New Roman"/>
        </w:rPr>
      </w:pPr>
      <w:bookmarkStart w:name="_DV_M866" w:id="499"/>
      <w:bookmarkEnd w:id="499"/>
      <w:r>
        <w:rPr>
          <w:rFonts w:eastAsia="Times New Roman"/>
          <w:b/>
        </w:rPr>
        <w:t>3.2</w:t>
      </w:r>
      <w:r>
        <w:rPr>
          <w:rFonts w:eastAsia="Times New Roman"/>
          <w:i/>
        </w:rPr>
        <w:tab/>
      </w:r>
      <w:r>
        <w:rPr>
          <w:rFonts w:eastAsia="Times New Roman"/>
          <w:b/>
        </w:rPr>
        <w:t>Authorization; No Conflict.</w:t>
      </w:r>
      <w:r>
        <w:rPr>
          <w:rFonts w:eastAsia="Times New Roman"/>
        </w:rPr>
        <w:t xml:space="preserve"> The execution and delivery by Guarantor of this Guaranty, and the performance by Guarantor of its obligations under this Guaranty: (i) are within Guarantor’s </w:t>
      </w:r>
      <w:r>
        <w:rPr>
          <w:rFonts w:eastAsia="Times New Roman"/>
          <w:highlight w:val="yellow"/>
        </w:rPr>
        <w:t>#GuarantorEntityType#</w:t>
      </w:r>
      <w:r>
        <w:rPr>
          <w:rFonts w:eastAsia="Times New Roman"/>
        </w:rPr>
        <w:t xml:space="preserve"> powers; (ii) have been duly authorized by all necessary </w:t>
      </w:r>
      <w:r>
        <w:rPr>
          <w:rFonts w:eastAsia="Times New Roman"/>
          <w:highlight w:val="yellow"/>
        </w:rPr>
        <w:t>#GuarantorEntityType#</w:t>
      </w:r>
      <w:r>
        <w:rPr>
          <w:rFonts w:eastAsia="Times New Roman"/>
        </w:rPr>
        <w:t xml:space="preserve"> action; (iii) do not contravene its </w:t>
      </w:r>
      <w:r>
        <w:rPr>
          <w:rFonts w:eastAsia="Times New Roman"/>
          <w:highlight w:val="yellow"/>
        </w:rPr>
        <w:t xml:space="preserve">#bylaws </w:t>
      </w:r>
      <w:r>
        <w:rPr>
          <w:rFonts w:eastAsia="Times New Roman"/>
          <w:b/>
          <w:i/>
          <w:color w:val="FF0000"/>
          <w:highlight w:val="yellow"/>
          <w:u w:val="single"/>
        </w:rPr>
        <w:t>OR</w:t>
      </w:r>
      <w:r>
        <w:rPr>
          <w:rFonts w:eastAsia="Times New Roman"/>
          <w:highlight w:val="yellow"/>
        </w:rPr>
        <w:t xml:space="preserve"> #operating agreement </w:t>
      </w:r>
      <w:r>
        <w:rPr>
          <w:rFonts w:eastAsia="Times New Roman"/>
          <w:b/>
          <w:i/>
          <w:color w:val="FF0000"/>
          <w:highlight w:val="yellow"/>
          <w:u w:val="single"/>
        </w:rPr>
        <w:t>OR</w:t>
      </w:r>
      <w:r>
        <w:rPr>
          <w:rFonts w:eastAsia="Times New Roman"/>
          <w:highlight w:val="yellow"/>
        </w:rPr>
        <w:t xml:space="preserve"> #OtherOrganizationalDocument</w:t>
      </w:r>
      <w:r>
        <w:rPr>
          <w:rFonts w:eastAsia="Times New Roman"/>
        </w:rPr>
        <w:t xml:space="preserve"> or any law or regulation applicable to or binding on Guarantor or any of its properties; and (iv) do not require the consent or approval of any Person that has not already been obtained or the satisfaction or waiver of any conditions precedent to the effectiveness of this Guaranty that have not been satisfied or waived.</w:t>
      </w:r>
    </w:p>
    <w:p w:rsidRPr="00E14CB1" w:rsidR="00480218" w:rsidP="00480218" w:rsidRDefault="00480218" w14:paraId="6BF3EDD1" w14:textId="77777777">
      <w:pPr>
        <w:tabs>
          <w:tab w:val="left" w:pos="540"/>
        </w:tabs>
        <w:autoSpaceDE w:val="0"/>
        <w:autoSpaceDN w:val="0"/>
        <w:adjustRightInd w:val="0"/>
        <w:outlineLvl w:val="1"/>
        <w:rPr>
          <w:rFonts w:eastAsia="Times New Roman"/>
        </w:rPr>
      </w:pPr>
      <w:bookmarkStart w:name="_DV_M867" w:id="500"/>
      <w:bookmarkEnd w:id="500"/>
      <w:r>
        <w:rPr>
          <w:rFonts w:eastAsia="Times New Roman"/>
          <w:b/>
        </w:rPr>
        <w:t>3.3</w:t>
      </w:r>
      <w:r>
        <w:rPr>
          <w:rFonts w:eastAsia="Times New Roman"/>
          <w:i/>
        </w:rPr>
        <w:tab/>
      </w:r>
      <w:r>
        <w:rPr>
          <w:rFonts w:eastAsia="Times New Roman"/>
          <w:b/>
        </w:rPr>
        <w:t>Enforceability.</w:t>
      </w:r>
      <w:r>
        <w:rPr>
          <w:rFonts w:eastAsia="Times New Roman"/>
        </w:rPr>
        <w:t xml:space="preserve"> This Guaranty constitutes the legal, valid, and binding obligation of Guarantor, enforceable against Guarantor in accordance with its terms, except to the extent that that enforceability may be limited by applicable bankruptcy, insolvency, dissolution, reorganization, moratorium, liquidation, or other similar laws affecting creditors’ rights generally and by general principles of equity (regardless of whether enforcement is sought in a proceeding in equity or at law).</w:t>
      </w:r>
    </w:p>
    <w:p w:rsidRPr="00E14CB1" w:rsidR="00480218" w:rsidP="00480218" w:rsidRDefault="00480218" w14:paraId="07F76D28" w14:textId="77777777">
      <w:pPr>
        <w:tabs>
          <w:tab w:val="left" w:pos="540"/>
        </w:tabs>
        <w:autoSpaceDE w:val="0"/>
        <w:autoSpaceDN w:val="0"/>
        <w:adjustRightInd w:val="0"/>
        <w:outlineLvl w:val="1"/>
        <w:rPr>
          <w:rFonts w:eastAsia="Times New Roman"/>
        </w:rPr>
      </w:pPr>
      <w:bookmarkStart w:name="_DV_M868" w:id="501"/>
      <w:bookmarkEnd w:id="501"/>
      <w:r>
        <w:rPr>
          <w:rFonts w:eastAsia="Times New Roman"/>
          <w:b/>
        </w:rPr>
        <w:t>3.4</w:t>
      </w:r>
      <w:r>
        <w:rPr>
          <w:rFonts w:eastAsia="Times New Roman"/>
          <w:i/>
        </w:rPr>
        <w:tab/>
      </w:r>
      <w:r>
        <w:rPr>
          <w:rFonts w:eastAsia="Times New Roman"/>
          <w:b/>
        </w:rPr>
        <w:t>No Bankruptcy Proceedings.</w:t>
      </w:r>
      <w:r>
        <w:rPr>
          <w:rFonts w:eastAsia="Times New Roman"/>
        </w:rPr>
        <w:t xml:space="preserve"> There are no bankruptcy proceedings pending or being contemplated by Guarantor or, to Guarantor’s knowledge, threatened against it.</w:t>
      </w:r>
    </w:p>
    <w:p w:rsidRPr="00E14CB1" w:rsidR="00480218" w:rsidP="00480218" w:rsidRDefault="00480218" w14:paraId="3A233F52" w14:textId="77777777">
      <w:pPr>
        <w:tabs>
          <w:tab w:val="left" w:pos="540"/>
        </w:tabs>
        <w:autoSpaceDE w:val="0"/>
        <w:autoSpaceDN w:val="0"/>
        <w:adjustRightInd w:val="0"/>
        <w:outlineLvl w:val="1"/>
        <w:rPr>
          <w:rFonts w:eastAsia="Times New Roman"/>
        </w:rPr>
      </w:pPr>
      <w:bookmarkStart w:name="_DV_M869" w:id="502"/>
      <w:bookmarkEnd w:id="502"/>
      <w:r>
        <w:rPr>
          <w:rFonts w:eastAsia="Times New Roman"/>
          <w:b/>
        </w:rPr>
        <w:t>3.5</w:t>
      </w:r>
      <w:r>
        <w:rPr>
          <w:rFonts w:eastAsia="Times New Roman"/>
          <w:i/>
        </w:rPr>
        <w:tab/>
      </w:r>
      <w:r>
        <w:rPr>
          <w:rFonts w:eastAsia="Times New Roman"/>
          <w:b/>
        </w:rPr>
        <w:t>No Legal Proceedings.</w:t>
      </w:r>
      <w:r>
        <w:rPr>
          <w:rFonts w:eastAsia="Times New Roman"/>
        </w:rPr>
        <w:t xml:space="preserve"> There are no legal proceedings that would be reasonably likely to materially adversely affect Guarantor’s ability to perform this Guaranty.</w:t>
      </w:r>
    </w:p>
    <w:p w:rsidRPr="00E14CB1" w:rsidR="00480218" w:rsidP="00480218" w:rsidRDefault="00480218" w14:paraId="7540F192" w14:textId="77777777">
      <w:pPr>
        <w:keepNext/>
        <w:autoSpaceDE w:val="0"/>
        <w:autoSpaceDN w:val="0"/>
        <w:adjustRightInd w:val="0"/>
        <w:spacing w:before="240"/>
        <w:jc w:val="left"/>
        <w:outlineLvl w:val="0"/>
        <w:rPr>
          <w:rFonts w:eastAsia="Times New Roman"/>
          <w:b/>
          <w:caps/>
        </w:rPr>
      </w:pPr>
      <w:bookmarkStart w:name="_DV_M870" w:id="503"/>
      <w:bookmarkEnd w:id="503"/>
      <w:r>
        <w:rPr>
          <w:rFonts w:eastAsia="Times New Roman"/>
          <w:b/>
          <w:caps/>
        </w:rPr>
        <w:t>PART 4 - Miscellaneous</w:t>
      </w:r>
    </w:p>
    <w:p w:rsidRPr="00D245F9" w:rsidR="00480218" w:rsidP="00480218" w:rsidRDefault="00480218" w14:paraId="57806480" w14:textId="2A3BF5C7">
      <w:pPr>
        <w:tabs>
          <w:tab w:val="left" w:pos="540"/>
        </w:tabs>
        <w:autoSpaceDE w:val="0"/>
        <w:autoSpaceDN w:val="0"/>
        <w:adjustRightInd w:val="0"/>
        <w:outlineLvl w:val="1"/>
        <w:rPr>
          <w:rFonts w:eastAsia="Times New Roman"/>
        </w:rPr>
      </w:pPr>
      <w:bookmarkStart w:name="_DV_M871" w:id="504"/>
      <w:bookmarkEnd w:id="504"/>
      <w:r>
        <w:rPr>
          <w:rFonts w:eastAsia="Times New Roman"/>
          <w:b/>
        </w:rPr>
        <w:t>4.1</w:t>
      </w:r>
      <w:r>
        <w:rPr>
          <w:rFonts w:eastAsia="Times New Roman"/>
          <w:i/>
        </w:rPr>
        <w:tab/>
      </w:r>
      <w:r>
        <w:rPr>
          <w:rFonts w:eastAsia="Times New Roman"/>
          <w:b/>
        </w:rPr>
        <w:t>Continuing Guaranty; Assignment.</w:t>
      </w:r>
      <w:r>
        <w:rPr>
          <w:rFonts w:eastAsia="Times New Roman"/>
        </w:rPr>
        <w:t xml:space="preserve"> This Guaranty is a continuing guaranty and will: (i) remain in full force and effect until all of the Guaranty Obligations have been satisfied; (ii) consistent with the terms of this Guaranty, apply to all Guaranteed Obligations whenever arising; (iii) be binding upon Guarantor, its successors and assigns; and (iv) inure to the benefit of, and be enforceable by, Beneficiary and its permitted assignees under this Guaranty. Guarantor must not assign or delegate Guarantor’s rights or obligations under this Guaranty without: (i) the prior written consent of Beneficiary, which consent may be withheld in Beneficiary’s sole discretion; and (ii) a written assignment and assumption agreement in form and substance reasonably acceptable to Beneficiary. Without prejudice to the survival of any of the other </w:t>
      </w:r>
      <w:r>
        <w:rPr>
          <w:rFonts w:eastAsia="Times New Roman"/>
        </w:rPr>
        <w:lastRenderedPageBreak/>
        <w:t>agreements of Guarantor under this Guaranty, the agreements and obligations of Guarantor contained in Section 4.4 (</w:t>
      </w:r>
      <w:r>
        <w:rPr>
          <w:rFonts w:eastAsia="Times New Roman"/>
          <w:i/>
        </w:rPr>
        <w:t>Expenses</w:t>
      </w:r>
      <w:r>
        <w:rPr>
          <w:rFonts w:eastAsia="Times New Roman"/>
        </w:rPr>
        <w:t>) (regarding enforcement expenses) and the last sentence of Section 2.2.1 (</w:t>
      </w:r>
      <w:r>
        <w:rPr>
          <w:rFonts w:eastAsia="Times New Roman"/>
          <w:i/>
        </w:rPr>
        <w:t>Guarantor Guarantees</w:t>
      </w:r>
      <w:r>
        <w:rPr>
          <w:rFonts w:eastAsia="Times New Roman"/>
        </w:rPr>
        <w:t>) will survive the payment in full of the Guaranteed Obligations and all of the other amounts payable under this Guaranty.</w:t>
      </w:r>
    </w:p>
    <w:p w:rsidRPr="00E14CB1" w:rsidR="00480218" w:rsidP="00480218" w:rsidRDefault="00480218" w14:paraId="739C6314" w14:textId="3D35FFC4">
      <w:pPr>
        <w:tabs>
          <w:tab w:val="left" w:pos="540"/>
        </w:tabs>
        <w:rPr>
          <w:rFonts w:eastAsia="Times New Roman"/>
        </w:rPr>
      </w:pPr>
      <w:bookmarkStart w:name="_DV_M872" w:id="505"/>
      <w:bookmarkEnd w:id="505"/>
      <w:r>
        <w:rPr>
          <w:rFonts w:eastAsia="Times New Roman"/>
          <w:b/>
        </w:rPr>
        <w:t>4.2</w:t>
      </w:r>
      <w:r>
        <w:rPr>
          <w:rFonts w:eastAsia="Calibri"/>
        </w:rPr>
        <w:tab/>
      </w:r>
      <w:r>
        <w:rPr>
          <w:rFonts w:eastAsia="Times New Roman"/>
          <w:b/>
        </w:rPr>
        <w:t>Notices.</w:t>
      </w:r>
      <w:r>
        <w:rPr>
          <w:rFonts w:eastAsia="Times New Roman"/>
        </w:rPr>
        <w:t xml:space="preserve"> All notices, requests, demands and other communications that are required or may be given under this Guaranty must be in writing and will be deemed to have been given when actually received if: (i) personally delivered; (ii) transmitted by facsimile, electronic, or digital transmission method; or (iii) if sent by certified or registered mail, return receipt requested. In each case, notice will be </w:t>
      </w:r>
      <w:bookmarkStart w:name="_DV_M873" w:id="506"/>
      <w:bookmarkEnd w:id="506"/>
      <w:r>
        <w:rPr>
          <w:rFonts w:eastAsia="Times New Roman"/>
        </w:rPr>
        <w:t xml:space="preserve">to </w:t>
      </w:r>
      <w:bookmarkStart w:name="_DV_M874" w:id="507"/>
      <w:bookmarkEnd w:id="507"/>
      <w:r>
        <w:rPr>
          <w:rFonts w:eastAsia="Times New Roman"/>
        </w:rPr>
        <w:t>the contacts identified in this Section 4.2 (</w:t>
      </w:r>
      <w:r>
        <w:rPr>
          <w:rFonts w:eastAsia="Times New Roman"/>
          <w:i/>
          <w:iCs/>
        </w:rPr>
        <w:t>Notices</w:t>
      </w:r>
      <w:r>
        <w:rPr>
          <w:rFonts w:eastAsia="Times New Roman"/>
        </w:rPr>
        <w:t xml:space="preserve">) </w:t>
      </w:r>
      <w:bookmarkStart w:name="_DV_M875" w:id="508"/>
      <w:bookmarkEnd w:id="508"/>
      <w:r>
        <w:rPr>
          <w:rFonts w:eastAsia="Times New Roman"/>
        </w:rPr>
        <w:t xml:space="preserve">or to the other place and with the other copies as Beneficiary or Guarantor may designate for itself by written notice to the other </w:t>
      </w:r>
      <w:r>
        <w:rPr>
          <w:rFonts w:eastAsia="Calibri"/>
        </w:rPr>
        <w:t>under</w:t>
      </w:r>
      <w:r>
        <w:rPr>
          <w:rFonts w:eastAsia="Times New Roman"/>
        </w:rPr>
        <w:t xml:space="preserve"> this Section 4.2. Delivery by facsimile of an executed counterpart of a signature page to any amendment or waiver of any provision of this Guaranty will be effective as delivery of an original executed counterpart to the amendment or waiver.</w:t>
      </w:r>
    </w:p>
    <w:tbl>
      <w:tblPr>
        <w:tblW w:w="0" w:type="auto"/>
        <w:tblLook w:val="00A0" w:firstRow="1" w:lastRow="0" w:firstColumn="1" w:lastColumn="0" w:noHBand="0" w:noVBand="0"/>
      </w:tblPr>
      <w:tblGrid>
        <w:gridCol w:w="4815"/>
        <w:gridCol w:w="4545"/>
      </w:tblGrid>
      <w:tr w:rsidRPr="00E14CB1" w:rsidR="00480218" w14:paraId="18E8338D" w14:textId="77777777">
        <w:trPr>
          <w:trHeight w:val="360"/>
        </w:trPr>
        <w:tc>
          <w:tcPr>
            <w:tcW w:w="5019" w:type="dxa"/>
            <w:vAlign w:val="center"/>
          </w:tcPr>
          <w:p w:rsidRPr="00E14CB1" w:rsidR="00480218" w:rsidRDefault="00480218" w14:paraId="5191FBA3" w14:textId="77777777">
            <w:pPr>
              <w:keepNext/>
              <w:keepLines/>
              <w:jc w:val="left"/>
              <w:rPr>
                <w:rFonts w:ascii="Arial Bold" w:hAnsi="Arial Bold" w:eastAsia="Calibri"/>
                <w:b/>
                <w:color w:val="000000"/>
              </w:rPr>
            </w:pPr>
            <w:r>
              <w:rPr>
                <w:rFonts w:ascii="Arial Bold" w:hAnsi="Arial Bold" w:eastAsia="Calibri"/>
                <w:b/>
                <w:color w:val="000000"/>
              </w:rPr>
              <w:t>Notice to GPC:</w:t>
            </w:r>
          </w:p>
        </w:tc>
        <w:tc>
          <w:tcPr>
            <w:tcW w:w="4989" w:type="dxa"/>
            <w:vAlign w:val="center"/>
          </w:tcPr>
          <w:p w:rsidRPr="00E14CB1" w:rsidR="00480218" w:rsidRDefault="00480218" w14:paraId="686F8257" w14:textId="77777777">
            <w:pPr>
              <w:keepNext/>
              <w:keepLines/>
              <w:jc w:val="left"/>
              <w:rPr>
                <w:rFonts w:ascii="Arial Bold" w:hAnsi="Arial Bold" w:eastAsia="Calibri"/>
                <w:b/>
                <w:color w:val="000000"/>
              </w:rPr>
            </w:pPr>
            <w:r>
              <w:rPr>
                <w:rFonts w:ascii="Arial Bold" w:hAnsi="Arial Bold" w:eastAsia="Calibri"/>
                <w:b/>
                <w:color w:val="000000"/>
              </w:rPr>
              <w:t>With Copy to:</w:t>
            </w:r>
          </w:p>
        </w:tc>
      </w:tr>
      <w:tr w:rsidRPr="00E14CB1" w:rsidR="00480218" w14:paraId="1FEC5BD2" w14:textId="77777777">
        <w:tc>
          <w:tcPr>
            <w:tcW w:w="5019" w:type="dxa"/>
            <w:vAlign w:val="center"/>
          </w:tcPr>
          <w:p w:rsidRPr="00E14CB1" w:rsidR="00480218" w:rsidRDefault="00480218" w14:paraId="1F0E69F0" w14:textId="77777777">
            <w:pPr>
              <w:keepLines/>
              <w:spacing w:before="0" w:after="0"/>
              <w:jc w:val="left"/>
              <w:rPr>
                <w:rFonts w:eastAsia="Calibri"/>
                <w:color w:val="000000"/>
              </w:rPr>
            </w:pPr>
            <w:r>
              <w:rPr>
                <w:rFonts w:eastAsia="Calibri"/>
                <w:color w:val="000000"/>
              </w:rPr>
              <w:t>Georgia Power Company</w:t>
            </w:r>
          </w:p>
          <w:p w:rsidRPr="00E14CB1" w:rsidR="00480218" w:rsidRDefault="00480218" w14:paraId="0702DB22" w14:textId="4976EAA1">
            <w:pPr>
              <w:keepLines/>
              <w:spacing w:before="0" w:after="0"/>
              <w:jc w:val="left"/>
              <w:rPr>
                <w:rFonts w:eastAsia="MS Gothic"/>
              </w:rPr>
            </w:pPr>
            <w:r>
              <w:rPr>
                <w:rFonts w:eastAsia="Calibri"/>
              </w:rPr>
              <w:t>c/o Southern Company Services, Inc.</w:t>
            </w:r>
          </w:p>
          <w:p w:rsidRPr="00E14CB1" w:rsidR="00480218" w:rsidRDefault="00480218" w14:paraId="139D4AA5" w14:textId="77777777">
            <w:pPr>
              <w:keepLines/>
              <w:spacing w:before="0" w:after="0"/>
              <w:jc w:val="left"/>
              <w:rPr>
                <w:rFonts w:eastAsia="MS Gothic"/>
              </w:rPr>
            </w:pPr>
            <w:r>
              <w:rPr>
                <w:rFonts w:eastAsia="MS Gothic"/>
              </w:rPr>
              <w:t>Attn: Assistant Treasurer, BIN SC 1407</w:t>
            </w:r>
          </w:p>
          <w:p w:rsidRPr="00E14CB1" w:rsidR="00480218" w:rsidRDefault="00480218" w14:paraId="144564A0" w14:textId="77777777">
            <w:pPr>
              <w:keepLines/>
              <w:spacing w:before="0" w:after="0"/>
              <w:jc w:val="left"/>
              <w:rPr>
                <w:rFonts w:eastAsia="Calibri"/>
              </w:rPr>
            </w:pPr>
            <w:r>
              <w:rPr>
                <w:rFonts w:eastAsia="Calibri"/>
              </w:rPr>
              <w:t xml:space="preserve">30 Ivan Allen Junior Boulevard, NW </w:t>
            </w:r>
          </w:p>
          <w:p w:rsidRPr="00E14CB1" w:rsidR="00480218" w:rsidRDefault="00480218" w14:paraId="2B8DF5F2" w14:textId="77777777">
            <w:pPr>
              <w:keepLines/>
              <w:spacing w:before="0" w:after="0"/>
              <w:jc w:val="left"/>
              <w:rPr>
                <w:rFonts w:eastAsia="Calibri"/>
                <w:color w:val="000000"/>
              </w:rPr>
            </w:pPr>
            <w:r>
              <w:rPr>
                <w:rFonts w:eastAsia="Calibri"/>
                <w:color w:val="000000"/>
              </w:rPr>
              <w:t>Atlanta, GA 30308</w:t>
            </w:r>
          </w:p>
          <w:p w:rsidRPr="00E14CB1" w:rsidR="00480218" w:rsidRDefault="00480218" w14:paraId="00210A14" w14:textId="77777777">
            <w:pPr>
              <w:keepLines/>
              <w:spacing w:before="0" w:after="0"/>
              <w:jc w:val="left"/>
              <w:rPr>
                <w:rFonts w:eastAsia="Calibri"/>
                <w:color w:val="000000"/>
              </w:rPr>
            </w:pPr>
            <w:hyperlink w:history="1" r:id="rId43">
              <w:r>
                <w:rPr>
                  <w:rFonts w:eastAsia="Calibri"/>
                </w:rPr>
                <w:t>G2GPCERG@southernco.com</w:t>
              </w:r>
            </w:hyperlink>
            <w:r>
              <w:rPr>
                <w:rFonts w:eastAsia="Calibri"/>
              </w:rPr>
              <w:t xml:space="preserve"> </w:t>
            </w:r>
          </w:p>
        </w:tc>
        <w:tc>
          <w:tcPr>
            <w:tcW w:w="4989" w:type="dxa"/>
          </w:tcPr>
          <w:p w:rsidRPr="00E14CB1" w:rsidR="00480218" w:rsidRDefault="00480218" w14:paraId="0E8C477B" w14:textId="77777777">
            <w:pPr>
              <w:keepLines/>
              <w:spacing w:before="0" w:after="0"/>
              <w:jc w:val="left"/>
              <w:rPr>
                <w:rFonts w:eastAsia="Calibri"/>
                <w:color w:val="000000"/>
              </w:rPr>
            </w:pPr>
            <w:r>
              <w:rPr>
                <w:rFonts w:eastAsia="Calibri"/>
                <w:color w:val="000000"/>
              </w:rPr>
              <w:t>Georgia Power Company Legal Dept.</w:t>
            </w:r>
          </w:p>
          <w:p w:rsidRPr="00E14CB1" w:rsidR="00480218" w:rsidRDefault="00480218" w14:paraId="369F0597" w14:textId="77777777">
            <w:pPr>
              <w:keepLines/>
              <w:spacing w:before="0" w:after="0"/>
              <w:jc w:val="left"/>
              <w:rPr>
                <w:rFonts w:eastAsia="Calibri"/>
                <w:color w:val="000000"/>
              </w:rPr>
            </w:pPr>
            <w:r>
              <w:rPr>
                <w:rFonts w:eastAsia="Calibri"/>
                <w:color w:val="000000"/>
              </w:rPr>
              <w:t>Attn: Commercial &amp; Transactions, Bin 10180</w:t>
            </w:r>
          </w:p>
          <w:p w:rsidRPr="00E14CB1" w:rsidR="00480218" w:rsidRDefault="00480218" w14:paraId="3C1D0EA4" w14:textId="77777777">
            <w:pPr>
              <w:keepLines/>
              <w:spacing w:before="0" w:after="0"/>
              <w:jc w:val="left"/>
              <w:rPr>
                <w:rFonts w:eastAsia="Calibri"/>
                <w:color w:val="000000"/>
              </w:rPr>
            </w:pPr>
            <w:r>
              <w:rPr>
                <w:rFonts w:eastAsia="Calibri"/>
                <w:color w:val="000000"/>
              </w:rPr>
              <w:t>241 Ralph McGill Blvd., N.E.</w:t>
            </w:r>
          </w:p>
          <w:p w:rsidRPr="00E14CB1" w:rsidR="00480218" w:rsidRDefault="00480218" w14:paraId="41C79001" w14:textId="77777777">
            <w:pPr>
              <w:keepLines/>
              <w:spacing w:before="0" w:after="0"/>
              <w:jc w:val="left"/>
              <w:rPr>
                <w:rFonts w:eastAsia="Calibri"/>
                <w:color w:val="000000"/>
              </w:rPr>
            </w:pPr>
            <w:r>
              <w:rPr>
                <w:rFonts w:eastAsia="Calibri"/>
                <w:color w:val="000000"/>
              </w:rPr>
              <w:t>Atlanta, GA 30308</w:t>
            </w:r>
          </w:p>
        </w:tc>
      </w:tr>
      <w:tr w:rsidRPr="00E14CB1" w:rsidR="00480218" w14:paraId="7D0406C0" w14:textId="77777777">
        <w:trPr>
          <w:gridAfter w:val="1"/>
          <w:wAfter w:w="4932" w:type="dxa"/>
          <w:trHeight w:val="360"/>
        </w:trPr>
        <w:tc>
          <w:tcPr>
            <w:tcW w:w="5076" w:type="dxa"/>
            <w:vAlign w:val="center"/>
          </w:tcPr>
          <w:p w:rsidRPr="00E14CB1" w:rsidR="00480218" w:rsidRDefault="00480218" w14:paraId="498B3884" w14:textId="77777777">
            <w:pPr>
              <w:keepNext/>
              <w:keepLines/>
              <w:spacing w:before="0" w:after="0"/>
              <w:jc w:val="left"/>
              <w:rPr>
                <w:rFonts w:ascii="Arial Bold" w:hAnsi="Arial Bold" w:eastAsia="Calibri"/>
                <w:b/>
                <w:color w:val="000000"/>
              </w:rPr>
            </w:pPr>
            <w:r>
              <w:rPr>
                <w:rFonts w:eastAsia="Times New Roman"/>
              </w:rPr>
              <w:br/>
            </w:r>
            <w:r>
              <w:rPr>
                <w:rFonts w:ascii="Arial Bold" w:hAnsi="Arial Bold" w:eastAsia="Calibri"/>
                <w:b/>
                <w:color w:val="000000"/>
              </w:rPr>
              <w:t>Notice to Guarantor:</w:t>
            </w:r>
          </w:p>
        </w:tc>
      </w:tr>
      <w:tr w:rsidRPr="00E14CB1" w:rsidR="00480218" w14:paraId="4349E6F5" w14:textId="77777777">
        <w:trPr>
          <w:gridAfter w:val="1"/>
          <w:wAfter w:w="4932" w:type="dxa"/>
        </w:trPr>
        <w:tc>
          <w:tcPr>
            <w:tcW w:w="5076" w:type="dxa"/>
            <w:vAlign w:val="center"/>
          </w:tcPr>
          <w:p w:rsidRPr="00E14CB1" w:rsidR="00480218" w:rsidRDefault="00480218" w14:paraId="1E83FC0C" w14:textId="77777777">
            <w:pPr>
              <w:keepNext/>
              <w:keepLines/>
              <w:spacing w:before="0" w:after="0"/>
              <w:jc w:val="left"/>
              <w:rPr>
                <w:rFonts w:eastAsia="Calibri"/>
                <w:color w:val="000000"/>
                <w:highlight w:val="yellow"/>
              </w:rPr>
            </w:pPr>
            <w:r>
              <w:rPr>
                <w:rFonts w:eastAsia="Calibri"/>
                <w:color w:val="000000"/>
                <w:highlight w:val="yellow"/>
              </w:rPr>
              <w:t>#CompanyName</w:t>
            </w:r>
          </w:p>
          <w:p w:rsidRPr="00E14CB1" w:rsidR="00480218" w:rsidRDefault="00480218" w14:paraId="48691B6C" w14:textId="77777777">
            <w:pPr>
              <w:keepNext/>
              <w:keepLines/>
              <w:spacing w:before="0" w:after="0"/>
              <w:jc w:val="left"/>
              <w:rPr>
                <w:rFonts w:eastAsia="Calibri"/>
                <w:color w:val="000000"/>
                <w:highlight w:val="yellow"/>
              </w:rPr>
            </w:pPr>
            <w:r>
              <w:rPr>
                <w:rFonts w:eastAsia="Calibri"/>
                <w:color w:val="000000"/>
                <w:highlight w:val="yellow"/>
              </w:rPr>
              <w:t>Attn: #IndividualName</w:t>
            </w:r>
          </w:p>
          <w:p w:rsidRPr="00E14CB1" w:rsidR="00480218" w:rsidRDefault="00480218" w14:paraId="034DC785" w14:textId="77777777">
            <w:pPr>
              <w:keepNext/>
              <w:keepLines/>
              <w:spacing w:before="0" w:after="0"/>
              <w:jc w:val="left"/>
              <w:rPr>
                <w:rFonts w:eastAsia="Calibri"/>
                <w:color w:val="000000"/>
                <w:highlight w:val="yellow"/>
              </w:rPr>
            </w:pPr>
            <w:r>
              <w:rPr>
                <w:rFonts w:eastAsia="Calibri"/>
                <w:color w:val="000000"/>
                <w:highlight w:val="yellow"/>
              </w:rPr>
              <w:t>#Title</w:t>
            </w:r>
          </w:p>
          <w:p w:rsidRPr="00E14CB1" w:rsidR="00480218" w:rsidRDefault="00480218" w14:paraId="59EBDF27" w14:textId="77777777">
            <w:pPr>
              <w:keepNext/>
              <w:keepLines/>
              <w:spacing w:before="0" w:after="0"/>
              <w:jc w:val="left"/>
              <w:rPr>
                <w:rFonts w:eastAsia="Calibri"/>
                <w:color w:val="000000"/>
                <w:highlight w:val="yellow"/>
              </w:rPr>
            </w:pPr>
            <w:r>
              <w:rPr>
                <w:rFonts w:eastAsia="Calibri"/>
                <w:color w:val="000000"/>
                <w:highlight w:val="yellow"/>
              </w:rPr>
              <w:t>#StreetAddress</w:t>
            </w:r>
          </w:p>
          <w:p w:rsidRPr="00E14CB1" w:rsidR="00480218" w:rsidRDefault="00480218" w14:paraId="48DCD0F5" w14:textId="77777777">
            <w:pPr>
              <w:keepNext/>
              <w:keepLines/>
              <w:spacing w:before="0" w:after="0"/>
              <w:jc w:val="left"/>
              <w:rPr>
                <w:rFonts w:eastAsia="Calibri"/>
                <w:color w:val="000000"/>
              </w:rPr>
            </w:pPr>
            <w:r>
              <w:rPr>
                <w:rFonts w:eastAsia="Calibri"/>
                <w:color w:val="000000"/>
                <w:highlight w:val="yellow"/>
              </w:rPr>
              <w:t>#City, #State #ZipCode</w:t>
            </w:r>
          </w:p>
          <w:p w:rsidRPr="00E14CB1" w:rsidR="00480218" w:rsidRDefault="00480218" w14:paraId="5A492629" w14:textId="77777777">
            <w:pPr>
              <w:keepNext/>
              <w:keepLines/>
              <w:spacing w:before="0" w:after="0"/>
              <w:jc w:val="left"/>
              <w:rPr>
                <w:rFonts w:eastAsia="Calibri"/>
                <w:color w:val="0563C1"/>
              </w:rPr>
            </w:pPr>
            <w:r>
              <w:rPr>
                <w:rFonts w:eastAsia="Calibri"/>
                <w:highlight w:val="yellow"/>
              </w:rPr>
              <w:t>#Email#</w:t>
            </w:r>
          </w:p>
        </w:tc>
      </w:tr>
    </w:tbl>
    <w:p w:rsidRPr="00E14CB1" w:rsidR="00480218" w:rsidP="00480218" w:rsidRDefault="00480218" w14:paraId="052E2CB5" w14:textId="77777777">
      <w:pPr>
        <w:tabs>
          <w:tab w:val="left" w:pos="540"/>
        </w:tabs>
        <w:rPr>
          <w:rFonts w:eastAsia="Times New Roman"/>
        </w:rPr>
      </w:pPr>
      <w:bookmarkStart w:name="_DV_M876" w:id="509"/>
      <w:bookmarkEnd w:id="509"/>
      <w:r>
        <w:rPr>
          <w:rFonts w:eastAsia="Times New Roman"/>
          <w:b/>
        </w:rPr>
        <w:t>4.3</w:t>
      </w:r>
      <w:r>
        <w:rPr>
          <w:rFonts w:eastAsia="Times New Roman"/>
          <w:i/>
        </w:rPr>
        <w:tab/>
      </w:r>
      <w:r>
        <w:rPr>
          <w:rFonts w:eastAsia="Times New Roman"/>
          <w:b/>
        </w:rPr>
        <w:t>Delay and Waiver.</w:t>
      </w:r>
      <w:r>
        <w:rPr>
          <w:rFonts w:eastAsia="Times New Roman"/>
        </w:rPr>
        <w:t xml:space="preserve"> No failure on the part of Beneficiary to exercise, and no delay in exercising, any right under this Guaranty will operate as a waiver any right under this Guaranty; nor will any single or partial exercise of any right under this Guaranty preclude any other or further exercise of the right under this Guaranty or the exercise of any other right. The remedies provided in this Guaranty are cumulative and not exclusive of any remedies provided by law.</w:t>
      </w:r>
    </w:p>
    <w:p w:rsidRPr="00E14CB1" w:rsidR="00480218" w:rsidP="00480218" w:rsidRDefault="00480218" w14:paraId="5775DE37" w14:textId="77777777">
      <w:pPr>
        <w:tabs>
          <w:tab w:val="left" w:pos="540"/>
        </w:tabs>
        <w:autoSpaceDE w:val="0"/>
        <w:autoSpaceDN w:val="0"/>
        <w:adjustRightInd w:val="0"/>
        <w:outlineLvl w:val="1"/>
        <w:rPr>
          <w:rFonts w:eastAsia="Times New Roman"/>
        </w:rPr>
      </w:pPr>
      <w:bookmarkStart w:name="_DV_M877" w:id="510"/>
      <w:bookmarkEnd w:id="510"/>
      <w:r>
        <w:rPr>
          <w:rFonts w:eastAsia="Times New Roman"/>
          <w:b/>
        </w:rPr>
        <w:t>4.4</w:t>
      </w:r>
      <w:r>
        <w:rPr>
          <w:rFonts w:eastAsia="Times New Roman"/>
          <w:i/>
        </w:rPr>
        <w:tab/>
      </w:r>
      <w:r>
        <w:rPr>
          <w:rFonts w:eastAsia="Times New Roman"/>
          <w:b/>
        </w:rPr>
        <w:t>Expenses.</w:t>
      </w:r>
      <w:r>
        <w:rPr>
          <w:rFonts w:eastAsia="Times New Roman"/>
        </w:rPr>
        <w:t xml:space="preserve"> Guarantor agrees to pay or reimburse Beneficiary and any permitted assignees of Beneficiary on demand for its reasonable costs, charges, and expenses (including reasonable fees and expenses of counsel) incurred in connection with the enforcement of this Guaranty or caused by any breach by Guarantor of any of its obligations under this Guaranty, including any actions taken in any bankruptcy or insolvency proceedings, if Guarantor is required to pay under this Guaranty.</w:t>
      </w:r>
    </w:p>
    <w:p w:rsidRPr="00D245F9" w:rsidR="00480218" w:rsidP="00480218" w:rsidRDefault="00480218" w14:paraId="5FDAC23D" w14:textId="20FDA193">
      <w:pPr>
        <w:tabs>
          <w:tab w:val="left" w:pos="540"/>
        </w:tabs>
        <w:autoSpaceDE w:val="0"/>
        <w:autoSpaceDN w:val="0"/>
        <w:adjustRightInd w:val="0"/>
        <w:outlineLvl w:val="1"/>
        <w:rPr>
          <w:rFonts w:eastAsia="Times New Roman"/>
        </w:rPr>
      </w:pPr>
      <w:bookmarkStart w:name="_DV_M878" w:id="511"/>
      <w:bookmarkEnd w:id="511"/>
      <w:r>
        <w:rPr>
          <w:rFonts w:eastAsia="Times New Roman"/>
          <w:b/>
        </w:rPr>
        <w:t>4.5</w:t>
      </w:r>
      <w:r>
        <w:rPr>
          <w:rFonts w:eastAsia="Times New Roman"/>
          <w:i/>
        </w:rPr>
        <w:tab/>
      </w:r>
      <w:r>
        <w:rPr>
          <w:rFonts w:eastAsia="Times New Roman"/>
          <w:b/>
        </w:rPr>
        <w:t>Entire Agreement; Amendments; Other Guarantees.</w:t>
      </w:r>
      <w:r>
        <w:rPr>
          <w:rFonts w:eastAsia="Times New Roman"/>
        </w:rPr>
        <w:t xml:space="preserve"> This Guaranty and any agreement, document, or instrument attached to this Guaranty or referred to in this Guaranty integrate all the terms and conditions mentioned in or incidental to this Guaranty and supersede all oral negotiations and prior writings in respect to the subject matter of this Guaranty. In the event of any conflict between the terms and conditions of this Guaranty and any related agreement, document, or instrument, the terms and conditions of this Guaranty will prevail. This Guaranty may only be amended or modified by an instrument in writing signed by each of Guarantor and Beneficiary and any permitted assignees of Beneficiary. Without limiting the preceding in this Section 4.5 (</w:t>
      </w:r>
      <w:r>
        <w:rPr>
          <w:rFonts w:eastAsia="Times New Roman"/>
          <w:i/>
          <w:iCs/>
        </w:rPr>
        <w:t>Entire Agreement; Amendments; Other Guarantees</w:t>
      </w:r>
      <w:r>
        <w:rPr>
          <w:rFonts w:eastAsia="Times New Roman"/>
        </w:rPr>
        <w:t>): (i) this Guaranty will not release, modify, revoke, or terminate any other guaranty existing previously, now, or in the future executed by Guarantor; nor will any other guaranty previously, now, or in the future executed by Guarantor release, modify, revoke, or terminate this Guaranty; and (ii) all of Guarantor’s liabilities and obligations and Beneficiary’s rights and remedies under this Guaranty are in addition to and cumulative with those under any other guaranty executed by Guarantor in favor of Beneficiary or any affiliate of Beneficiary on or about the Effective Date or at any other time.</w:t>
      </w:r>
    </w:p>
    <w:p w:rsidRPr="00E14CB1" w:rsidR="00480218" w:rsidP="00480218" w:rsidRDefault="00480218" w14:paraId="665A8B54" w14:textId="77777777">
      <w:pPr>
        <w:tabs>
          <w:tab w:val="left" w:pos="540"/>
        </w:tabs>
        <w:autoSpaceDE w:val="0"/>
        <w:autoSpaceDN w:val="0"/>
        <w:adjustRightInd w:val="0"/>
        <w:outlineLvl w:val="1"/>
        <w:rPr>
          <w:rFonts w:eastAsia="Times New Roman"/>
        </w:rPr>
      </w:pPr>
      <w:bookmarkStart w:name="_DV_M879" w:id="512"/>
      <w:bookmarkEnd w:id="512"/>
      <w:r>
        <w:rPr>
          <w:rFonts w:eastAsia="Times New Roman"/>
          <w:b/>
        </w:rPr>
        <w:lastRenderedPageBreak/>
        <w:t>4.6</w:t>
      </w:r>
      <w:r>
        <w:rPr>
          <w:rFonts w:eastAsia="Times New Roman"/>
          <w:i/>
        </w:rPr>
        <w:tab/>
      </w:r>
      <w:r>
        <w:rPr>
          <w:rFonts w:eastAsia="Times New Roman"/>
          <w:b/>
        </w:rPr>
        <w:t>Headings.</w:t>
      </w:r>
      <w:r>
        <w:rPr>
          <w:rFonts w:eastAsia="Times New Roman"/>
        </w:rPr>
        <w:t xml:space="preserve"> The headings of the various Sections of this Guaranty are for convenience of reference only and will not modify, define, or limit any of the terms or provisions in this Guaranty.</w:t>
      </w:r>
    </w:p>
    <w:p w:rsidRPr="00E14CB1" w:rsidR="00480218" w:rsidP="00480218" w:rsidRDefault="00480218" w14:paraId="3AA0084E" w14:textId="77777777">
      <w:pPr>
        <w:tabs>
          <w:tab w:val="left" w:pos="540"/>
        </w:tabs>
        <w:autoSpaceDE w:val="0"/>
        <w:autoSpaceDN w:val="0"/>
        <w:adjustRightInd w:val="0"/>
        <w:outlineLvl w:val="1"/>
        <w:rPr>
          <w:rFonts w:eastAsia="Times New Roman"/>
        </w:rPr>
      </w:pPr>
      <w:bookmarkStart w:name="_DV_M880" w:id="513"/>
      <w:bookmarkEnd w:id="513"/>
      <w:r>
        <w:rPr>
          <w:rFonts w:eastAsia="Times New Roman"/>
          <w:b/>
        </w:rPr>
        <w:t>4.7</w:t>
      </w:r>
      <w:r>
        <w:rPr>
          <w:rFonts w:eastAsia="Times New Roman"/>
          <w:i/>
        </w:rPr>
        <w:tab/>
      </w:r>
      <w:r>
        <w:rPr>
          <w:rFonts w:eastAsia="Times New Roman"/>
          <w:b/>
        </w:rPr>
        <w:t>Governing Law; Consent to Jurisdiction.</w:t>
      </w:r>
      <w:r>
        <w:rPr>
          <w:rFonts w:eastAsia="Times New Roman"/>
        </w:rPr>
        <w:t xml:space="preserve"> </w:t>
      </w:r>
    </w:p>
    <w:p w:rsidRPr="00E14CB1" w:rsidR="00480218" w:rsidP="00480218" w:rsidRDefault="00480218" w14:paraId="286B7CAB" w14:textId="77777777">
      <w:pPr>
        <w:tabs>
          <w:tab w:val="left" w:pos="2250"/>
        </w:tabs>
        <w:autoSpaceDE w:val="0"/>
        <w:autoSpaceDN w:val="0"/>
        <w:adjustRightInd w:val="0"/>
        <w:ind w:left="270"/>
        <w:outlineLvl w:val="1"/>
        <w:rPr>
          <w:rFonts w:eastAsia="Times New Roman"/>
        </w:rPr>
      </w:pPr>
      <w:bookmarkStart w:name="_DV_M881" w:id="514"/>
      <w:bookmarkEnd w:id="514"/>
      <w:r>
        <w:rPr>
          <w:rFonts w:eastAsia="Times New Roman"/>
          <w:b/>
        </w:rPr>
        <w:t xml:space="preserve">4.7.1. Governing Law. </w:t>
      </w:r>
      <w:r>
        <w:rPr>
          <w:rFonts w:eastAsia="Times New Roman"/>
        </w:rPr>
        <w:t>This Guaranty will be construed and interpreted, and the rights of the parties determined, in accordance with the laws of the state of Georgia, without giving effect to principles of conflicts of law that would require the application of the laws of another jurisdiction.</w:t>
      </w:r>
    </w:p>
    <w:p w:rsidR="00480218" w:rsidP="00480218" w:rsidRDefault="00480218" w14:paraId="3E9A67EA" w14:textId="09B68C19">
      <w:pPr>
        <w:tabs>
          <w:tab w:val="left" w:pos="2160"/>
        </w:tabs>
        <w:autoSpaceDE w:val="0"/>
        <w:autoSpaceDN w:val="0"/>
        <w:adjustRightInd w:val="0"/>
        <w:ind w:left="270"/>
        <w:outlineLvl w:val="5"/>
        <w:rPr>
          <w:rFonts w:eastAsia="Times New Roman"/>
        </w:rPr>
      </w:pPr>
      <w:bookmarkStart w:name="_DV_M882" w:id="515"/>
      <w:bookmarkEnd w:id="515"/>
      <w:r>
        <w:rPr>
          <w:rFonts w:eastAsia="Times New Roman"/>
          <w:b/>
        </w:rPr>
        <w:t>4.7.2.</w:t>
      </w:r>
      <w:r>
        <w:rPr>
          <w:rFonts w:eastAsia="Times New Roman"/>
        </w:rPr>
        <w:t xml:space="preserve"> </w:t>
      </w:r>
      <w:r>
        <w:rPr>
          <w:rFonts w:eastAsia="Times New Roman"/>
          <w:b/>
        </w:rPr>
        <w:t xml:space="preserve">Consent to Jurisdiction. </w:t>
      </w:r>
      <w:r w:rsidRPr="006135A8">
        <w:rPr>
          <w:rFonts w:eastAsia="Times New Roman"/>
          <w:b/>
          <w:bCs/>
          <w:u w:val="single"/>
        </w:rPr>
        <w:t xml:space="preserve">Guarantor irrevocably and unconditionally: (i) agrees that any suit, action, or other legal proceeding arising out of this Guaranty </w:t>
      </w:r>
      <w:r w:rsidR="006135A8">
        <w:rPr>
          <w:rFonts w:eastAsia="Times New Roman"/>
          <w:b/>
          <w:bCs/>
          <w:u w:val="single"/>
        </w:rPr>
        <w:t>must</w:t>
      </w:r>
      <w:r w:rsidRPr="006135A8">
        <w:rPr>
          <w:rFonts w:eastAsia="Times New Roman"/>
          <w:b/>
          <w:bCs/>
          <w:u w:val="single"/>
        </w:rPr>
        <w:t xml:space="preserve"> be brought in </w:t>
      </w:r>
      <w:r w:rsidRPr="006135A8" w:rsidR="006A3168">
        <w:rPr>
          <w:rFonts w:eastAsia="Times New Roman"/>
          <w:b/>
          <w:bCs/>
          <w:u w:val="single"/>
        </w:rPr>
        <w:t>federal or state court located in the state of</w:t>
      </w:r>
      <w:r w:rsidRPr="006135A8">
        <w:rPr>
          <w:rFonts w:eastAsia="Times New Roman"/>
          <w:b/>
          <w:bCs/>
          <w:u w:val="single"/>
        </w:rPr>
        <w:t xml:space="preserve"> Georgia; (ii) </w:t>
      </w:r>
      <w:r w:rsidRPr="006135A8" w:rsidR="00C004A8">
        <w:rPr>
          <w:rFonts w:eastAsia="Times New Roman"/>
          <w:b/>
          <w:bCs/>
          <w:u w:val="single"/>
        </w:rPr>
        <w:t xml:space="preserve">submits </w:t>
      </w:r>
      <w:r w:rsidRPr="006135A8">
        <w:rPr>
          <w:rFonts w:eastAsia="Times New Roman"/>
          <w:b/>
          <w:bCs/>
          <w:u w:val="single"/>
        </w:rPr>
        <w:t xml:space="preserve">to the </w:t>
      </w:r>
      <w:r w:rsidRPr="006135A8" w:rsidR="00C004A8">
        <w:rPr>
          <w:rFonts w:eastAsia="Times New Roman"/>
          <w:b/>
          <w:bCs/>
          <w:u w:val="single"/>
        </w:rPr>
        <w:t xml:space="preserve">exclusive </w:t>
      </w:r>
      <w:r w:rsidRPr="006135A8">
        <w:rPr>
          <w:rFonts w:eastAsia="Times New Roman"/>
          <w:b/>
          <w:bCs/>
          <w:u w:val="single"/>
        </w:rPr>
        <w:t xml:space="preserve">jurisdiction of those courts </w:t>
      </w:r>
      <w:r w:rsidRPr="006135A8" w:rsidR="00C004A8">
        <w:rPr>
          <w:rFonts w:eastAsia="Times New Roman"/>
          <w:b/>
          <w:bCs/>
          <w:u w:val="single"/>
        </w:rPr>
        <w:t>for any such</w:t>
      </w:r>
      <w:r w:rsidRPr="006135A8">
        <w:rPr>
          <w:rFonts w:eastAsia="Times New Roman"/>
          <w:b/>
          <w:bCs/>
          <w:u w:val="single"/>
        </w:rPr>
        <w:t xml:space="preserve"> </w:t>
      </w:r>
      <w:r w:rsidRPr="006135A8" w:rsidR="00C004A8">
        <w:rPr>
          <w:rFonts w:eastAsia="Times New Roman"/>
          <w:b/>
          <w:bCs/>
          <w:u w:val="single"/>
        </w:rPr>
        <w:t>suit</w:t>
      </w:r>
      <w:r w:rsidRPr="006135A8">
        <w:rPr>
          <w:rFonts w:eastAsia="Times New Roman"/>
          <w:b/>
          <w:bCs/>
          <w:u w:val="single"/>
        </w:rPr>
        <w:t xml:space="preserve">, action, or proceeding; and (iii) waives any objection </w:t>
      </w:r>
      <w:r w:rsidRPr="006135A8" w:rsidR="00B73E1E">
        <w:rPr>
          <w:rFonts w:eastAsia="Times New Roman"/>
          <w:b/>
          <w:bCs/>
          <w:u w:val="single"/>
        </w:rPr>
        <w:t>to venue in those courts and any claim that</w:t>
      </w:r>
      <w:r w:rsidRPr="006135A8" w:rsidR="00D402CA">
        <w:rPr>
          <w:rFonts w:eastAsia="Times New Roman"/>
          <w:b/>
          <w:bCs/>
          <w:u w:val="single"/>
        </w:rPr>
        <w:t xml:space="preserve"> the</w:t>
      </w:r>
      <w:r w:rsidRPr="006135A8">
        <w:rPr>
          <w:rFonts w:eastAsia="Times New Roman"/>
          <w:b/>
          <w:bCs/>
          <w:u w:val="single"/>
        </w:rPr>
        <w:t xml:space="preserve"> suit, action, or proceeding </w:t>
      </w:r>
      <w:r w:rsidRPr="006135A8" w:rsidR="00D402CA">
        <w:rPr>
          <w:rFonts w:eastAsia="Times New Roman"/>
          <w:b/>
          <w:bCs/>
          <w:u w:val="single"/>
        </w:rPr>
        <w:t>has been brought in an inconvenient forum</w:t>
      </w:r>
      <w:r w:rsidRPr="006135A8">
        <w:rPr>
          <w:rFonts w:eastAsia="Times New Roman"/>
          <w:b/>
          <w:bCs/>
        </w:rPr>
        <w:t>.</w:t>
      </w:r>
      <w:r>
        <w:rPr>
          <w:rFonts w:eastAsia="Times New Roman"/>
          <w:highlight w:val="yellow"/>
        </w:rPr>
        <w:t xml:space="preserve">[ </w:t>
      </w:r>
      <w:r>
        <w:rPr>
          <w:rFonts w:eastAsia="Times New Roman"/>
          <w:b/>
          <w:bCs/>
          <w:highlight w:val="yellow"/>
        </w:rPr>
        <w:t>Applicable Only to Foreign Guarantor:</w:t>
      </w:r>
      <w:r>
        <w:rPr>
          <w:rFonts w:eastAsia="Times New Roman"/>
          <w:highlight w:val="yellow"/>
        </w:rPr>
        <w:t xml:space="preserve"> Guarantor and Beneficiary further agree that a final judgment in any action or proceeding arising out of or relating to this Guaranty will be conclusive and may be enforced in any other jurisdiction within or outside the Untied States by suit on the judgment, a certified or exemplified copy of which will be conclusive evidence of the fact and the amount of indebtedness or liability therein described, or in any other manner provided by applicable law.]</w:t>
      </w:r>
    </w:p>
    <w:p w:rsidRPr="00841832" w:rsidR="003411C0" w:rsidP="003411C0" w:rsidRDefault="00105F1D" w14:paraId="17D2D344" w14:textId="40E51130">
      <w:pPr>
        <w:tabs>
          <w:tab w:val="left" w:pos="2160"/>
        </w:tabs>
        <w:autoSpaceDE w:val="0"/>
        <w:autoSpaceDN w:val="0"/>
        <w:adjustRightInd w:val="0"/>
        <w:ind w:left="270"/>
        <w:outlineLvl w:val="5"/>
        <w:rPr>
          <w:rFonts w:eastAsia="Times New Roman"/>
        </w:rPr>
      </w:pPr>
      <w:r>
        <w:rPr>
          <w:rFonts w:eastAsia="Times New Roman"/>
          <w:b/>
        </w:rPr>
        <w:t xml:space="preserve">4.7.3. </w:t>
      </w:r>
      <w:r>
        <w:rPr>
          <w:rFonts w:eastAsia="Times New Roman"/>
          <w:b/>
          <w:bCs/>
          <w:highlight w:val="yellow"/>
        </w:rPr>
        <w:t>[Applicable Only to Foreign Guarantor: Guarantor’s Process Agent.</w:t>
      </w:r>
      <w:r>
        <w:rPr>
          <w:rFonts w:eastAsia="Times New Roman"/>
          <w:highlight w:val="yellow"/>
        </w:rPr>
        <w:t xml:space="preserve"> Guarantor irrevocably designates, appoints and empowers [_________________________________________ Georgia, ____ United States of America] as its authorized agent to receive on its behalf and on behalf of its property service of copies of the summons and complaint and any other process which may be served in any action or proceeding between Beneficiary and Guarantor arising out of or relating to this Guaranty. The service may be made by mailing or delivering a copy of the process in care of the process agent, and Guarantor irrevocably authorizes and directs its designated process agent to accept the service on its behalf. Guarantor further agrees that failure by a process agent appointed in accordance with this section to notify Guarantor of the process will not invalidate the process or service or the proceeding concerned. Despite the preceding sentences, nothing in this Guaranty will affect the rights of either party to serve process in any other manner permitted by applicable law. Guarantor will maintain the process agent, or any other Person located within the State of Georgia as may be acceptable to Beneficiary, as its agent for service of process in the State of Georgia during the duration of this Guaranty and twelve months after, at Guarantor’s sole cost and expense. If for any reason, the appointed process agent is no longer acting as process agent, Guarantor must promptly (and in any event within seven Days) appoint a replacement agent in the State of Georgia as its authorized agent to receive on its behalf and on behalf of its property, service of copies of the summons and complaint and any other process which may be served in any action or proceeding between Beneficiary and Guarantor arising out of or relating to this Guaranty. If Guarantor fails to appoint a replacement process agent as provided in this Section 4.7.3, Beneficiary may appoint the replacement process agent on behalf of Guarantor, at Guarantor’s sole cost and expense.]</w:t>
      </w:r>
    </w:p>
    <w:p w:rsidR="003411C0" w:rsidP="003411C0" w:rsidRDefault="003411C0" w14:paraId="0DFF9479" w14:textId="46621363">
      <w:pPr>
        <w:tabs>
          <w:tab w:val="left" w:pos="2160"/>
        </w:tabs>
        <w:autoSpaceDE w:val="0"/>
        <w:autoSpaceDN w:val="0"/>
        <w:adjustRightInd w:val="0"/>
        <w:spacing w:before="0" w:after="0"/>
        <w:ind w:left="274"/>
        <w:outlineLvl w:val="5"/>
        <w:rPr>
          <w:rFonts w:eastAsia="Times New Roman"/>
        </w:rPr>
      </w:pPr>
      <w:r>
        <w:rPr>
          <w:rFonts w:eastAsia="Times New Roman"/>
          <w:b/>
          <w:bCs/>
        </w:rPr>
        <w:t xml:space="preserve">4.7.4 </w:t>
      </w:r>
      <w:r>
        <w:rPr>
          <w:rFonts w:eastAsia="Times New Roman"/>
          <w:b/>
          <w:bCs/>
          <w:highlight w:val="yellow"/>
        </w:rPr>
        <w:t>[Applicable Only to Foreign Guarantor: Payment in U.S. Dollars; Judgement Currency.</w:t>
      </w:r>
      <w:r>
        <w:rPr>
          <w:rFonts w:eastAsia="Times New Roman"/>
          <w:highlight w:val="yellow"/>
        </w:rPr>
        <w:t xml:space="preserve"> This Guaranty is made by the Guarantor regarding a transaction in which the specification of payment in United States Dollars (“</w:t>
      </w:r>
      <w:r>
        <w:rPr>
          <w:rFonts w:eastAsia="Times New Roman"/>
          <w:b/>
          <w:bCs/>
          <w:highlight w:val="yellow"/>
        </w:rPr>
        <w:t>Dollars</w:t>
      </w:r>
      <w:r>
        <w:rPr>
          <w:rFonts w:eastAsia="Times New Roman"/>
          <w:highlight w:val="yellow"/>
        </w:rPr>
        <w:t>”) and payment at the designated place of payment is of the essence, and Dollars will be the currency of accounting in all events. The payment obligations of the Guarantor under this Guaranty will not be discharged by any amount paid in another currency or in another place, whether in accordance with a judgment or otherwise, to the extent that any amount paid on conversion to Dollars and transferred to the designated place of payment under normal banking procedures does not yield the amount of Dollars due under this Guaranty.]</w:t>
      </w:r>
    </w:p>
    <w:p w:rsidRPr="003411C0" w:rsidR="003411C0" w:rsidP="003411C0" w:rsidRDefault="003411C0" w14:paraId="20EFA559" w14:textId="77777777">
      <w:pPr>
        <w:tabs>
          <w:tab w:val="left" w:pos="2160"/>
        </w:tabs>
        <w:autoSpaceDE w:val="0"/>
        <w:autoSpaceDN w:val="0"/>
        <w:adjustRightInd w:val="0"/>
        <w:spacing w:after="0"/>
        <w:ind w:left="274"/>
        <w:outlineLvl w:val="5"/>
        <w:rPr>
          <w:rFonts w:eastAsia="Times New Roman"/>
          <w:highlight w:val="yellow"/>
        </w:rPr>
      </w:pPr>
      <w:r>
        <w:rPr>
          <w:rFonts w:eastAsia="Times New Roman"/>
          <w:b/>
          <w:bCs/>
        </w:rPr>
        <w:t xml:space="preserve">4.7.5 </w:t>
      </w:r>
      <w:r>
        <w:rPr>
          <w:rFonts w:eastAsia="Times New Roman"/>
          <w:b/>
          <w:bCs/>
          <w:highlight w:val="yellow"/>
        </w:rPr>
        <w:t>[Applicable Only to Foreign Guarantor:</w:t>
      </w:r>
      <w:r>
        <w:rPr>
          <w:rFonts w:eastAsia="Times New Roman"/>
          <w:highlight w:val="yellow"/>
        </w:rPr>
        <w:t xml:space="preserve"> </w:t>
      </w:r>
      <w:r>
        <w:rPr>
          <w:rFonts w:eastAsia="Times New Roman"/>
          <w:b/>
          <w:bCs/>
          <w:highlight w:val="yellow"/>
        </w:rPr>
        <w:t>Withholding Taxes.</w:t>
      </w:r>
      <w:r>
        <w:rPr>
          <w:rFonts w:eastAsia="Times New Roman"/>
          <w:highlight w:val="yellow"/>
        </w:rPr>
        <w:t xml:space="preserve"> </w:t>
      </w:r>
    </w:p>
    <w:p w:rsidRPr="003411C0" w:rsidR="003411C0" w:rsidP="003411C0" w:rsidRDefault="003411C0" w14:paraId="24A7146F" w14:textId="3DE3C05C">
      <w:pPr>
        <w:autoSpaceDE w:val="0"/>
        <w:autoSpaceDN w:val="0"/>
        <w:adjustRightInd w:val="0"/>
        <w:spacing w:after="0"/>
        <w:ind w:left="1170" w:hanging="364"/>
        <w:outlineLvl w:val="5"/>
        <w:rPr>
          <w:rFonts w:eastAsia="Times New Roman"/>
          <w:highlight w:val="yellow"/>
        </w:rPr>
      </w:pPr>
      <w:r>
        <w:rPr>
          <w:rFonts w:eastAsia="Times New Roman"/>
          <w:b/>
          <w:bCs/>
          <w:highlight w:val="yellow"/>
        </w:rPr>
        <w:t>a.</w:t>
      </w:r>
      <w:r>
        <w:rPr>
          <w:rFonts w:eastAsia="Times New Roman"/>
          <w:highlight w:val="yellow"/>
        </w:rPr>
        <w:t xml:space="preserve"> </w:t>
      </w:r>
      <w:r>
        <w:rPr>
          <w:rFonts w:eastAsia="Times New Roman"/>
          <w:highlight w:val="yellow"/>
        </w:rPr>
        <w:tab/>
        <w:t xml:space="preserve">Each payment by Guarantor to Beneficiary in accordance with this Guaranty must be made free and clear of, and without deduction or withholding for or on Beneficiary of, any present or future taxes, duties, assessments, fees, deductions, withholding, levies, imposts, or charges of whatsoever nature (other than taxes imposed on income or gross revenue), together with any liabilities (including penalties, interest and expenses) in regarding the preceding imposed </w:t>
      </w:r>
      <w:r>
        <w:rPr>
          <w:rFonts w:eastAsia="Times New Roman"/>
          <w:highlight w:val="yellow"/>
        </w:rPr>
        <w:lastRenderedPageBreak/>
        <w:t>or levied by or on behalf of the government of any jurisdiction(s) in which the Guarantor is organized, headquartered, or conducting business, or any political subdivision of the government or any authority or agency of the government having the power to tax (“</w:t>
      </w:r>
      <w:r>
        <w:rPr>
          <w:rFonts w:eastAsia="Times New Roman"/>
          <w:b/>
          <w:bCs/>
          <w:highlight w:val="yellow"/>
        </w:rPr>
        <w:t>Withholding Taxes</w:t>
      </w:r>
      <w:r>
        <w:rPr>
          <w:rFonts w:eastAsia="Times New Roman"/>
          <w:highlight w:val="yellow"/>
        </w:rPr>
        <w:t>”), unless the deduction or withholding is required by the laws of any jurisdiction(s) in which the Guarantor is organized, headquartered, or conducting business, or any province or political subdivision of the jurisdiction(s) or by the administrative practice of any taxing authority. If any such deduction or withholding is required, or if no such deduction or withholding is required but Withholding Taxes are otherwise payable concerning the payment, Guarantor must:</w:t>
      </w:r>
    </w:p>
    <w:p w:rsidRPr="003411C0" w:rsidR="003411C0" w:rsidP="003411C0" w:rsidRDefault="003411C0" w14:paraId="38C7BCA4" w14:textId="5103604F">
      <w:pPr>
        <w:autoSpaceDE w:val="0"/>
        <w:autoSpaceDN w:val="0"/>
        <w:adjustRightInd w:val="0"/>
        <w:spacing w:after="0"/>
        <w:ind w:left="1440" w:hanging="274"/>
        <w:outlineLvl w:val="5"/>
        <w:rPr>
          <w:rFonts w:eastAsia="Times New Roman"/>
          <w:highlight w:val="yellow"/>
        </w:rPr>
      </w:pPr>
      <w:r>
        <w:rPr>
          <w:rFonts w:eastAsia="Times New Roman"/>
          <w:highlight w:val="yellow"/>
        </w:rPr>
        <w:t>i. Pay any additional amount to Beneficiary as may be necessary to ensure that Beneficiary receives and retains a net sum after such deduction, withholding, or payment of Withholding Taxes (including any deduction, withholding, or payment of Withholding Taxes regarding the additional amount), free from any liability regrading the Withholding Taxes, equal to the sum that Beneficiary would have received and retained had no such deduction or withholding of Withholding Taxes been made or required to be made and had no such Withholding Taxes been payable;</w:t>
      </w:r>
    </w:p>
    <w:p w:rsidRPr="003411C0" w:rsidR="003411C0" w:rsidP="003411C0" w:rsidRDefault="003411C0" w14:paraId="619CC302" w14:textId="52D97470">
      <w:pPr>
        <w:autoSpaceDE w:val="0"/>
        <w:autoSpaceDN w:val="0"/>
        <w:adjustRightInd w:val="0"/>
        <w:spacing w:after="0"/>
        <w:ind w:left="1440" w:hanging="274"/>
        <w:outlineLvl w:val="5"/>
        <w:rPr>
          <w:rFonts w:eastAsia="Times New Roman"/>
          <w:highlight w:val="yellow"/>
        </w:rPr>
      </w:pPr>
      <w:r>
        <w:rPr>
          <w:rFonts w:eastAsia="Times New Roman"/>
          <w:highlight w:val="yellow"/>
        </w:rPr>
        <w:t>ii.</w:t>
      </w:r>
      <w:r>
        <w:rPr>
          <w:rFonts w:eastAsia="Times New Roman"/>
          <w:highlight w:val="yellow"/>
        </w:rPr>
        <w:tab/>
        <w:t>Deduct the Withholding Taxes from the payment:</w:t>
      </w:r>
    </w:p>
    <w:p w:rsidRPr="003411C0" w:rsidR="003411C0" w:rsidP="003411C0" w:rsidRDefault="003411C0" w14:paraId="55F1FEFD" w14:textId="3B00F88D">
      <w:pPr>
        <w:autoSpaceDE w:val="0"/>
        <w:autoSpaceDN w:val="0"/>
        <w:adjustRightInd w:val="0"/>
        <w:spacing w:after="0"/>
        <w:ind w:left="1440" w:hanging="274"/>
        <w:outlineLvl w:val="5"/>
        <w:rPr>
          <w:rFonts w:eastAsia="Times New Roman"/>
          <w:highlight w:val="yellow"/>
        </w:rPr>
      </w:pPr>
      <w:r>
        <w:rPr>
          <w:rFonts w:eastAsia="Times New Roman"/>
          <w:highlight w:val="yellow"/>
        </w:rPr>
        <w:t>iii.</w:t>
      </w:r>
      <w:r>
        <w:rPr>
          <w:rFonts w:eastAsia="Times New Roman"/>
          <w:highlight w:val="yellow"/>
        </w:rPr>
        <w:tab/>
        <w:t>Pay the full amount deducted to the relevant authority on account of the Withholding Taxes within the time provided under, and otherwise in accordance with applicable law or any jurisdiction; and</w:t>
      </w:r>
    </w:p>
    <w:p w:rsidRPr="003411C0" w:rsidR="003411C0" w:rsidP="003411C0" w:rsidRDefault="003411C0" w14:paraId="3FD012E4" w14:textId="06384428">
      <w:pPr>
        <w:autoSpaceDE w:val="0"/>
        <w:autoSpaceDN w:val="0"/>
        <w:adjustRightInd w:val="0"/>
        <w:spacing w:after="0"/>
        <w:ind w:left="1440" w:hanging="274"/>
        <w:outlineLvl w:val="5"/>
        <w:rPr>
          <w:rFonts w:eastAsia="Times New Roman"/>
          <w:highlight w:val="yellow"/>
        </w:rPr>
      </w:pPr>
      <w:r>
        <w:rPr>
          <w:rFonts w:eastAsia="Times New Roman"/>
          <w:highlight w:val="yellow"/>
        </w:rPr>
        <w:t>iv.</w:t>
      </w:r>
      <w:r>
        <w:rPr>
          <w:rFonts w:eastAsia="Times New Roman"/>
          <w:highlight w:val="yellow"/>
        </w:rPr>
        <w:tab/>
        <w:t>Promptly after the date the Withholding Taxes are due under the applicable law of any jurisdiction, deliver to Beneficiary the forms prescribed by the relevant authority of the Withholding Taxes.</w:t>
      </w:r>
    </w:p>
    <w:p w:rsidRPr="003411C0" w:rsidR="003411C0" w:rsidP="003411C0" w:rsidRDefault="003411C0" w14:paraId="2C718CA5" w14:textId="6197DB79">
      <w:pPr>
        <w:autoSpaceDE w:val="0"/>
        <w:autoSpaceDN w:val="0"/>
        <w:adjustRightInd w:val="0"/>
        <w:spacing w:after="0"/>
        <w:ind w:left="1170" w:hanging="274"/>
        <w:outlineLvl w:val="5"/>
        <w:rPr>
          <w:rFonts w:eastAsia="Times New Roman"/>
          <w:highlight w:val="yellow"/>
        </w:rPr>
      </w:pPr>
      <w:r>
        <w:rPr>
          <w:rFonts w:eastAsia="Times New Roman"/>
          <w:highlight w:val="yellow"/>
        </w:rPr>
        <w:t>b.</w:t>
      </w:r>
      <w:r>
        <w:rPr>
          <w:rFonts w:eastAsia="Times New Roman"/>
          <w:highlight w:val="yellow"/>
        </w:rPr>
        <w:tab/>
        <w:t>Without duplication of Section 4.7.5.a above, Guarantor agrees to indemnify and hold harmless Beneficiary for any Withholding Taxes that may become payable by Beneficiary concerning any payment made by Guarantor under this Guaranty. Without limiting the generality of the preceding sentence, if:</w:t>
      </w:r>
    </w:p>
    <w:p w:rsidRPr="003411C0" w:rsidR="003411C0" w:rsidP="003411C0" w:rsidRDefault="003411C0" w14:paraId="1B2D6B4A" w14:textId="691AF375">
      <w:pPr>
        <w:autoSpaceDE w:val="0"/>
        <w:autoSpaceDN w:val="0"/>
        <w:adjustRightInd w:val="0"/>
        <w:spacing w:after="0"/>
        <w:ind w:left="1440" w:hanging="274"/>
        <w:outlineLvl w:val="5"/>
        <w:rPr>
          <w:rFonts w:eastAsia="Times New Roman"/>
          <w:highlight w:val="yellow"/>
        </w:rPr>
      </w:pPr>
      <w:r>
        <w:rPr>
          <w:rFonts w:eastAsia="Times New Roman"/>
          <w:highlight w:val="yellow"/>
        </w:rPr>
        <w:t>i.</w:t>
      </w:r>
      <w:r>
        <w:rPr>
          <w:rFonts w:eastAsia="Times New Roman"/>
          <w:highlight w:val="yellow"/>
        </w:rPr>
        <w:tab/>
        <w:t>Guarantor or Beneficiary is assessed or reassessed by any applicable taxing authority for any Withholding Taxes regarding any payment made by the Guarantor under this Guaranty, Guarantor must pay the Withholding Taxes together with interest or penalties on the Withholding Taxes to the taxing authority on behalf of Beneficiary and without recourse against Beneficiary within 30 Days of demand by Beneficiary; or</w:t>
      </w:r>
    </w:p>
    <w:p w:rsidRPr="003411C0" w:rsidR="003411C0" w:rsidP="003411C0" w:rsidRDefault="003411C0" w14:paraId="3879A517" w14:textId="43A007FF">
      <w:pPr>
        <w:autoSpaceDE w:val="0"/>
        <w:autoSpaceDN w:val="0"/>
        <w:adjustRightInd w:val="0"/>
        <w:spacing w:after="0"/>
        <w:ind w:left="1440" w:hanging="274"/>
        <w:outlineLvl w:val="5"/>
        <w:rPr>
          <w:rFonts w:eastAsia="Times New Roman"/>
          <w:highlight w:val="yellow"/>
        </w:rPr>
      </w:pPr>
      <w:r>
        <w:rPr>
          <w:rFonts w:eastAsia="Times New Roman"/>
          <w:highlight w:val="yellow"/>
        </w:rPr>
        <w:t>ii.</w:t>
      </w:r>
      <w:r>
        <w:rPr>
          <w:rFonts w:eastAsia="Times New Roman"/>
          <w:highlight w:val="yellow"/>
        </w:rPr>
        <w:tab/>
        <w:t>Beneficiary pays any Withholding Taxes regarding any payment made by Guarantor under this Guaranty, Guarantor agrees to indemnify Beneficiary upon receipt of the notice called or in Section 4.7.5.d. below.</w:t>
      </w:r>
    </w:p>
    <w:p w:rsidRPr="003411C0" w:rsidR="003411C0" w:rsidP="003411C0" w:rsidRDefault="003411C0" w14:paraId="2DBF2777" w14:textId="6D5FA404">
      <w:pPr>
        <w:autoSpaceDE w:val="0"/>
        <w:autoSpaceDN w:val="0"/>
        <w:adjustRightInd w:val="0"/>
        <w:spacing w:after="0"/>
        <w:ind w:left="1170" w:hanging="274"/>
        <w:outlineLvl w:val="5"/>
        <w:rPr>
          <w:rFonts w:eastAsia="Times New Roman"/>
          <w:highlight w:val="yellow"/>
        </w:rPr>
      </w:pPr>
      <w:r>
        <w:rPr>
          <w:rFonts w:eastAsia="Times New Roman"/>
          <w:highlight w:val="yellow"/>
        </w:rPr>
        <w:t>c.</w:t>
      </w:r>
      <w:r>
        <w:rPr>
          <w:rFonts w:eastAsia="Times New Roman"/>
          <w:highlight w:val="yellow"/>
        </w:rPr>
        <w:tab/>
        <w:t>Without duplication of Section 4.7.5.a. or b. above, Guarantor agrees to indemnify and hold harmless Beneficiary for any additional taxes on net income that Beneficiary may be obligated to pay because of the receipt by it or payment by Guarantor of any amount under this Section 4.7.5.</w:t>
      </w:r>
    </w:p>
    <w:p w:rsidRPr="003411C0" w:rsidR="003411C0" w:rsidP="003411C0" w:rsidRDefault="003411C0" w14:paraId="1959DE58" w14:textId="000C4C1A">
      <w:pPr>
        <w:autoSpaceDE w:val="0"/>
        <w:autoSpaceDN w:val="0"/>
        <w:adjustRightInd w:val="0"/>
        <w:spacing w:after="0"/>
        <w:ind w:left="1170" w:hanging="274"/>
        <w:outlineLvl w:val="5"/>
        <w:rPr>
          <w:rFonts w:eastAsia="Times New Roman"/>
          <w:highlight w:val="yellow"/>
        </w:rPr>
      </w:pPr>
      <w:r>
        <w:rPr>
          <w:rFonts w:eastAsia="Times New Roman"/>
          <w:highlight w:val="yellow"/>
        </w:rPr>
        <w:t>d.</w:t>
      </w:r>
      <w:r>
        <w:rPr>
          <w:rFonts w:eastAsia="Times New Roman"/>
          <w:highlight w:val="yellow"/>
        </w:rPr>
        <w:tab/>
        <w:t>Beneficiary will promptly notify Guarantor of any Withholding Taxes that Beneficiary has paid or received an assessment or reassessment from any applicable taxing authority and for which the Guarantor is required to indemnify it in accordance with this Section 4.7.5 and of the amount payable to it by Guarantor this Section 4.7.5, and Guarantor will indemnify Beneficiary within 60 Days of receipt of such notice. Beneficiary will reasonably determine the amount payable to it, will contest in good faith any taxes that Beneficiary believes in good faith are not assessable, and the determination will, absent manifest error, be final and binding on Guarantor.</w:t>
      </w:r>
    </w:p>
    <w:p w:rsidRPr="008805F7" w:rsidR="003411C0" w:rsidP="003411C0" w:rsidRDefault="003411C0" w14:paraId="27B38ED7" w14:textId="77777777">
      <w:pPr>
        <w:autoSpaceDE w:val="0"/>
        <w:autoSpaceDN w:val="0"/>
        <w:adjustRightInd w:val="0"/>
        <w:spacing w:after="0"/>
        <w:ind w:left="1170" w:hanging="274"/>
        <w:outlineLvl w:val="5"/>
        <w:rPr>
          <w:rFonts w:eastAsia="Times New Roman"/>
        </w:rPr>
      </w:pPr>
      <w:r>
        <w:rPr>
          <w:rFonts w:eastAsia="Times New Roman"/>
          <w:highlight w:val="yellow"/>
        </w:rPr>
        <w:t>e.</w:t>
      </w:r>
      <w:r>
        <w:rPr>
          <w:rFonts w:eastAsia="Times New Roman"/>
          <w:highlight w:val="yellow"/>
        </w:rPr>
        <w:tab/>
        <w:t>Guarantor’s obligations under this Section 4.7.5 will survive for one year following termination of this Guaranty and the payment of all amounts payable under other provisions of this Guaranty.</w:t>
      </w:r>
    </w:p>
    <w:p w:rsidR="003411C0" w:rsidP="003411C0" w:rsidRDefault="003411C0" w14:paraId="2E7BA2C7" w14:textId="77777777">
      <w:pPr>
        <w:tabs>
          <w:tab w:val="left" w:pos="2160"/>
        </w:tabs>
        <w:autoSpaceDE w:val="0"/>
        <w:autoSpaceDN w:val="0"/>
        <w:adjustRightInd w:val="0"/>
        <w:spacing w:after="0"/>
        <w:ind w:left="274"/>
        <w:outlineLvl w:val="5"/>
        <w:rPr>
          <w:rFonts w:eastAsia="Times New Roman"/>
        </w:rPr>
      </w:pPr>
      <w:r>
        <w:rPr>
          <w:rFonts w:eastAsia="Times New Roman"/>
          <w:b/>
          <w:bCs/>
        </w:rPr>
        <w:lastRenderedPageBreak/>
        <w:t xml:space="preserve">4.7.6. </w:t>
      </w:r>
      <w:r>
        <w:rPr>
          <w:rFonts w:eastAsia="Times New Roman"/>
          <w:b/>
          <w:bCs/>
          <w:highlight w:val="yellow"/>
        </w:rPr>
        <w:t>[Applicable Only to Foreign Guarantor: Waiver of Objection to Venue.</w:t>
      </w:r>
      <w:r>
        <w:rPr>
          <w:rFonts w:eastAsia="Times New Roman"/>
          <w:highlight w:val="yellow"/>
        </w:rPr>
        <w:t xml:space="preserve"> </w:t>
      </w:r>
      <w:r>
        <w:rPr>
          <w:rFonts w:eastAsia="Times New Roman"/>
          <w:b/>
          <w:bCs/>
          <w:highlight w:val="yellow"/>
        </w:rPr>
        <w:t>GUARANTOR HEREBY IRREVOCABLY WAIVES, TO THE FULLEST EXTENT PERMITTED BY APPLICABLE LAW, ANY OBJECTION WHICH IT MAY NOW OR HEREAFTER HAVE TO THE LAYING OF VENUE OF ANY SUIT, ACTION OR PROCEEDING BETWEEN THEM ARISING OUT OF OR RELATING TO THIS GUARANTY BROUGHT IN ANY COURT IN OR OF THE STATE OF GEORGIA, AND HEREBY FURTHER IRREVOCABLY WAIVES ANY CLAIM THAT ANY SUCH SUIT, ACTION OR PROCEEDING BROUGHT IN ANY COURT IN OR OF THE STATE OF GEORGIA HAS BEEN BROUGHT IN AN INCONVENIENT FORUM.</w:t>
      </w:r>
      <w:r>
        <w:rPr>
          <w:rFonts w:eastAsia="Times New Roman"/>
          <w:highlight w:val="yellow"/>
        </w:rPr>
        <w:t>]</w:t>
      </w:r>
      <w:r>
        <w:rPr>
          <w:rFonts w:eastAsia="Times New Roman"/>
        </w:rPr>
        <w:t xml:space="preserve"> </w:t>
      </w:r>
    </w:p>
    <w:p w:rsidR="003411C0" w:rsidP="003411C0" w:rsidRDefault="003411C0" w14:paraId="58206982" w14:textId="77777777">
      <w:pPr>
        <w:tabs>
          <w:tab w:val="left" w:pos="2160"/>
        </w:tabs>
        <w:autoSpaceDE w:val="0"/>
        <w:autoSpaceDN w:val="0"/>
        <w:adjustRightInd w:val="0"/>
        <w:spacing w:before="0" w:after="0"/>
        <w:ind w:left="274"/>
        <w:outlineLvl w:val="5"/>
        <w:rPr>
          <w:rFonts w:eastAsia="Times New Roman"/>
        </w:rPr>
      </w:pPr>
    </w:p>
    <w:p w:rsidRPr="00E14CB1" w:rsidR="003411C0" w:rsidP="003411C0" w:rsidRDefault="003411C0" w14:paraId="6E7C896C" w14:textId="249662C1">
      <w:pPr>
        <w:tabs>
          <w:tab w:val="left" w:pos="2160"/>
        </w:tabs>
        <w:autoSpaceDE w:val="0"/>
        <w:autoSpaceDN w:val="0"/>
        <w:adjustRightInd w:val="0"/>
        <w:spacing w:before="0" w:after="0"/>
        <w:ind w:left="274"/>
        <w:outlineLvl w:val="5"/>
        <w:rPr>
          <w:rFonts w:eastAsia="Times New Roman"/>
        </w:rPr>
      </w:pPr>
      <w:r>
        <w:rPr>
          <w:rFonts w:eastAsia="Times New Roman"/>
          <w:b/>
          <w:bCs/>
        </w:rPr>
        <w:t xml:space="preserve">4.7.7. </w:t>
      </w:r>
      <w:r>
        <w:rPr>
          <w:rFonts w:eastAsia="Times New Roman"/>
          <w:b/>
          <w:bCs/>
          <w:highlight w:val="yellow"/>
        </w:rPr>
        <w:t>[Applicable Only to Foreign Guarantor: Waiver of Immunity.</w:t>
      </w:r>
      <w:r>
        <w:rPr>
          <w:rFonts w:eastAsia="Times New Roman"/>
          <w:highlight w:val="yellow"/>
        </w:rPr>
        <w:t xml:space="preserve"> </w:t>
      </w:r>
      <w:r>
        <w:rPr>
          <w:rFonts w:eastAsia="Times New Roman"/>
          <w:b/>
          <w:bCs/>
          <w:highlight w:val="yellow"/>
        </w:rPr>
        <w:t>TO THE EXTENT THAT THE GUARANTOR HAS OR HEREAFTER MAY ACQUIRE ANY IMMUNITY FROM JURISDICTION OF ANY COURT IN THE STATE OF GEORGIA OR FROM ANY LEGAL PROCESS THEREIN, GUARANTOR HEREBY WAIVES, TO THE FULLEST EXTENT PERMITTED BY LAW, SUCH IMMUNITY, AND AGREES NOT TO ASSERT, BY WAY OF MOTION, AS A DEFENSE, OR OTHERWISE, IN ANY SUCH SUIT, ACTION OR PROCEEDING, THE DEFENSE OF SOVEREIGN IMMUNITY, OR ANY CLAIM: (1) THAT IS NOT PERSONALLY SUBJECT TO THE JURISDICTION OF THE COURTS IN THE STATE OF GEORGIA BY REASON OF SOVEREIGN IMMUNITY OR OTHERWISE; (2) THAT IT IS IMMUNE FROM ANY LEGAL PROCESS (WHETHER THROUGH SERVICE OR NOTICE, ATTACHMENT PRIOR TO THE JUDGMENT, ATTACHMENTS IN AID OF EXECUTION, EXECUTION OR OTHERWISE) REGARDING ITSELF OR ITS PROPERTY, BY REASON OF SOVEREIGN IMMUNITY; (3) THAT ANY ACTION IS BROUGHT IN AN INCONVENIENT FORUM; (4) THAT THE VENUE OF ANY ACTION IS IMPROPER; OR (5) THAT THIS GUARANTY MAY NOT BE ENFORCED IN OR BY A FEDERAL COURT IN THE STATE OF GEORGIA. THE GUARANTOR EXPRESSLY ACKNOWLEDGES THAT THE FOREGOING WAIVERS AND SUBMISSIONS TO JURISDICTION ARE INTENDED TO BE IRREVOCABLE UNDER THE LAWS OF THE STATE OF GEORGIA AND OF THE UNITED STATES OF AMERICA AND OF THE LAWS APPLICABLE TO THE GUARANTOR, INCLUDING THE LAWS OF THE JURISDICTION IN WHICH THE GUARANTOR IS ORGANIZED.]</w:t>
      </w:r>
    </w:p>
    <w:p w:rsidRPr="00E14CB1" w:rsidR="003411C0" w:rsidP="003411C0" w:rsidRDefault="003411C0" w14:paraId="0A23E08C" w14:textId="3AB0F556">
      <w:pPr>
        <w:tabs>
          <w:tab w:val="left" w:pos="2160"/>
        </w:tabs>
        <w:autoSpaceDE w:val="0"/>
        <w:autoSpaceDN w:val="0"/>
        <w:adjustRightInd w:val="0"/>
        <w:ind w:left="270"/>
        <w:outlineLvl w:val="5"/>
        <w:rPr>
          <w:rFonts w:eastAsia="Times New Roman"/>
        </w:rPr>
      </w:pPr>
      <w:r>
        <w:rPr>
          <w:rFonts w:eastAsia="Times New Roman"/>
          <w:b/>
        </w:rPr>
        <w:t xml:space="preserve">4.7.8. Waiver of Right to Jury Trial. </w:t>
      </w:r>
      <w:r>
        <w:rPr>
          <w:b/>
          <w:bCs/>
        </w:rPr>
        <w:t>GUARANTOR UNCONDITIONALLY AND IRREVOCABLY WAIVES ALL RIGHT TO TRIAL BY JURY IN ANY ACTION, PROCEEDING, OR COUNTERCLAIM (WHETHER BASED ON CONTRACT, TORT, OR OTHERWISE) ARISING OUT OF OR RELATING TO, THIS GUARANTY, OR THE ACTIONS OF BENEFICIARY IN THE NEGOTIATION, ADMINISTRATION, PERFORMANCE OR ENFORCEMENT OF THIS GUARANTY.</w:t>
      </w:r>
    </w:p>
    <w:p w:rsidRPr="00E14CB1" w:rsidR="00480218" w:rsidP="00480218" w:rsidRDefault="00480218" w14:paraId="164C7ADF" w14:textId="77777777">
      <w:pPr>
        <w:tabs>
          <w:tab w:val="left" w:pos="540"/>
        </w:tabs>
        <w:autoSpaceDE w:val="0"/>
        <w:autoSpaceDN w:val="0"/>
        <w:adjustRightInd w:val="0"/>
        <w:outlineLvl w:val="1"/>
        <w:rPr>
          <w:rFonts w:eastAsia="Times New Roman"/>
        </w:rPr>
      </w:pPr>
      <w:bookmarkStart w:name="_DV_M883" w:id="516"/>
      <w:bookmarkEnd w:id="516"/>
      <w:r>
        <w:rPr>
          <w:rFonts w:eastAsia="Times New Roman"/>
          <w:b/>
        </w:rPr>
        <w:t>4.8</w:t>
      </w:r>
      <w:r>
        <w:rPr>
          <w:rFonts w:eastAsia="Times New Roman"/>
          <w:i/>
        </w:rPr>
        <w:tab/>
      </w:r>
      <w:r>
        <w:rPr>
          <w:rFonts w:eastAsia="Times New Roman"/>
          <w:b/>
        </w:rPr>
        <w:t>Severability.</w:t>
      </w:r>
      <w:r>
        <w:rPr>
          <w:rFonts w:eastAsia="Times New Roman"/>
        </w:rPr>
        <w:t xml:space="preserve"> Any provision of this Guaranty that is prohibited or unenforceable will be ineffective to the extent of the prohibition or unenforceability without invalidating the remaining provisions of this Guaranty.</w:t>
      </w:r>
    </w:p>
    <w:p w:rsidRPr="00E14CB1" w:rsidR="00480218" w:rsidP="00480218" w:rsidRDefault="00480218" w14:paraId="0F126819" w14:textId="77777777">
      <w:pPr>
        <w:widowControl w:val="0"/>
        <w:tabs>
          <w:tab w:val="left" w:pos="540"/>
          <w:tab w:val="left" w:pos="2188"/>
        </w:tabs>
        <w:autoSpaceDE w:val="0"/>
        <w:autoSpaceDN w:val="0"/>
        <w:adjustRightInd w:val="0"/>
        <w:outlineLvl w:val="1"/>
        <w:rPr>
          <w:rFonts w:eastAsia="Calibri"/>
        </w:rPr>
      </w:pPr>
      <w:bookmarkStart w:name="_DV_M885" w:id="517"/>
      <w:bookmarkEnd w:id="517"/>
      <w:r>
        <w:rPr>
          <w:rFonts w:eastAsia="Calibri"/>
          <w:b/>
        </w:rPr>
        <w:t>4.9</w:t>
      </w:r>
      <w:r>
        <w:rPr>
          <w:rFonts w:eastAsia="Calibri"/>
        </w:rPr>
        <w:tab/>
      </w:r>
      <w:r>
        <w:rPr>
          <w:rFonts w:eastAsia="Calibri"/>
          <w:b/>
        </w:rPr>
        <w:t>Execution and Attestation.</w:t>
      </w:r>
      <w:r>
        <w:rPr>
          <w:rFonts w:eastAsia="Calibri"/>
        </w:rPr>
        <w:t xml:space="preserve"> </w:t>
      </w:r>
    </w:p>
    <w:p w:rsidRPr="00E14CB1" w:rsidR="00480218" w:rsidP="00480218" w:rsidRDefault="00480218" w14:paraId="50304B91" w14:textId="2D8C38B4">
      <w:pPr>
        <w:widowControl w:val="0"/>
        <w:autoSpaceDE w:val="0"/>
        <w:autoSpaceDN w:val="0"/>
        <w:adjustRightInd w:val="0"/>
        <w:ind w:left="270"/>
        <w:outlineLvl w:val="1"/>
        <w:rPr>
          <w:rFonts w:eastAsia="Calibri"/>
        </w:rPr>
      </w:pPr>
      <w:r>
        <w:rPr>
          <w:rFonts w:eastAsia="Calibri"/>
          <w:b/>
        </w:rPr>
        <w:t xml:space="preserve">4.9.1. Electronic Signature. </w:t>
      </w:r>
      <w:r>
        <w:rPr>
          <w:rFonts w:eastAsia="Calibri"/>
        </w:rPr>
        <w:t>This Guaranty may be executed by handwritten signature or Electronic Signature. An “</w:t>
      </w:r>
      <w:r>
        <w:rPr>
          <w:rFonts w:eastAsia="Calibri"/>
          <w:b/>
        </w:rPr>
        <w:t>Electronic Signature</w:t>
      </w:r>
      <w:r>
        <w:rPr>
          <w:rFonts w:eastAsia="Calibri"/>
        </w:rPr>
        <w:t>” means any electronic sound, symbol, or process attached to or logically associated with a record and executed and adopted by a Person with the intent to sign the record, including facsimile or e-mail </w:t>
      </w:r>
      <w:r>
        <w:rPr>
          <w:rFonts w:eastAsia="Calibri"/>
          <w:bCs/>
        </w:rPr>
        <w:t>electronic signatures</w:t>
      </w:r>
      <w:r>
        <w:rPr>
          <w:rFonts w:eastAsia="Calibri"/>
        </w:rPr>
        <w:t>. Guarantor acknowledges that electronic records and</w:t>
      </w:r>
      <w:r>
        <w:rPr>
          <w:rFonts w:eastAsia="Calibri"/>
          <w:b/>
        </w:rPr>
        <w:t> </w:t>
      </w:r>
      <w:r>
        <w:rPr>
          <w:rFonts w:eastAsia="Calibri"/>
          <w:bCs/>
        </w:rPr>
        <w:t>Electronic Signatures</w:t>
      </w:r>
      <w:r>
        <w:rPr>
          <w:rFonts w:eastAsia="Calibri"/>
        </w:rPr>
        <w:t xml:space="preserve"> may be used in connection with the execution of this Guaranty and </w:t>
      </w:r>
      <w:r>
        <w:rPr>
          <w:rFonts w:eastAsia="Calibri"/>
          <w:bCs/>
        </w:rPr>
        <w:t>Electronic Signatures</w:t>
      </w:r>
      <w:r>
        <w:rPr>
          <w:rFonts w:eastAsia="Calibri"/>
        </w:rPr>
        <w:t xml:space="preserve"> transmitted by electronic mail in so-called “.pdf” format will be legal and binding and will have the same full force and effect as if a paper original of this Guaranty had been delivered and signed using a handwritten signature. Guarantor: (i) agrees that an Electronic Signature, whether digital or encrypted, is intended to authenticate this Guaranty and to have the same effect as a handwritten signature; (ii) intends to be bound by the signature (whether original, faxed, or electronic) on any document sent or delivered by facsimile, electronic mail, or other electronic means; (iii) is aware that Beneficiary will rely on the signatures; and (iv) waives any defenses to the enforcement of the terms of this Guaranty based on the forms of signature described in this Section 4.9 (</w:t>
      </w:r>
      <w:r>
        <w:rPr>
          <w:rFonts w:eastAsia="Calibri"/>
          <w:i/>
          <w:iCs/>
        </w:rPr>
        <w:t>Execution and Attestation</w:t>
      </w:r>
      <w:r>
        <w:rPr>
          <w:rFonts w:eastAsia="Calibri"/>
        </w:rPr>
        <w:t>). If Guarantor executes this Guaranty by Electronic Signature, Guarantor expressly consents under the </w:t>
      </w:r>
      <w:r>
        <w:rPr>
          <w:rFonts w:eastAsia="Calibri"/>
          <w:bCs/>
        </w:rPr>
        <w:t>Electronic Signatures</w:t>
      </w:r>
      <w:r>
        <w:rPr>
          <w:rFonts w:eastAsia="Calibri"/>
        </w:rPr>
        <w:t> in Global and National Commerce Act (“</w:t>
      </w:r>
      <w:r>
        <w:rPr>
          <w:rFonts w:eastAsia="Calibri"/>
          <w:b/>
        </w:rPr>
        <w:t>E-SIGN</w:t>
      </w:r>
      <w:r>
        <w:rPr>
          <w:rFonts w:eastAsia="Calibri"/>
        </w:rPr>
        <w:t>”), and Uniform Electronic Transactions Act as enacted in the State of Georgia (“</w:t>
      </w:r>
      <w:r>
        <w:rPr>
          <w:rFonts w:eastAsia="Calibri"/>
          <w:b/>
        </w:rPr>
        <w:t>UETA</w:t>
      </w:r>
      <w:r>
        <w:rPr>
          <w:rFonts w:eastAsia="Calibri"/>
        </w:rPr>
        <w:t xml:space="preserve">”), that a signature by fax, email, </w:t>
      </w:r>
      <w:r>
        <w:rPr>
          <w:rFonts w:eastAsia="Calibri"/>
        </w:rPr>
        <w:lastRenderedPageBreak/>
        <w:t>or other electronic means will constitute an Electronic Signature to an Electronic Record under both E-SIGN and UETA regarding this transaction.</w:t>
      </w:r>
    </w:p>
    <w:p w:rsidRPr="00E14CB1" w:rsidR="00480218" w:rsidP="00480218" w:rsidRDefault="00480218" w14:paraId="67CFD443" w14:textId="77777777">
      <w:pPr>
        <w:widowControl w:val="0"/>
        <w:tabs>
          <w:tab w:val="left" w:pos="1440"/>
          <w:tab w:val="left" w:pos="2188"/>
        </w:tabs>
        <w:autoSpaceDE w:val="0"/>
        <w:autoSpaceDN w:val="0"/>
        <w:adjustRightInd w:val="0"/>
        <w:ind w:left="270"/>
        <w:outlineLvl w:val="1"/>
        <w:rPr>
          <w:rFonts w:eastAsia="Calibri"/>
        </w:rPr>
      </w:pPr>
      <w:r>
        <w:rPr>
          <w:rFonts w:eastAsia="Calibri"/>
          <w:b/>
        </w:rPr>
        <w:t xml:space="preserve">4.9.2. Digital or Electronic Signature. </w:t>
      </w:r>
      <w:r>
        <w:rPr>
          <w:rFonts w:eastAsia="Calibri"/>
        </w:rPr>
        <w:t>In addition to his Guaranty, any other documents to be delivered in connection with this Guaranty may be executed by handwritten signature or Electronic Signature. Guarantor acknowledges that any digital or </w:t>
      </w:r>
      <w:r>
        <w:rPr>
          <w:rFonts w:eastAsia="Calibri"/>
          <w:bCs/>
        </w:rPr>
        <w:t>Electronic Signature</w:t>
      </w:r>
      <w:r>
        <w:rPr>
          <w:rFonts w:eastAsia="Calibri"/>
        </w:rPr>
        <w:t> (including pdf, facsimile, or electronically imaged signatures provided by DocuSign or any other digital signature provider) appearing on this Guaranty or other documents to be delivered in connection with this Guaranty are the same as handwritten signatures for the purposes of validity, enforceability, or admissibility, and that delivery to Beneficiary of an Electronic Signature, or a signed copy of, this Guaranty and related documents may be made by facsimile, email, or other electronic transmission.</w:t>
      </w:r>
    </w:p>
    <w:p w:rsidRPr="00E14CB1" w:rsidR="00480218" w:rsidP="00480218" w:rsidRDefault="00480218" w14:paraId="2B0EFF55" w14:textId="77777777">
      <w:pPr>
        <w:keepNext/>
        <w:keepLines/>
        <w:rPr>
          <w:rFonts w:eastAsia="Calibri"/>
        </w:rPr>
      </w:pPr>
      <w:r>
        <w:rPr>
          <w:rFonts w:eastAsia="Times New Roman"/>
        </w:rPr>
        <w:t xml:space="preserve">Guarantor has caused this Guaranty to be executed and delivered under seal by its authorized representative as of Effective Date. </w:t>
      </w:r>
    </w:p>
    <w:p w:rsidR="00480218" w:rsidP="00480218" w:rsidRDefault="00480218" w14:paraId="7966366B" w14:textId="77777777">
      <w:pPr>
        <w:keepNext/>
        <w:keepLines/>
        <w:tabs>
          <w:tab w:val="left" w:pos="720"/>
        </w:tabs>
        <w:jc w:val="left"/>
        <w:rPr>
          <w:rFonts w:eastAsia="Calibri"/>
        </w:rPr>
      </w:pPr>
    </w:p>
    <w:tbl>
      <w:tblPr>
        <w:tblW w:w="5130" w:type="dxa"/>
        <w:tblLayout w:type="fixed"/>
        <w:tblCellMar>
          <w:left w:w="29" w:type="dxa"/>
          <w:right w:w="29" w:type="dxa"/>
        </w:tblCellMar>
        <w:tblLook w:val="01E0" w:firstRow="1" w:lastRow="1" w:firstColumn="1" w:lastColumn="1" w:noHBand="0" w:noVBand="0"/>
      </w:tblPr>
      <w:tblGrid>
        <w:gridCol w:w="1008"/>
        <w:gridCol w:w="4122"/>
      </w:tblGrid>
      <w:tr w:rsidRPr="00A61905" w:rsidR="00480218" w14:paraId="53E2834D" w14:textId="77777777">
        <w:trPr>
          <w:cantSplit/>
          <w:trHeight w:val="432"/>
        </w:trPr>
        <w:tc>
          <w:tcPr>
            <w:tcW w:w="5130" w:type="dxa"/>
            <w:gridSpan w:val="2"/>
          </w:tcPr>
          <w:p w:rsidRPr="00A61905" w:rsidR="00480218" w:rsidRDefault="00480218" w14:paraId="61429F34" w14:textId="77777777">
            <w:pPr>
              <w:keepNext/>
              <w:keepLines/>
              <w:widowControl w:val="0"/>
              <w:autoSpaceDE w:val="0"/>
              <w:autoSpaceDN w:val="0"/>
              <w:adjustRightInd w:val="0"/>
              <w:rPr>
                <w:rFonts w:eastAsia="Yu Mincho"/>
                <w:b/>
                <w:spacing w:val="-6"/>
              </w:rPr>
            </w:pPr>
            <w:r>
              <w:rPr>
                <w:rFonts w:eastAsia="Yu Mincho"/>
                <w:b/>
                <w:spacing w:val="-6"/>
                <w:highlight w:val="yellow"/>
              </w:rPr>
              <w:t>#GuarantorLegalName#</w:t>
            </w:r>
          </w:p>
        </w:tc>
      </w:tr>
      <w:tr w:rsidRPr="00A61905" w:rsidR="00480218" w14:paraId="5B77A4DF" w14:textId="77777777">
        <w:trPr>
          <w:cantSplit/>
          <w:trHeight w:val="504"/>
        </w:trPr>
        <w:tc>
          <w:tcPr>
            <w:tcW w:w="1008" w:type="dxa"/>
            <w:vAlign w:val="bottom"/>
          </w:tcPr>
          <w:p w:rsidRPr="00635990" w:rsidR="00480218" w:rsidRDefault="00480218" w14:paraId="33D41304" w14:textId="77777777">
            <w:pPr>
              <w:autoSpaceDE w:val="0"/>
              <w:autoSpaceDN w:val="0"/>
              <w:adjustRightInd w:val="0"/>
              <w:rPr>
                <w:rFonts w:eastAsia="Yu Mincho"/>
                <w:sz w:val="18"/>
                <w:szCs w:val="18"/>
              </w:rPr>
            </w:pPr>
            <w:r>
              <w:rPr>
                <w:rFonts w:eastAsia="Yu Mincho"/>
                <w:sz w:val="18"/>
                <w:szCs w:val="18"/>
              </w:rPr>
              <w:t>By:</w:t>
            </w:r>
          </w:p>
        </w:tc>
        <w:tc>
          <w:tcPr>
            <w:tcW w:w="4093" w:type="dxa"/>
            <w:tcBorders>
              <w:bottom w:val="single" w:color="auto" w:sz="4" w:space="0"/>
            </w:tcBorders>
            <w:vAlign w:val="bottom"/>
          </w:tcPr>
          <w:p w:rsidRPr="00A61905" w:rsidR="00480218" w:rsidRDefault="00480218" w14:paraId="69EA4576" w14:textId="77777777">
            <w:pPr>
              <w:keepLines/>
              <w:jc w:val="left"/>
              <w:rPr>
                <w:rFonts w:eastAsia="Calibri"/>
              </w:rPr>
            </w:pPr>
          </w:p>
        </w:tc>
      </w:tr>
      <w:tr w:rsidRPr="00A61905" w:rsidR="00480218" w14:paraId="508DF872" w14:textId="77777777">
        <w:trPr>
          <w:cantSplit/>
          <w:trHeight w:val="504"/>
        </w:trPr>
        <w:tc>
          <w:tcPr>
            <w:tcW w:w="1008" w:type="dxa"/>
            <w:vAlign w:val="bottom"/>
          </w:tcPr>
          <w:p w:rsidRPr="00635990" w:rsidR="00480218" w:rsidRDefault="00480218" w14:paraId="17FCD329" w14:textId="77777777">
            <w:pPr>
              <w:autoSpaceDE w:val="0"/>
              <w:autoSpaceDN w:val="0"/>
              <w:adjustRightInd w:val="0"/>
              <w:rPr>
                <w:rFonts w:eastAsia="Yu Mincho"/>
                <w:sz w:val="18"/>
                <w:szCs w:val="18"/>
              </w:rPr>
            </w:pPr>
            <w:r>
              <w:rPr>
                <w:rFonts w:eastAsia="Yu Mincho"/>
                <w:sz w:val="18"/>
                <w:szCs w:val="18"/>
              </w:rPr>
              <w:t>Name</w:t>
            </w:r>
          </w:p>
          <w:p w:rsidRPr="00635990" w:rsidR="00480218" w:rsidRDefault="00480218" w14:paraId="593D7EB2" w14:textId="77777777">
            <w:pPr>
              <w:autoSpaceDE w:val="0"/>
              <w:autoSpaceDN w:val="0"/>
              <w:adjustRightInd w:val="0"/>
              <w:rPr>
                <w:rFonts w:eastAsia="Yu Mincho"/>
                <w:sz w:val="18"/>
                <w:szCs w:val="18"/>
              </w:rPr>
            </w:pPr>
            <w:r>
              <w:rPr>
                <w:rFonts w:eastAsia="Yu Mincho"/>
                <w:sz w:val="18"/>
                <w:szCs w:val="18"/>
              </w:rPr>
              <w:t>Printed:</w:t>
            </w:r>
          </w:p>
        </w:tc>
        <w:tc>
          <w:tcPr>
            <w:tcW w:w="4093" w:type="dxa"/>
            <w:tcBorders>
              <w:top w:val="single" w:color="auto" w:sz="4" w:space="0"/>
              <w:bottom w:val="single" w:color="auto" w:sz="4" w:space="0"/>
            </w:tcBorders>
            <w:vAlign w:val="bottom"/>
          </w:tcPr>
          <w:p w:rsidRPr="00A61905" w:rsidR="00480218" w:rsidRDefault="00480218" w14:paraId="27325259" w14:textId="77777777">
            <w:pPr>
              <w:keepLines/>
              <w:jc w:val="left"/>
              <w:rPr>
                <w:rFonts w:eastAsia="Calibri"/>
              </w:rPr>
            </w:pPr>
          </w:p>
        </w:tc>
      </w:tr>
      <w:tr w:rsidRPr="00A61905" w:rsidR="00480218" w14:paraId="4ACE49F2" w14:textId="77777777">
        <w:trPr>
          <w:cantSplit/>
          <w:trHeight w:val="504"/>
        </w:trPr>
        <w:tc>
          <w:tcPr>
            <w:tcW w:w="1008" w:type="dxa"/>
            <w:vAlign w:val="bottom"/>
          </w:tcPr>
          <w:p w:rsidRPr="00635990" w:rsidR="00480218" w:rsidRDefault="00480218" w14:paraId="71811EA1" w14:textId="77777777">
            <w:pPr>
              <w:autoSpaceDE w:val="0"/>
              <w:autoSpaceDN w:val="0"/>
              <w:adjustRightInd w:val="0"/>
              <w:rPr>
                <w:rFonts w:eastAsia="Yu Mincho"/>
                <w:sz w:val="18"/>
                <w:szCs w:val="18"/>
              </w:rPr>
            </w:pPr>
            <w:r>
              <w:rPr>
                <w:rFonts w:eastAsia="Yu Mincho"/>
                <w:sz w:val="18"/>
                <w:szCs w:val="18"/>
              </w:rPr>
              <w:t>Title:</w:t>
            </w:r>
          </w:p>
        </w:tc>
        <w:tc>
          <w:tcPr>
            <w:tcW w:w="4093" w:type="dxa"/>
            <w:tcBorders>
              <w:top w:val="single" w:color="auto" w:sz="4" w:space="0"/>
              <w:bottom w:val="single" w:color="auto" w:sz="4" w:space="0"/>
            </w:tcBorders>
            <w:vAlign w:val="bottom"/>
          </w:tcPr>
          <w:p w:rsidRPr="00A61905" w:rsidR="00480218" w:rsidRDefault="00480218" w14:paraId="0180F1F1" w14:textId="77777777">
            <w:pPr>
              <w:keepLines/>
              <w:jc w:val="left"/>
              <w:rPr>
                <w:rFonts w:eastAsia="Calibri"/>
              </w:rPr>
            </w:pPr>
          </w:p>
        </w:tc>
      </w:tr>
      <w:tr w:rsidRPr="00A61905" w:rsidR="00480218" w14:paraId="67435F9B" w14:textId="77777777">
        <w:trPr>
          <w:cantSplit/>
          <w:trHeight w:val="504"/>
        </w:trPr>
        <w:tc>
          <w:tcPr>
            <w:tcW w:w="1008" w:type="dxa"/>
            <w:vAlign w:val="bottom"/>
          </w:tcPr>
          <w:p w:rsidRPr="00635990" w:rsidR="00480218" w:rsidRDefault="00480218" w14:paraId="66F7A6E0" w14:textId="77777777">
            <w:pPr>
              <w:autoSpaceDE w:val="0"/>
              <w:autoSpaceDN w:val="0"/>
              <w:adjustRightInd w:val="0"/>
              <w:rPr>
                <w:rFonts w:eastAsia="Yu Mincho"/>
                <w:sz w:val="18"/>
                <w:szCs w:val="18"/>
              </w:rPr>
            </w:pPr>
            <w:r>
              <w:rPr>
                <w:rFonts w:eastAsia="Yu Mincho"/>
                <w:sz w:val="18"/>
                <w:szCs w:val="18"/>
              </w:rPr>
              <w:t>Date:</w:t>
            </w:r>
          </w:p>
        </w:tc>
        <w:tc>
          <w:tcPr>
            <w:tcW w:w="4093" w:type="dxa"/>
            <w:tcBorders>
              <w:top w:val="single" w:color="auto" w:sz="4" w:space="0"/>
              <w:bottom w:val="single" w:color="auto" w:sz="4" w:space="0"/>
            </w:tcBorders>
            <w:vAlign w:val="bottom"/>
          </w:tcPr>
          <w:p w:rsidRPr="00A61905" w:rsidR="00480218" w:rsidRDefault="00480218" w14:paraId="45C9BC23" w14:textId="77777777">
            <w:pPr>
              <w:keepLines/>
              <w:jc w:val="left"/>
              <w:rPr>
                <w:rFonts w:eastAsia="Calibri"/>
              </w:rPr>
            </w:pPr>
          </w:p>
        </w:tc>
      </w:tr>
    </w:tbl>
    <w:p w:rsidR="00480218" w:rsidP="00480218" w:rsidRDefault="00480218" w14:paraId="1EB7B5CC" w14:textId="77777777">
      <w:pPr>
        <w:keepNext/>
        <w:keepLines/>
        <w:tabs>
          <w:tab w:val="left" w:pos="720"/>
        </w:tabs>
        <w:jc w:val="left"/>
        <w:rPr>
          <w:rFonts w:eastAsia="Calibri"/>
        </w:rPr>
      </w:pPr>
    </w:p>
    <w:p w:rsidRPr="000C60E1" w:rsidR="00480218" w:rsidP="000C60E1" w:rsidRDefault="00480218" w14:paraId="74444B03" w14:textId="6BF7B181">
      <w:pPr>
        <w:pStyle w:val="zGNormal"/>
        <w:sectPr w:rsidRPr="000C60E1" w:rsidR="00480218" w:rsidSect="005B310E">
          <w:headerReference w:type="default" r:id="rId44"/>
          <w:footerReference w:type="default" r:id="rId45"/>
          <w:pgSz w:w="12240" w:h="15840" w:code="1"/>
          <w:pgMar w:top="1440" w:right="1440" w:bottom="1440" w:left="1440" w:header="720" w:footer="720" w:gutter="0"/>
          <w:paperSrc w:first="15" w:other="15"/>
          <w:cols w:space="1440"/>
        </w:sectPr>
      </w:pPr>
    </w:p>
    <w:p w:rsidRPr="00F10071" w:rsidR="00506657" w:rsidP="00AC2237" w:rsidRDefault="00916737" w14:paraId="28FCF5B0" w14:textId="646A14F6">
      <w:pPr>
        <w:pStyle w:val="zGTitleExhibit"/>
        <w:rPr>
          <w:rFonts w:cs="Arial"/>
        </w:rPr>
      </w:pPr>
      <w:bookmarkStart w:name="_Toc212473099" w:id="518"/>
      <w:bookmarkStart w:name="_Toc227840795" w:id="519"/>
      <w:r>
        <w:rPr>
          <w:rFonts w:cs="Arial"/>
        </w:rPr>
        <w:lastRenderedPageBreak/>
        <w:t xml:space="preserve">Exhibit </w:t>
      </w:r>
      <w:bookmarkStart w:name="_Hlk39149545" w:id="520"/>
      <w:r>
        <w:rPr>
          <w:rFonts w:cs="Arial"/>
        </w:rPr>
        <w:t>H – Form of StandBy Letter of Credit</w:t>
      </w:r>
      <w:bookmarkEnd w:id="518"/>
      <w:bookmarkEnd w:id="519"/>
    </w:p>
    <w:bookmarkEnd w:id="520"/>
    <w:p w:rsidRPr="006C43AC" w:rsidR="00A202B9" w:rsidP="00A202B9" w:rsidRDefault="00A202B9" w14:paraId="3F1F9B50" w14:textId="77777777">
      <w:pPr>
        <w:jc w:val="center"/>
        <w:rPr>
          <w:rFonts w:eastAsia="Times New Roman"/>
        </w:rPr>
      </w:pPr>
      <w:r>
        <w:rPr>
          <w:rFonts w:eastAsia="Times New Roman"/>
        </w:rPr>
        <w:t>[</w:t>
      </w:r>
      <w:r>
        <w:rPr>
          <w:rFonts w:eastAsia="Times New Roman"/>
          <w:highlight w:val="yellow"/>
        </w:rPr>
        <w:t>Bank Letterhead</w:t>
      </w:r>
      <w:r>
        <w:rPr>
          <w:rFonts w:eastAsia="Times New Roman"/>
        </w:rPr>
        <w:t>]</w:t>
      </w:r>
    </w:p>
    <w:p w:rsidRPr="006C43AC" w:rsidR="00A202B9" w:rsidP="00A202B9" w:rsidRDefault="00A202B9" w14:paraId="3A96109F" w14:textId="77777777">
      <w:pPr>
        <w:rPr>
          <w:rFonts w:eastAsia="Times New Roman"/>
        </w:rPr>
      </w:pPr>
    </w:p>
    <w:p w:rsidRPr="006C43AC" w:rsidR="00A202B9" w:rsidP="00A202B9" w:rsidRDefault="00A202B9" w14:paraId="2A088552" w14:textId="77777777">
      <w:pPr>
        <w:spacing w:before="0" w:after="0"/>
        <w:rPr>
          <w:rFonts w:eastAsia="Times New Roman"/>
        </w:rPr>
      </w:pPr>
      <w:bookmarkStart w:name="_DV_M750" w:id="521"/>
      <w:bookmarkEnd w:id="521"/>
      <w:r>
        <w:rPr>
          <w:rFonts w:eastAsia="Times New Roman"/>
        </w:rPr>
        <w:t>Date of issuance:</w:t>
      </w:r>
      <w:r>
        <w:rPr>
          <w:rFonts w:eastAsia="Times New Roman"/>
        </w:rPr>
        <w:tab/>
        <w:t>________, 20__</w:t>
      </w:r>
    </w:p>
    <w:p w:rsidRPr="006C43AC" w:rsidR="00A202B9" w:rsidP="00A202B9" w:rsidRDefault="00A202B9" w14:paraId="23EF614C" w14:textId="77777777">
      <w:pPr>
        <w:spacing w:before="0" w:after="0"/>
        <w:jc w:val="left"/>
        <w:rPr>
          <w:rFonts w:eastAsia="Times New Roman"/>
        </w:rPr>
      </w:pPr>
    </w:p>
    <w:p w:rsidRPr="006C43AC" w:rsidR="00A202B9" w:rsidP="00A202B9" w:rsidRDefault="00A202B9" w14:paraId="31747787" w14:textId="77777777">
      <w:pPr>
        <w:spacing w:before="0" w:after="0"/>
        <w:jc w:val="left"/>
        <w:rPr>
          <w:rFonts w:eastAsia="Times New Roman"/>
        </w:rPr>
      </w:pPr>
    </w:p>
    <w:p w:rsidRPr="006C43AC" w:rsidR="00A202B9" w:rsidP="00A202B9" w:rsidRDefault="00A202B9" w14:paraId="5C1A447E" w14:textId="77777777">
      <w:pPr>
        <w:spacing w:before="0" w:after="0"/>
        <w:jc w:val="left"/>
        <w:rPr>
          <w:rFonts w:eastAsia="Times New Roman"/>
        </w:rPr>
      </w:pPr>
    </w:p>
    <w:p w:rsidRPr="006C43AC" w:rsidR="00A202B9" w:rsidP="00A202B9" w:rsidRDefault="00A202B9" w14:paraId="76C2766E" w14:textId="77777777">
      <w:pPr>
        <w:spacing w:before="0" w:after="0"/>
        <w:jc w:val="left"/>
        <w:rPr>
          <w:rFonts w:eastAsia="Times New Roman"/>
        </w:rPr>
      </w:pPr>
      <w:bookmarkStart w:name="_DV_M751" w:id="522"/>
      <w:bookmarkEnd w:id="522"/>
      <w:r>
        <w:rPr>
          <w:rFonts w:eastAsia="Times New Roman"/>
        </w:rPr>
        <w:t>Irrevocable Standby Letter of Credit No:_____________________</w:t>
      </w:r>
    </w:p>
    <w:p w:rsidRPr="006C43AC" w:rsidR="00A202B9" w:rsidP="00A202B9" w:rsidRDefault="00A202B9" w14:paraId="1D463FF1" w14:textId="77777777">
      <w:pPr>
        <w:spacing w:before="0" w:after="0"/>
        <w:jc w:val="left"/>
        <w:rPr>
          <w:rFonts w:eastAsia="Times New Roman"/>
        </w:rPr>
      </w:pPr>
    </w:p>
    <w:p w:rsidRPr="006C43AC" w:rsidR="00A202B9" w:rsidP="00A202B9" w:rsidRDefault="00A202B9" w14:paraId="2B0FBC45" w14:textId="77777777">
      <w:pPr>
        <w:tabs>
          <w:tab w:val="left" w:pos="2160"/>
        </w:tabs>
        <w:spacing w:before="0" w:after="0"/>
        <w:jc w:val="left"/>
        <w:rPr>
          <w:rFonts w:eastAsia="Times New Roman"/>
          <w:u w:val="single"/>
        </w:rPr>
      </w:pPr>
      <w:bookmarkStart w:name="_DV_M752" w:id="523"/>
      <w:bookmarkEnd w:id="523"/>
      <w:r>
        <w:rPr>
          <w:rFonts w:eastAsia="Times New Roman"/>
        </w:rPr>
        <w:t>“Issuer”:</w:t>
      </w:r>
      <w:r>
        <w:rPr>
          <w:rFonts w:eastAsia="Times New Roman"/>
        </w:rPr>
        <w:tab/>
      </w:r>
      <w:r>
        <w:rPr>
          <w:rFonts w:eastAsia="Times New Roman"/>
          <w:u w:val="single"/>
        </w:rPr>
        <w:tab/>
      </w:r>
      <w:r>
        <w:rPr>
          <w:rFonts w:eastAsia="Times New Roman"/>
          <w:u w:val="single"/>
        </w:rPr>
        <w:tab/>
      </w:r>
      <w:r>
        <w:rPr>
          <w:rFonts w:eastAsia="Times New Roman"/>
          <w:u w:val="single"/>
        </w:rPr>
        <w:tab/>
      </w:r>
      <w:r>
        <w:rPr>
          <w:rFonts w:eastAsia="Times New Roman"/>
          <w:u w:val="single"/>
        </w:rPr>
        <w:tab/>
      </w:r>
      <w:r>
        <w:rPr>
          <w:rFonts w:eastAsia="Times New Roman"/>
          <w:u w:val="single"/>
        </w:rPr>
        <w:tab/>
      </w:r>
      <w:r>
        <w:rPr>
          <w:rFonts w:eastAsia="Times New Roman"/>
          <w:u w:val="single"/>
        </w:rPr>
        <w:tab/>
      </w:r>
      <w:r>
        <w:rPr>
          <w:rFonts w:eastAsia="Times New Roman"/>
          <w:u w:val="single"/>
        </w:rPr>
        <w:tab/>
      </w:r>
    </w:p>
    <w:p w:rsidRPr="006C43AC" w:rsidR="00A202B9" w:rsidP="00A202B9" w:rsidRDefault="00A202B9" w14:paraId="15B673FE" w14:textId="77777777">
      <w:pPr>
        <w:tabs>
          <w:tab w:val="left" w:pos="2160"/>
        </w:tabs>
        <w:spacing w:before="0" w:after="0"/>
        <w:jc w:val="left"/>
        <w:rPr>
          <w:rFonts w:eastAsia="Times New Roman"/>
        </w:rPr>
      </w:pPr>
      <w:bookmarkStart w:name="_DV_M753" w:id="524"/>
      <w:bookmarkEnd w:id="524"/>
    </w:p>
    <w:p w:rsidRPr="006C43AC" w:rsidR="00A202B9" w:rsidP="00A202B9" w:rsidRDefault="00A202B9" w14:paraId="138C9159" w14:textId="77777777">
      <w:pPr>
        <w:tabs>
          <w:tab w:val="left" w:pos="2160"/>
        </w:tabs>
        <w:spacing w:before="0" w:after="0"/>
        <w:jc w:val="left"/>
        <w:rPr>
          <w:rFonts w:eastAsia="Times New Roman"/>
          <w:u w:val="single"/>
        </w:rPr>
      </w:pPr>
      <w:r>
        <w:rPr>
          <w:rFonts w:eastAsia="Times New Roman"/>
        </w:rPr>
        <w:t>Address:</w:t>
      </w:r>
      <w:r>
        <w:rPr>
          <w:rFonts w:eastAsia="Times New Roman"/>
        </w:rPr>
        <w:tab/>
      </w:r>
      <w:r>
        <w:rPr>
          <w:rFonts w:eastAsia="Times New Roman"/>
          <w:u w:val="single"/>
        </w:rPr>
        <w:tab/>
      </w:r>
      <w:r>
        <w:rPr>
          <w:rFonts w:eastAsia="Times New Roman"/>
          <w:u w:val="single"/>
        </w:rPr>
        <w:tab/>
      </w:r>
      <w:r>
        <w:rPr>
          <w:rFonts w:eastAsia="Times New Roman"/>
          <w:u w:val="single"/>
        </w:rPr>
        <w:tab/>
      </w:r>
      <w:r>
        <w:rPr>
          <w:rFonts w:eastAsia="Times New Roman"/>
          <w:u w:val="single"/>
        </w:rPr>
        <w:tab/>
      </w:r>
      <w:r>
        <w:rPr>
          <w:rFonts w:eastAsia="Times New Roman"/>
          <w:u w:val="single"/>
        </w:rPr>
        <w:tab/>
      </w:r>
      <w:r>
        <w:rPr>
          <w:rFonts w:eastAsia="Times New Roman"/>
          <w:u w:val="single"/>
        </w:rPr>
        <w:tab/>
      </w:r>
      <w:r>
        <w:rPr>
          <w:rFonts w:eastAsia="Times New Roman"/>
          <w:u w:val="single"/>
        </w:rPr>
        <w:tab/>
      </w:r>
    </w:p>
    <w:p w:rsidRPr="006C43AC" w:rsidR="00A202B9" w:rsidP="00A202B9" w:rsidRDefault="00A202B9" w14:paraId="12B0AE0B" w14:textId="77777777">
      <w:pPr>
        <w:spacing w:before="0" w:after="0"/>
        <w:jc w:val="left"/>
        <w:rPr>
          <w:rFonts w:eastAsia="Times New Roman"/>
        </w:rPr>
      </w:pPr>
    </w:p>
    <w:p w:rsidRPr="006C43AC" w:rsidR="00A202B9" w:rsidP="00A202B9" w:rsidRDefault="00A202B9" w14:paraId="1F11A401" w14:textId="77777777">
      <w:pPr>
        <w:tabs>
          <w:tab w:val="left" w:pos="2160"/>
        </w:tabs>
        <w:spacing w:before="0" w:after="0"/>
        <w:jc w:val="left"/>
        <w:rPr>
          <w:rFonts w:eastAsia="Times New Roman"/>
        </w:rPr>
      </w:pPr>
      <w:bookmarkStart w:name="_DV_M754" w:id="525"/>
      <w:bookmarkEnd w:id="525"/>
      <w:r>
        <w:rPr>
          <w:rFonts w:eastAsia="Times New Roman"/>
        </w:rPr>
        <w:t>“Beneficiary”:</w:t>
      </w:r>
      <w:r>
        <w:rPr>
          <w:rFonts w:eastAsia="Times New Roman"/>
        </w:rPr>
        <w:tab/>
        <w:t>Georgia Power Company</w:t>
      </w:r>
    </w:p>
    <w:p w:rsidRPr="006C43AC" w:rsidR="00A202B9" w:rsidP="00A202B9" w:rsidRDefault="00A202B9" w14:paraId="02CD8333" w14:textId="77777777">
      <w:pPr>
        <w:tabs>
          <w:tab w:val="left" w:pos="2160"/>
        </w:tabs>
        <w:spacing w:before="0" w:after="0"/>
        <w:jc w:val="left"/>
        <w:rPr>
          <w:rFonts w:eastAsia="Times New Roman"/>
        </w:rPr>
      </w:pPr>
    </w:p>
    <w:p w:rsidRPr="006C43AC" w:rsidR="00A202B9" w:rsidP="00A202B9" w:rsidRDefault="00A202B9" w14:paraId="212EDDEC" w14:textId="77777777">
      <w:pPr>
        <w:tabs>
          <w:tab w:val="left" w:pos="2160"/>
        </w:tabs>
        <w:spacing w:before="0" w:after="0"/>
        <w:jc w:val="left"/>
        <w:rPr>
          <w:rFonts w:eastAsia="Times New Roman"/>
        </w:rPr>
      </w:pPr>
      <w:bookmarkStart w:name="_DV_M755" w:id="526"/>
      <w:bookmarkEnd w:id="526"/>
      <w:r>
        <w:rPr>
          <w:rFonts w:eastAsia="Times New Roman"/>
        </w:rPr>
        <w:t xml:space="preserve">Address: </w:t>
      </w:r>
      <w:r>
        <w:rPr>
          <w:rFonts w:eastAsia="Times New Roman"/>
        </w:rPr>
        <w:tab/>
        <w:t>C/O Southern Company Services, Inc.</w:t>
      </w:r>
    </w:p>
    <w:p w:rsidRPr="006C43AC" w:rsidR="00A202B9" w:rsidP="00A202B9" w:rsidRDefault="00A202B9" w14:paraId="1E046887" w14:textId="77777777">
      <w:pPr>
        <w:tabs>
          <w:tab w:val="left" w:pos="2160"/>
        </w:tabs>
        <w:spacing w:before="0" w:after="0"/>
        <w:jc w:val="left"/>
        <w:rPr>
          <w:rFonts w:eastAsia="Times New Roman"/>
        </w:rPr>
      </w:pPr>
      <w:bookmarkStart w:name="_DV_M756" w:id="527"/>
      <w:bookmarkEnd w:id="527"/>
      <w:r>
        <w:rPr>
          <w:rFonts w:eastAsia="Times New Roman"/>
        </w:rPr>
        <w:tab/>
        <w:t xml:space="preserve">Attn: Assistant Treasurer </w:t>
      </w:r>
    </w:p>
    <w:p w:rsidRPr="006C43AC" w:rsidR="00A202B9" w:rsidP="00A202B9" w:rsidRDefault="00A202B9" w14:paraId="2A2AB998" w14:textId="77777777">
      <w:pPr>
        <w:tabs>
          <w:tab w:val="left" w:pos="2160"/>
        </w:tabs>
        <w:spacing w:before="0" w:after="0"/>
        <w:jc w:val="left"/>
        <w:rPr>
          <w:rFonts w:eastAsia="Times New Roman"/>
        </w:rPr>
      </w:pPr>
      <w:r>
        <w:rPr>
          <w:rFonts w:eastAsia="Times New Roman"/>
        </w:rPr>
        <w:tab/>
        <w:t>BIN SC1407</w:t>
      </w:r>
    </w:p>
    <w:p w:rsidRPr="006C43AC" w:rsidR="00A202B9" w:rsidP="00A202B9" w:rsidRDefault="00A202B9" w14:paraId="441EB8B0" w14:textId="77777777">
      <w:pPr>
        <w:tabs>
          <w:tab w:val="left" w:pos="2160"/>
        </w:tabs>
        <w:spacing w:before="0" w:after="0"/>
        <w:jc w:val="left"/>
        <w:rPr>
          <w:rFonts w:eastAsia="Times New Roman"/>
        </w:rPr>
      </w:pPr>
      <w:r>
        <w:rPr>
          <w:rFonts w:eastAsia="Times New Roman"/>
        </w:rPr>
        <w:tab/>
        <w:t>30 Ivan Allen Jr. Blvd., NW</w:t>
      </w:r>
    </w:p>
    <w:p w:rsidRPr="006C43AC" w:rsidR="00A202B9" w:rsidP="00A202B9" w:rsidRDefault="00A202B9" w14:paraId="69A001D1" w14:textId="77777777">
      <w:pPr>
        <w:tabs>
          <w:tab w:val="left" w:pos="2160"/>
        </w:tabs>
        <w:spacing w:before="0" w:after="0"/>
        <w:jc w:val="left"/>
        <w:rPr>
          <w:rFonts w:eastAsia="Times New Roman"/>
        </w:rPr>
      </w:pPr>
      <w:bookmarkStart w:name="_DV_M757" w:id="528"/>
      <w:bookmarkEnd w:id="528"/>
      <w:r>
        <w:rPr>
          <w:rFonts w:eastAsia="Times New Roman"/>
        </w:rPr>
        <w:tab/>
      </w:r>
      <w:bookmarkStart w:name="_DV_M758" w:id="529"/>
      <w:bookmarkStart w:name="_DV_M759" w:id="530"/>
      <w:bookmarkEnd w:id="529"/>
      <w:bookmarkEnd w:id="530"/>
      <w:r>
        <w:rPr>
          <w:rFonts w:eastAsia="Times New Roman"/>
        </w:rPr>
        <w:t>Atlanta, GA 30308</w:t>
      </w:r>
    </w:p>
    <w:p w:rsidRPr="006C43AC" w:rsidR="00A202B9" w:rsidP="00A202B9" w:rsidRDefault="00A202B9" w14:paraId="3A728C83" w14:textId="77777777">
      <w:pPr>
        <w:spacing w:before="0" w:after="0"/>
        <w:jc w:val="left"/>
        <w:rPr>
          <w:rFonts w:eastAsia="Times New Roman"/>
        </w:rPr>
      </w:pPr>
      <w:bookmarkStart w:name="_DV_M760" w:id="531"/>
      <w:bookmarkEnd w:id="531"/>
      <w:r>
        <w:rPr>
          <w:rFonts w:eastAsia="Times New Roman"/>
        </w:rPr>
        <w:t xml:space="preserve"> </w:t>
      </w:r>
    </w:p>
    <w:p w:rsidRPr="006C43AC" w:rsidR="00A202B9" w:rsidP="00A202B9" w:rsidRDefault="00A202B9" w14:paraId="03B6B192" w14:textId="5AE9259C">
      <w:pPr>
        <w:tabs>
          <w:tab w:val="left" w:pos="2160"/>
        </w:tabs>
        <w:spacing w:before="0" w:after="0"/>
        <w:jc w:val="left"/>
        <w:rPr>
          <w:rFonts w:eastAsia="Times New Roman"/>
        </w:rPr>
      </w:pPr>
      <w:bookmarkStart w:name="_DV_M761" w:id="532"/>
      <w:bookmarkEnd w:id="532"/>
      <w:r>
        <w:rPr>
          <w:rFonts w:eastAsia="Times New Roman"/>
        </w:rPr>
        <w:t>Program ID:</w:t>
      </w:r>
      <w:r>
        <w:rPr>
          <w:rFonts w:eastAsia="Times New Roman"/>
        </w:rPr>
        <w:tab/>
        <w:t>32-33 All-Source RFP</w:t>
      </w:r>
    </w:p>
    <w:p w:rsidRPr="006C43AC" w:rsidR="00A202B9" w:rsidP="00A202B9" w:rsidRDefault="00A202B9" w14:paraId="12C6E32B" w14:textId="77777777">
      <w:pPr>
        <w:tabs>
          <w:tab w:val="left" w:pos="2160"/>
        </w:tabs>
        <w:spacing w:before="0" w:after="0"/>
        <w:jc w:val="left"/>
        <w:rPr>
          <w:rFonts w:eastAsia="Times New Roman"/>
        </w:rPr>
      </w:pPr>
    </w:p>
    <w:p w:rsidRPr="006C43AC" w:rsidR="00A202B9" w:rsidP="00A202B9" w:rsidRDefault="00A202B9" w14:paraId="730593C7" w14:textId="77777777">
      <w:pPr>
        <w:tabs>
          <w:tab w:val="left" w:pos="2160"/>
        </w:tabs>
        <w:spacing w:before="0" w:after="0"/>
        <w:jc w:val="left"/>
        <w:rPr>
          <w:rFonts w:eastAsia="Times New Roman"/>
          <w:u w:val="single"/>
        </w:rPr>
      </w:pPr>
      <w:r>
        <w:rPr>
          <w:rFonts w:eastAsia="Times New Roman"/>
        </w:rPr>
        <w:t xml:space="preserve">“Account Party”: </w:t>
      </w:r>
      <w:r>
        <w:rPr>
          <w:rFonts w:eastAsia="Times New Roman"/>
        </w:rPr>
        <w:tab/>
      </w:r>
      <w:r>
        <w:rPr>
          <w:rFonts w:eastAsia="Times New Roman"/>
          <w:u w:val="single"/>
        </w:rPr>
        <w:tab/>
      </w:r>
      <w:r>
        <w:rPr>
          <w:rFonts w:eastAsia="Times New Roman"/>
          <w:u w:val="single"/>
        </w:rPr>
        <w:tab/>
      </w:r>
      <w:r>
        <w:rPr>
          <w:rFonts w:eastAsia="Times New Roman"/>
          <w:u w:val="single"/>
        </w:rPr>
        <w:tab/>
      </w:r>
      <w:r>
        <w:rPr>
          <w:rFonts w:eastAsia="Times New Roman"/>
          <w:u w:val="single"/>
        </w:rPr>
        <w:tab/>
      </w:r>
      <w:r>
        <w:rPr>
          <w:rFonts w:eastAsia="Times New Roman"/>
          <w:u w:val="single"/>
        </w:rPr>
        <w:tab/>
      </w:r>
      <w:r>
        <w:rPr>
          <w:rFonts w:eastAsia="Times New Roman"/>
          <w:u w:val="single"/>
        </w:rPr>
        <w:tab/>
      </w:r>
      <w:r>
        <w:rPr>
          <w:rFonts w:eastAsia="Times New Roman"/>
          <w:u w:val="single"/>
        </w:rPr>
        <w:tab/>
      </w:r>
    </w:p>
    <w:p w:rsidRPr="006C43AC" w:rsidR="00A202B9" w:rsidP="00A202B9" w:rsidRDefault="00A202B9" w14:paraId="38032B1C" w14:textId="77777777">
      <w:pPr>
        <w:tabs>
          <w:tab w:val="left" w:pos="2160"/>
        </w:tabs>
        <w:spacing w:before="0" w:after="0"/>
        <w:jc w:val="left"/>
        <w:rPr>
          <w:rFonts w:eastAsia="Times New Roman"/>
        </w:rPr>
      </w:pPr>
      <w:bookmarkStart w:name="_DV_M762" w:id="533"/>
      <w:bookmarkEnd w:id="533"/>
    </w:p>
    <w:p w:rsidRPr="006C43AC" w:rsidR="00A202B9" w:rsidP="00A202B9" w:rsidRDefault="00A202B9" w14:paraId="6C99A7B6" w14:textId="77777777">
      <w:pPr>
        <w:tabs>
          <w:tab w:val="left" w:pos="2160"/>
        </w:tabs>
        <w:spacing w:before="0" w:after="0"/>
        <w:jc w:val="left"/>
        <w:rPr>
          <w:rFonts w:eastAsia="Times New Roman"/>
        </w:rPr>
      </w:pPr>
      <w:r>
        <w:rPr>
          <w:rFonts w:eastAsia="Times New Roman"/>
        </w:rPr>
        <w:t>Address:</w:t>
      </w:r>
      <w:r>
        <w:rPr>
          <w:rFonts w:eastAsia="Times New Roman"/>
        </w:rPr>
        <w:tab/>
      </w:r>
      <w:r>
        <w:rPr>
          <w:rFonts w:eastAsia="Times New Roman"/>
          <w:u w:val="single"/>
        </w:rPr>
        <w:tab/>
      </w:r>
      <w:r>
        <w:rPr>
          <w:rFonts w:eastAsia="Times New Roman"/>
          <w:u w:val="single"/>
        </w:rPr>
        <w:tab/>
      </w:r>
      <w:r>
        <w:rPr>
          <w:rFonts w:eastAsia="Times New Roman"/>
          <w:u w:val="single"/>
        </w:rPr>
        <w:tab/>
      </w:r>
      <w:r>
        <w:rPr>
          <w:rFonts w:eastAsia="Times New Roman"/>
          <w:u w:val="single"/>
        </w:rPr>
        <w:tab/>
      </w:r>
      <w:r>
        <w:rPr>
          <w:rFonts w:eastAsia="Times New Roman"/>
          <w:u w:val="single"/>
        </w:rPr>
        <w:tab/>
      </w:r>
      <w:r>
        <w:rPr>
          <w:rFonts w:eastAsia="Times New Roman"/>
          <w:u w:val="single"/>
        </w:rPr>
        <w:tab/>
      </w:r>
      <w:r>
        <w:rPr>
          <w:rFonts w:eastAsia="Times New Roman"/>
          <w:u w:val="single"/>
        </w:rPr>
        <w:tab/>
      </w:r>
    </w:p>
    <w:p w:rsidRPr="006C43AC" w:rsidR="00A202B9" w:rsidP="00A202B9" w:rsidRDefault="00A202B9" w14:paraId="5DC3E973" w14:textId="77777777">
      <w:pPr>
        <w:spacing w:before="0" w:after="0"/>
        <w:jc w:val="left"/>
        <w:rPr>
          <w:rFonts w:eastAsia="Times New Roman"/>
        </w:rPr>
      </w:pPr>
    </w:p>
    <w:p w:rsidRPr="006C43AC" w:rsidR="00A202B9" w:rsidP="00A202B9" w:rsidRDefault="00A202B9" w14:paraId="3FDFD631" w14:textId="77777777">
      <w:pPr>
        <w:spacing w:before="0" w:after="0"/>
        <w:ind w:left="2160" w:hanging="2160"/>
        <w:jc w:val="left"/>
        <w:rPr>
          <w:rFonts w:eastAsia="Times New Roman"/>
        </w:rPr>
      </w:pPr>
      <w:bookmarkStart w:name="_DV_M763" w:id="534"/>
      <w:bookmarkEnd w:id="534"/>
      <w:r>
        <w:rPr>
          <w:rFonts w:eastAsia="Times New Roman"/>
        </w:rPr>
        <w:t>“Expiry Date”:</w:t>
      </w:r>
      <w:r>
        <w:rPr>
          <w:rFonts w:eastAsia="Times New Roman"/>
        </w:rPr>
        <w:tab/>
        <w:t>______________, 20__, and any automatically extended date, as herein provided [(</w:t>
      </w:r>
      <w:r>
        <w:rPr>
          <w:rFonts w:eastAsia="Times New Roman"/>
          <w:highlight w:val="yellow"/>
        </w:rPr>
        <w:t>but in no event later than _____________, 20__)</w:t>
      </w:r>
      <w:r>
        <w:rPr>
          <w:rFonts w:eastAsia="Times New Roman"/>
        </w:rPr>
        <w:t>]</w:t>
      </w:r>
    </w:p>
    <w:p w:rsidRPr="006C43AC" w:rsidR="00A202B9" w:rsidP="00A202B9" w:rsidRDefault="00A202B9" w14:paraId="0928E17B" w14:textId="77777777">
      <w:pPr>
        <w:spacing w:before="0" w:after="0"/>
        <w:jc w:val="left"/>
        <w:rPr>
          <w:rFonts w:eastAsia="Times New Roman"/>
        </w:rPr>
      </w:pPr>
    </w:p>
    <w:p w:rsidRPr="006C43AC" w:rsidR="00A202B9" w:rsidP="00A202B9" w:rsidRDefault="00A202B9" w14:paraId="005EF0B2" w14:textId="77777777">
      <w:pPr>
        <w:tabs>
          <w:tab w:val="left" w:pos="2160"/>
        </w:tabs>
        <w:spacing w:before="0" w:after="0"/>
        <w:jc w:val="left"/>
        <w:rPr>
          <w:rFonts w:eastAsia="Times New Roman"/>
        </w:rPr>
      </w:pPr>
      <w:bookmarkStart w:name="_DV_M764" w:id="535"/>
      <w:bookmarkEnd w:id="535"/>
      <w:r>
        <w:rPr>
          <w:rFonts w:eastAsia="Times New Roman"/>
        </w:rPr>
        <w:t>“Total Amount”:</w:t>
      </w:r>
      <w:r>
        <w:rPr>
          <w:rFonts w:eastAsia="Times New Roman"/>
        </w:rPr>
        <w:tab/>
      </w:r>
      <w:r>
        <w:rPr>
          <w:rFonts w:eastAsia="Times New Roman"/>
          <w:u w:val="single"/>
        </w:rPr>
        <w:tab/>
      </w:r>
      <w:r>
        <w:rPr>
          <w:rFonts w:eastAsia="Times New Roman"/>
          <w:u w:val="single"/>
        </w:rPr>
        <w:tab/>
      </w:r>
      <w:r>
        <w:rPr>
          <w:rFonts w:eastAsia="Times New Roman"/>
        </w:rPr>
        <w:t>United States Dollars (U.S. $_____________)</w:t>
      </w:r>
    </w:p>
    <w:p w:rsidRPr="006C43AC" w:rsidR="00A202B9" w:rsidP="00A202B9" w:rsidRDefault="00A202B9" w14:paraId="55449B4E" w14:textId="77777777">
      <w:pPr>
        <w:jc w:val="left"/>
        <w:rPr>
          <w:rFonts w:eastAsia="Times New Roman"/>
        </w:rPr>
      </w:pPr>
    </w:p>
    <w:p w:rsidRPr="006C43AC" w:rsidR="00A202B9" w:rsidP="00A202B9" w:rsidRDefault="00A202B9" w14:paraId="4406D37B" w14:textId="77777777">
      <w:pPr>
        <w:jc w:val="left"/>
        <w:rPr>
          <w:rFonts w:eastAsia="Times New Roman"/>
        </w:rPr>
      </w:pPr>
    </w:p>
    <w:p w:rsidRPr="006C43AC" w:rsidR="00A202B9" w:rsidP="00A202B9" w:rsidRDefault="00A202B9" w14:paraId="54EBFD3C" w14:textId="77777777">
      <w:pPr>
        <w:rPr>
          <w:rFonts w:ascii="Calibri" w:hAnsi="Calibri" w:eastAsia="Times New Roman"/>
          <w:spacing w:val="-4"/>
        </w:rPr>
      </w:pPr>
      <w:bookmarkStart w:name="_DV_M765" w:id="536"/>
      <w:bookmarkEnd w:id="536"/>
      <w:r>
        <w:rPr>
          <w:rFonts w:eastAsia="Times New Roman"/>
          <w:spacing w:val="-4"/>
        </w:rPr>
        <w:t>We, the Issuer, hereby establish in your favor, for the account of the Account Party, our irrevocable standby letter of credit (“</w:t>
      </w:r>
      <w:r>
        <w:rPr>
          <w:rFonts w:eastAsia="Times New Roman"/>
          <w:b/>
          <w:spacing w:val="-4"/>
        </w:rPr>
        <w:t>Standby Letter of Credit</w:t>
      </w:r>
      <w:r>
        <w:rPr>
          <w:rFonts w:eastAsia="Times New Roman"/>
          <w:spacing w:val="-4"/>
        </w:rPr>
        <w:t>”), in the aggregate amount not exceeding the Total Amount.</w:t>
      </w:r>
    </w:p>
    <w:p w:rsidRPr="006C43AC" w:rsidR="00A202B9" w:rsidP="00A202B9" w:rsidRDefault="00A202B9" w14:paraId="7C5EC1AE" w14:textId="0CA8CC26">
      <w:pPr>
        <w:rPr>
          <w:rFonts w:ascii="Calibri" w:hAnsi="Calibri" w:eastAsia="Times New Roman"/>
          <w:spacing w:val="-4"/>
        </w:rPr>
      </w:pPr>
      <w:bookmarkStart w:name="_DV_M766" w:id="537"/>
      <w:bookmarkEnd w:id="537"/>
      <w:r>
        <w:rPr>
          <w:rFonts w:eastAsia="Times New Roman"/>
          <w:spacing w:val="-4"/>
        </w:rPr>
        <w:t>Funds under this Standby Letter of Credit are available to you on or before the Expiry Date by presentation of your demand signed by one of your officers or authorized representatives, and delivered to us in the form attached as Annex 1 (</w:t>
      </w:r>
      <w:r>
        <w:rPr>
          <w:rFonts w:eastAsia="Times New Roman"/>
          <w:i/>
          <w:spacing w:val="-4"/>
        </w:rPr>
        <w:t>Form of Sight Draft</w:t>
      </w:r>
      <w:r>
        <w:rPr>
          <w:rFonts w:eastAsia="Times New Roman"/>
          <w:spacing w:val="-4"/>
        </w:rPr>
        <w:t>) with appropriate insertions and referring thereon to the number and date of this Standby Letter of Credit, accompanied by a written and completed certificate signed by a person purporting to be one of your officers or authorized representatives, in the form attached as Annex 2 (</w:t>
      </w:r>
      <w:r>
        <w:rPr>
          <w:rFonts w:eastAsia="Times New Roman"/>
          <w:i/>
          <w:spacing w:val="-4"/>
        </w:rPr>
        <w:t>Form of Certificate</w:t>
      </w:r>
      <w:r>
        <w:rPr>
          <w:rFonts w:eastAsia="Times New Roman"/>
          <w:spacing w:val="-4"/>
        </w:rPr>
        <w:t>), with appropriate insertions.</w:t>
      </w:r>
    </w:p>
    <w:p w:rsidRPr="006C43AC" w:rsidR="00A202B9" w:rsidP="00A202B9" w:rsidRDefault="00A202B9" w14:paraId="5A393D13" w14:textId="77777777">
      <w:pPr>
        <w:rPr>
          <w:rFonts w:ascii="Calibri" w:hAnsi="Calibri" w:eastAsia="Times New Roman"/>
          <w:spacing w:val="-4"/>
        </w:rPr>
      </w:pPr>
      <w:bookmarkStart w:name="_DV_M767" w:id="538"/>
      <w:bookmarkEnd w:id="538"/>
      <w:r>
        <w:rPr>
          <w:rFonts w:eastAsia="Times New Roman"/>
          <w:spacing w:val="-4"/>
        </w:rPr>
        <w:t>This Standby Letter of Credit is effective immediately and expires at 5:00 p.m. (Eastern Time) on the Expiry Date. It is a condition of this Standby Letter of Credit that the Expiry Date will be deemed automatically extended without amendment for a period of one year from the present or any future Expiry Date, unless we notify you not less than ninety (90) days prior to any such date, in accordance with the notice provisions set forth herein, that we have elected not to extend the Expiry Date for such additional period.</w:t>
      </w:r>
    </w:p>
    <w:p w:rsidRPr="006C43AC" w:rsidR="00A202B9" w:rsidP="00A202B9" w:rsidRDefault="00A202B9" w14:paraId="60E8EE52" w14:textId="77777777">
      <w:pPr>
        <w:rPr>
          <w:rFonts w:ascii="Calibri" w:hAnsi="Calibri" w:eastAsia="Times New Roman"/>
          <w:spacing w:val="-4"/>
        </w:rPr>
      </w:pPr>
      <w:bookmarkStart w:name="_DV_M768" w:id="539"/>
      <w:bookmarkEnd w:id="539"/>
      <w:r>
        <w:rPr>
          <w:rFonts w:eastAsia="Times New Roman"/>
          <w:spacing w:val="-4"/>
        </w:rPr>
        <w:t xml:space="preserve">Delivery of demands and certificates will be made on any day that is a business day for us at or prior to 5:00 p.m. (Eastern Time) at our office located at __________, or at any other office in the United States of America that is designated by us in a written notice delivered to you. If such demand and such certificate are received at any such office on or prior to the Expiry Date, we hereby agree with you that we will duly honor the same within three (3) business days of such presentation. Notwithstanding the foregoing, you may demand payment under this Standby Letter of Credit by facsimile or electronic transmission when promptly confirmed by written demand; however, actual disbursement of funds </w:t>
      </w:r>
      <w:r>
        <w:rPr>
          <w:rFonts w:eastAsia="Calibri"/>
          <w:spacing w:val="-4"/>
        </w:rPr>
        <w:t>under</w:t>
      </w:r>
      <w:r>
        <w:rPr>
          <w:rFonts w:eastAsia="Times New Roman"/>
          <w:spacing w:val="-4"/>
        </w:rPr>
        <w:t xml:space="preserve"> a demand presented by facsimile or electronic transmission may not occur until we are presented with the original Standby Letter of Credit.</w:t>
      </w:r>
    </w:p>
    <w:p w:rsidRPr="006C43AC" w:rsidR="00A202B9" w:rsidP="00A202B9" w:rsidRDefault="00A202B9" w14:paraId="630BB99F" w14:textId="77777777">
      <w:pPr>
        <w:rPr>
          <w:rFonts w:ascii="Calibri" w:hAnsi="Calibri" w:eastAsia="Times New Roman"/>
          <w:spacing w:val="-4"/>
        </w:rPr>
      </w:pPr>
      <w:bookmarkStart w:name="_DV_M769" w:id="540"/>
      <w:bookmarkEnd w:id="540"/>
      <w:r>
        <w:rPr>
          <w:rFonts w:eastAsia="Times New Roman"/>
          <w:spacing w:val="-4"/>
        </w:rPr>
        <w:lastRenderedPageBreak/>
        <w:t xml:space="preserve">Partial drawings and multiple presentations may be made under this Standby Letter of Credit, </w:t>
      </w:r>
      <w:r>
        <w:rPr>
          <w:rFonts w:eastAsia="Times New Roman"/>
          <w:spacing w:val="-4"/>
          <w:u w:val="single"/>
        </w:rPr>
        <w:t>provided</w:t>
      </w:r>
      <w:r>
        <w:rPr>
          <w:rFonts w:eastAsia="Times New Roman"/>
          <w:spacing w:val="-4"/>
        </w:rPr>
        <w:t xml:space="preserve">, </w:t>
      </w:r>
      <w:r>
        <w:rPr>
          <w:rFonts w:eastAsia="Times New Roman"/>
          <w:spacing w:val="-4"/>
          <w:u w:val="single"/>
        </w:rPr>
        <w:t>however</w:t>
      </w:r>
      <w:r>
        <w:rPr>
          <w:rFonts w:eastAsia="Times New Roman"/>
          <w:spacing w:val="-4"/>
        </w:rPr>
        <w:t>, that each such demand that is paid by us will reduce the amount available under this Standby Letter of Credit.</w:t>
      </w:r>
    </w:p>
    <w:p w:rsidRPr="006C43AC" w:rsidR="00A202B9" w:rsidP="00A202B9" w:rsidRDefault="00A202B9" w14:paraId="53DCEFF0" w14:textId="77777777">
      <w:pPr>
        <w:rPr>
          <w:rFonts w:ascii="Calibri" w:hAnsi="Calibri" w:eastAsia="Times New Roman"/>
          <w:spacing w:val="-4"/>
        </w:rPr>
      </w:pPr>
      <w:bookmarkStart w:name="_DV_M770" w:id="541"/>
      <w:bookmarkEnd w:id="541"/>
      <w:r>
        <w:rPr>
          <w:rFonts w:eastAsia="Times New Roman"/>
          <w:spacing w:val="-4"/>
        </w:rPr>
        <w:t>Except as is expressly set forth herein, payment of demands made under this Standby Letter of Credit is not subject to any agreement, condition or qualification. The obligation of the Issuer under this Standby Letter of Credit is the individual obligation of the Issuer and is in no manner contingent upon reimbursement with respect thereto.</w:t>
      </w:r>
    </w:p>
    <w:p w:rsidRPr="006C43AC" w:rsidR="00A202B9" w:rsidP="00A202B9" w:rsidRDefault="00A202B9" w14:paraId="5DEDA898" w14:textId="77777777">
      <w:pPr>
        <w:rPr>
          <w:rFonts w:ascii="Calibri" w:hAnsi="Calibri" w:eastAsia="Times New Roman"/>
          <w:spacing w:val="-4"/>
        </w:rPr>
      </w:pPr>
      <w:bookmarkStart w:name="_DV_M771" w:id="542"/>
      <w:bookmarkEnd w:id="542"/>
      <w:r>
        <w:rPr>
          <w:rFonts w:eastAsia="Times New Roman"/>
          <w:spacing w:val="-4"/>
        </w:rPr>
        <w:t>Funds available for drawing under this Standby Letter of Credit may not directly or indirectly constitute funds or collateral deposited with the Beneficiary, or for the Issuer’s account by the Account Party, or pledged with or for the Issuer’s account by the Account Party.</w:t>
      </w:r>
    </w:p>
    <w:p w:rsidRPr="006C43AC" w:rsidR="00A202B9" w:rsidP="00A202B9" w:rsidRDefault="00A202B9" w14:paraId="0169CA54" w14:textId="77777777">
      <w:pPr>
        <w:rPr>
          <w:rFonts w:ascii="Calibri" w:hAnsi="Calibri" w:eastAsia="Times New Roman"/>
          <w:spacing w:val="-4"/>
        </w:rPr>
      </w:pPr>
      <w:bookmarkStart w:name="_DV_M772" w:id="543"/>
      <w:bookmarkEnd w:id="543"/>
      <w:r>
        <w:rPr>
          <w:rFonts w:eastAsia="Times New Roman"/>
          <w:spacing w:val="-4"/>
        </w:rPr>
        <w:t>This Standby Letter of Credit is transferable and can be successively transferred to any transferee that Beneficiary states in writing to us has succeeded such Beneficiary under this Letter of Credit; provided that such transfer to such transferee is in compliance with applicable U.S. laws and regulations. Transfer of this Standby Letter of Credit to any transferee will be effected by the presentation to us of this Standby Letter of Credit accompanied by a certificate in the form attached as Annex 3 (</w:t>
      </w:r>
      <w:r>
        <w:rPr>
          <w:rFonts w:eastAsia="Times New Roman"/>
          <w:i/>
          <w:spacing w:val="-4"/>
        </w:rPr>
        <w:t>Form of Instruction to Assign in Entirety</w:t>
      </w:r>
      <w:r>
        <w:rPr>
          <w:rFonts w:eastAsia="Times New Roman"/>
          <w:spacing w:val="-4"/>
        </w:rPr>
        <w:t>), with appropriate insertions, signed by a person purporting to be an officer or authorized representative of the Beneficiary. Upon such presentation, we will forthwith issue an irrevocable letter of credit to such transferee with provisions therein consistent with this Standby Letter of Credit.</w:t>
      </w:r>
    </w:p>
    <w:p w:rsidRPr="006C43AC" w:rsidR="00A202B9" w:rsidP="00A202B9" w:rsidRDefault="00A202B9" w14:paraId="5283BCB3" w14:textId="77777777">
      <w:pPr>
        <w:rPr>
          <w:rFonts w:ascii="Calibri" w:hAnsi="Calibri" w:eastAsia="Times New Roman"/>
          <w:spacing w:val="-4"/>
        </w:rPr>
      </w:pPr>
      <w:bookmarkStart w:name="_DV_M773" w:id="544"/>
      <w:bookmarkEnd w:id="544"/>
      <w:r>
        <w:rPr>
          <w:rFonts w:eastAsia="Times New Roman"/>
          <w:spacing w:val="-4"/>
        </w:rPr>
        <w:t>We will not modify, revoke or terminate this Standby Letter of Credit without your written consent. This Standby Letter of Credit sets forth in full the terms of our undertaking, and such undertaking may not be modified, annulled or amplified by reference to any other document, instrument or agreement referred to herein or in which the Standby Letter of Credit is referred or to which the Standby Letter of Credit relates, and any such reference may not be deemed to incorporate herein by reference any document, instrument or agreement.</w:t>
      </w:r>
    </w:p>
    <w:p w:rsidRPr="006C43AC" w:rsidR="00A202B9" w:rsidP="00A202B9" w:rsidRDefault="00A202B9" w14:paraId="22EB041C" w14:textId="77777777">
      <w:pPr>
        <w:rPr>
          <w:rFonts w:ascii="Calibri" w:hAnsi="Calibri" w:eastAsia="Times New Roman"/>
          <w:spacing w:val="-4"/>
        </w:rPr>
      </w:pPr>
      <w:bookmarkStart w:name="_DV_M774" w:id="545"/>
      <w:bookmarkEnd w:id="545"/>
      <w:r>
        <w:rPr>
          <w:rFonts w:eastAsia="Times New Roman"/>
          <w:spacing w:val="-4"/>
        </w:rPr>
        <w:t>To the extent not contrary to the express terms hereof, this Standby Letter of Credit will be governed by the International Standby Practices (“</w:t>
      </w:r>
      <w:r>
        <w:rPr>
          <w:rFonts w:eastAsia="Times New Roman"/>
          <w:b/>
          <w:spacing w:val="-4"/>
        </w:rPr>
        <w:t>ISP98</w:t>
      </w:r>
      <w:r>
        <w:rPr>
          <w:rFonts w:eastAsia="Times New Roman"/>
          <w:spacing w:val="-4"/>
        </w:rPr>
        <w:t>”). This Standby Letter of Credit will be deemed to be a contract made under the laws of the state of Georgia and will, as to matters not governed by the ISP98, be governed by and construed in accordance with the laws of the state of Georgia.</w:t>
      </w:r>
    </w:p>
    <w:p w:rsidRPr="006C43AC" w:rsidR="00A202B9" w:rsidP="00A202B9" w:rsidRDefault="00A202B9" w14:paraId="2D096663" w14:textId="77777777">
      <w:pPr>
        <w:rPr>
          <w:rFonts w:ascii="Calibri" w:hAnsi="Calibri" w:eastAsia="Times New Roman"/>
          <w:spacing w:val="-4"/>
        </w:rPr>
      </w:pPr>
      <w:bookmarkStart w:name="_DV_M775" w:id="546"/>
      <w:bookmarkEnd w:id="546"/>
      <w:r>
        <w:rPr>
          <w:rFonts w:eastAsia="Times New Roman"/>
          <w:spacing w:val="-4"/>
        </w:rPr>
        <w:t>Notices concerning this Standby Letter of Credit may be sent to a party by courier, certified mail, registered mail, facsimile, electronic transmission or similar communications facility to its respective address set forth herein. Any notice, demand, request or other communication is deemed to have been received by the party to whom it is sent at the time of its delivery. Each party may notify the other of any change of address in the manner provided above.</w:t>
      </w:r>
    </w:p>
    <w:p w:rsidRPr="006C43AC" w:rsidR="00A202B9" w:rsidP="00A202B9" w:rsidRDefault="00A202B9" w14:paraId="5CA9B0FD" w14:textId="77777777">
      <w:pPr>
        <w:ind w:left="5040"/>
        <w:jc w:val="left"/>
        <w:rPr>
          <w:rFonts w:eastAsia="Times New Roman"/>
        </w:rPr>
      </w:pPr>
    </w:p>
    <w:p w:rsidRPr="006C43AC" w:rsidR="00A202B9" w:rsidP="00A202B9" w:rsidRDefault="00A202B9" w14:paraId="74F7CF9F" w14:textId="77777777">
      <w:pPr>
        <w:ind w:left="5040"/>
        <w:jc w:val="left"/>
        <w:rPr>
          <w:rFonts w:eastAsia="Times New Roman"/>
        </w:rPr>
      </w:pPr>
      <w:bookmarkStart w:name="_DV_M776" w:id="547"/>
      <w:bookmarkEnd w:id="547"/>
      <w:r>
        <w:rPr>
          <w:rFonts w:eastAsia="Times New Roman"/>
        </w:rPr>
        <w:t>[</w:t>
      </w:r>
      <w:r>
        <w:rPr>
          <w:rFonts w:eastAsia="Times New Roman"/>
          <w:highlight w:val="yellow"/>
        </w:rPr>
        <w:t>ISSUING BANK</w:t>
      </w:r>
      <w:r>
        <w:rPr>
          <w:rFonts w:eastAsia="Times New Roman"/>
        </w:rPr>
        <w:t>]</w:t>
      </w:r>
    </w:p>
    <w:p w:rsidRPr="006C43AC" w:rsidR="00A202B9" w:rsidP="00A202B9" w:rsidRDefault="00A202B9" w14:paraId="61E4EE50" w14:textId="77777777">
      <w:pPr>
        <w:jc w:val="left"/>
        <w:rPr>
          <w:rFonts w:ascii="Calibri" w:hAnsi="Calibri" w:eastAsia="Times New Roman"/>
          <w:spacing w:val="-4"/>
        </w:rPr>
      </w:pPr>
    </w:p>
    <w:p w:rsidRPr="006C43AC" w:rsidR="00A202B9" w:rsidP="00A202B9" w:rsidRDefault="00A202B9" w14:paraId="26974E1A" w14:textId="77777777">
      <w:pPr>
        <w:jc w:val="left"/>
        <w:rPr>
          <w:rFonts w:ascii="Calibri" w:hAnsi="Calibri" w:eastAsia="Times New Roman"/>
          <w:spacing w:val="-4"/>
        </w:rPr>
      </w:pPr>
    </w:p>
    <w:p w:rsidRPr="006C43AC" w:rsidR="00A202B9" w:rsidP="00A202B9" w:rsidRDefault="00A202B9" w14:paraId="159C0986" w14:textId="77777777">
      <w:pPr>
        <w:jc w:val="left"/>
        <w:rPr>
          <w:rFonts w:ascii="Calibri" w:hAnsi="Calibri" w:eastAsia="Times New Roman"/>
          <w:spacing w:val="-4"/>
        </w:rPr>
      </w:pPr>
    </w:p>
    <w:p w:rsidR="00A202B9" w:rsidP="00A202B9" w:rsidRDefault="00A202B9" w14:paraId="1E26177F" w14:textId="55030EB6">
      <w:pPr>
        <w:tabs>
          <w:tab w:val="left" w:pos="5040"/>
        </w:tabs>
        <w:jc w:val="left"/>
        <w:rPr>
          <w:rFonts w:eastAsia="Times New Roman"/>
          <w:spacing w:val="-4"/>
        </w:rPr>
      </w:pPr>
      <w:bookmarkStart w:name="_DV_M777" w:id="548"/>
      <w:bookmarkEnd w:id="548"/>
      <w:r>
        <w:rPr>
          <w:rFonts w:eastAsia="Times New Roman"/>
          <w:spacing w:val="-4"/>
        </w:rPr>
        <w:tab/>
        <w:t>By:</w:t>
      </w:r>
      <w:r>
        <w:rPr>
          <w:rFonts w:eastAsia="Times New Roman"/>
          <w:spacing w:val="-4"/>
          <w:u w:val="single"/>
        </w:rPr>
        <w:tab/>
      </w:r>
      <w:r>
        <w:rPr>
          <w:rFonts w:eastAsia="Times New Roman"/>
          <w:spacing w:val="-4"/>
          <w:u w:val="single"/>
        </w:rPr>
        <w:tab/>
      </w:r>
      <w:r>
        <w:rPr>
          <w:rFonts w:eastAsia="Times New Roman"/>
          <w:spacing w:val="-4"/>
          <w:u w:val="single"/>
        </w:rPr>
        <w:tab/>
      </w:r>
      <w:r>
        <w:rPr>
          <w:rFonts w:eastAsia="Times New Roman"/>
          <w:spacing w:val="-4"/>
          <w:u w:val="single"/>
        </w:rPr>
        <w:tab/>
      </w:r>
      <w:r>
        <w:rPr>
          <w:rFonts w:eastAsia="Times New Roman"/>
          <w:spacing w:val="-4"/>
        </w:rPr>
        <w:tab/>
        <w:t>Authorized Signature</w:t>
      </w:r>
      <w:r>
        <w:rPr>
          <w:rFonts w:eastAsia="Times New Roman"/>
          <w:spacing w:val="-4"/>
        </w:rPr>
        <w:tab/>
      </w:r>
      <w:r>
        <w:rPr>
          <w:rFonts w:eastAsia="Times New Roman"/>
          <w:spacing w:val="-4"/>
        </w:rPr>
        <w:tab/>
      </w:r>
      <w:r>
        <w:rPr>
          <w:rFonts w:eastAsia="Times New Roman"/>
          <w:spacing w:val="-4"/>
        </w:rPr>
        <w:tab/>
      </w:r>
      <w:r>
        <w:rPr>
          <w:rFonts w:eastAsia="Times New Roman"/>
          <w:spacing w:val="-4"/>
        </w:rPr>
        <w:tab/>
      </w:r>
      <w:r>
        <w:rPr>
          <w:rFonts w:eastAsia="Times New Roman"/>
          <w:spacing w:val="-4"/>
        </w:rPr>
        <w:tab/>
      </w:r>
      <w:r>
        <w:rPr>
          <w:rFonts w:eastAsia="Times New Roman"/>
          <w:spacing w:val="-4"/>
        </w:rPr>
        <w:tab/>
      </w:r>
      <w:r>
        <w:rPr>
          <w:rFonts w:eastAsia="Times New Roman"/>
          <w:spacing w:val="-4"/>
        </w:rPr>
        <w:tab/>
      </w:r>
      <w:r>
        <w:rPr>
          <w:rFonts w:eastAsia="Times New Roman"/>
          <w:spacing w:val="-4"/>
        </w:rPr>
        <w:tab/>
      </w:r>
      <w:r>
        <w:rPr>
          <w:rFonts w:eastAsia="Times New Roman"/>
          <w:spacing w:val="-4"/>
        </w:rPr>
        <w:tab/>
      </w:r>
      <w:r>
        <w:rPr>
          <w:rFonts w:eastAsia="Times New Roman"/>
          <w:spacing w:val="-4"/>
        </w:rPr>
        <w:tab/>
      </w:r>
      <w:r>
        <w:rPr>
          <w:rFonts w:eastAsia="Times New Roman"/>
          <w:spacing w:val="-4"/>
        </w:rPr>
        <w:tab/>
      </w:r>
    </w:p>
    <w:p w:rsidR="00702472" w:rsidP="00702472" w:rsidRDefault="00702472" w14:paraId="730862C2" w14:textId="73A5EA6F">
      <w:pPr>
        <w:tabs>
          <w:tab w:val="left" w:pos="5040"/>
        </w:tabs>
        <w:jc w:val="left"/>
        <w:rPr>
          <w:rFonts w:eastAsia="Times New Roman"/>
          <w:spacing w:val="-4"/>
        </w:rPr>
      </w:pPr>
      <w:r>
        <w:rPr>
          <w:rFonts w:eastAsia="Times New Roman"/>
          <w:spacing w:val="-4"/>
        </w:rPr>
        <w:tab/>
      </w:r>
      <w:r>
        <w:rPr>
          <w:rFonts w:eastAsia="Times New Roman"/>
          <w:spacing w:val="-4"/>
        </w:rPr>
        <w:tab/>
      </w:r>
      <w:bookmarkStart w:name="_DV_M778" w:id="549"/>
      <w:bookmarkEnd w:id="549"/>
      <w:r>
        <w:rPr>
          <w:rFonts w:eastAsia="Times New Roman"/>
          <w:spacing w:val="-4"/>
        </w:rPr>
        <w:tab/>
      </w:r>
      <w:r>
        <w:rPr>
          <w:rFonts w:eastAsia="Times New Roman"/>
          <w:spacing w:val="-4"/>
        </w:rPr>
        <w:tab/>
      </w:r>
      <w:r>
        <w:rPr>
          <w:rFonts w:eastAsia="Times New Roman"/>
          <w:spacing w:val="-4"/>
        </w:rPr>
        <w:tab/>
      </w:r>
      <w:r>
        <w:rPr>
          <w:rFonts w:eastAsia="Times New Roman"/>
          <w:spacing w:val="-4"/>
        </w:rPr>
        <w:tab/>
      </w:r>
      <w:r>
        <w:rPr>
          <w:rFonts w:eastAsia="Times New Roman"/>
          <w:spacing w:val="-4"/>
        </w:rPr>
        <w:tab/>
      </w:r>
      <w:r>
        <w:rPr>
          <w:rFonts w:eastAsia="Times New Roman"/>
          <w:spacing w:val="-4"/>
        </w:rPr>
        <w:tab/>
      </w:r>
      <w:r>
        <w:rPr>
          <w:rFonts w:eastAsia="Times New Roman"/>
          <w:spacing w:val="-4"/>
        </w:rPr>
        <w:tab/>
      </w:r>
      <w:r>
        <w:rPr>
          <w:rFonts w:eastAsia="Times New Roman"/>
          <w:spacing w:val="-4"/>
        </w:rPr>
        <w:tab/>
      </w:r>
    </w:p>
    <w:p w:rsidR="00702472" w:rsidP="00702472" w:rsidRDefault="00702472" w14:paraId="23C19095" w14:textId="77777777">
      <w:pPr>
        <w:tabs>
          <w:tab w:val="left" w:pos="5040"/>
        </w:tabs>
        <w:jc w:val="left"/>
        <w:rPr>
          <w:rFonts w:eastAsia="Times New Roman"/>
          <w:spacing w:val="-4"/>
        </w:rPr>
      </w:pPr>
    </w:p>
    <w:p w:rsidRPr="006C43AC" w:rsidR="00702472" w:rsidP="00702472" w:rsidRDefault="00702472" w14:paraId="53D47161" w14:textId="77777777">
      <w:pPr>
        <w:tabs>
          <w:tab w:val="left" w:pos="5040"/>
        </w:tabs>
        <w:jc w:val="left"/>
        <w:rPr>
          <w:rFonts w:eastAsia="Times New Roman"/>
          <w:spacing w:val="-4"/>
        </w:rPr>
        <w:sectPr w:rsidRPr="006C43AC" w:rsidR="00702472" w:rsidSect="005B310E">
          <w:headerReference w:type="default" r:id="rId46"/>
          <w:footerReference w:type="default" r:id="rId47"/>
          <w:pgSz w:w="12240" w:h="15840" w:code="1"/>
          <w:pgMar w:top="1080" w:right="1008" w:bottom="936" w:left="1224" w:header="432" w:footer="576" w:gutter="0"/>
          <w:cols w:space="720"/>
          <w:noEndnote/>
        </w:sectPr>
      </w:pPr>
    </w:p>
    <w:p w:rsidRPr="00BE07C6" w:rsidR="00196C17" w:rsidP="00196C17" w:rsidRDefault="00196C17" w14:paraId="06285ED3" w14:textId="4B88A98B">
      <w:pPr>
        <w:spacing w:after="240"/>
        <w:jc w:val="center"/>
        <w:outlineLvl w:val="3"/>
        <w:rPr>
          <w:rFonts w:ascii="Arial Bold" w:hAnsi="Arial Bold" w:eastAsia="Calibri"/>
          <w:b/>
          <w:caps/>
        </w:rPr>
      </w:pPr>
      <w:bookmarkStart w:name="_DV_M779" w:id="550"/>
      <w:bookmarkEnd w:id="550"/>
      <w:r>
        <w:rPr>
          <w:rFonts w:ascii="Arial Bold" w:hAnsi="Arial Bold" w:eastAsia="Calibri"/>
          <w:b/>
          <w:caps/>
        </w:rPr>
        <w:lastRenderedPageBreak/>
        <w:t>Annex 1</w:t>
      </w:r>
    </w:p>
    <w:p w:rsidRPr="00BE07C6" w:rsidR="00196C17" w:rsidP="00196C17" w:rsidRDefault="00196C17" w14:paraId="3CE05BA3" w14:textId="5C3A7802">
      <w:pPr>
        <w:jc w:val="center"/>
        <w:rPr>
          <w:rFonts w:ascii="Arial Bold" w:hAnsi="Arial Bold" w:eastAsia="Calibri"/>
          <w:b/>
          <w:caps/>
        </w:rPr>
      </w:pPr>
      <w:bookmarkStart w:name="_DV_M780" w:id="551"/>
      <w:bookmarkEnd w:id="551"/>
      <w:r>
        <w:rPr>
          <w:rFonts w:ascii="Arial Bold" w:hAnsi="Arial Bold" w:eastAsia="Calibri"/>
          <w:b/>
          <w:caps/>
        </w:rPr>
        <w:t>Form of Sight Draft</w:t>
      </w:r>
    </w:p>
    <w:p w:rsidR="00196C17" w:rsidP="00196C17" w:rsidRDefault="00196C17" w14:paraId="33A12911" w14:textId="77777777">
      <w:pPr>
        <w:jc w:val="center"/>
        <w:rPr>
          <w:rFonts w:eastAsia="Times New Roman"/>
          <w:highlight w:val="yellow"/>
        </w:rPr>
      </w:pPr>
    </w:p>
    <w:p w:rsidRPr="006C43AC" w:rsidR="001E2C34" w:rsidP="001E2C34" w:rsidRDefault="001E2C34" w14:paraId="2D41D436" w14:textId="39CB0735">
      <w:pPr>
        <w:jc w:val="left"/>
        <w:rPr>
          <w:rFonts w:eastAsia="Times New Roman"/>
        </w:rPr>
      </w:pPr>
      <w:r>
        <w:rPr>
          <w:rFonts w:eastAsia="Times New Roman"/>
          <w:highlight w:val="yellow"/>
        </w:rPr>
        <w:t>[Insert Place</w:t>
      </w:r>
      <w:r>
        <w:rPr>
          <w:rFonts w:eastAsia="Times New Roman"/>
        </w:rPr>
        <w:t>], [</w:t>
      </w:r>
      <w:r>
        <w:rPr>
          <w:rFonts w:eastAsia="Times New Roman"/>
          <w:highlight w:val="yellow"/>
        </w:rPr>
        <w:t>Insert Date</w:t>
      </w:r>
      <w:r>
        <w:rPr>
          <w:rFonts w:eastAsia="Times New Roman"/>
        </w:rPr>
        <w:t>]</w:t>
      </w:r>
    </w:p>
    <w:p w:rsidRPr="006C43AC" w:rsidR="001E2C34" w:rsidP="001E2C34" w:rsidRDefault="001E2C34" w14:paraId="5176E56C" w14:textId="77777777">
      <w:pPr>
        <w:jc w:val="left"/>
        <w:rPr>
          <w:rFonts w:eastAsia="Times New Roman"/>
        </w:rPr>
      </w:pPr>
    </w:p>
    <w:p w:rsidRPr="006C43AC" w:rsidR="001E2C34" w:rsidP="001E2C34" w:rsidRDefault="001E2C34" w14:paraId="594C36DA" w14:textId="77777777">
      <w:pPr>
        <w:tabs>
          <w:tab w:val="left" w:pos="1440"/>
        </w:tabs>
        <w:jc w:val="left"/>
        <w:rPr>
          <w:rFonts w:eastAsia="Times New Roman"/>
        </w:rPr>
      </w:pPr>
      <w:bookmarkStart w:name="_DV_M782" w:id="552"/>
      <w:bookmarkEnd w:id="552"/>
      <w:r>
        <w:rPr>
          <w:rFonts w:eastAsia="Times New Roman"/>
        </w:rPr>
        <w:t>Amount:</w:t>
      </w:r>
      <w:r>
        <w:rPr>
          <w:rFonts w:eastAsia="Times New Roman"/>
        </w:rPr>
        <w:tab/>
        <w:t>[</w:t>
      </w:r>
      <w:r>
        <w:rPr>
          <w:rFonts w:eastAsia="Times New Roman"/>
          <w:highlight w:val="yellow"/>
        </w:rPr>
        <w:t>Insert Currency</w:t>
      </w:r>
      <w:r>
        <w:rPr>
          <w:rFonts w:eastAsia="Times New Roman"/>
        </w:rPr>
        <w:t>] [</w:t>
      </w:r>
      <w:r>
        <w:rPr>
          <w:rFonts w:eastAsia="Times New Roman"/>
          <w:highlight w:val="yellow"/>
        </w:rPr>
        <w:t>Insert Amount in Numbers</w:t>
      </w:r>
      <w:r>
        <w:rPr>
          <w:rFonts w:eastAsia="Times New Roman"/>
        </w:rPr>
        <w:t>]</w:t>
      </w:r>
    </w:p>
    <w:p w:rsidRPr="006C43AC" w:rsidR="001E2C34" w:rsidP="001E2C34" w:rsidRDefault="001E2C34" w14:paraId="5BE12222" w14:textId="77777777">
      <w:pPr>
        <w:tabs>
          <w:tab w:val="left" w:pos="720"/>
          <w:tab w:val="left" w:pos="1440"/>
        </w:tabs>
        <w:jc w:val="left"/>
        <w:rPr>
          <w:rFonts w:eastAsia="Times New Roman"/>
        </w:rPr>
      </w:pPr>
      <w:bookmarkStart w:name="_DV_M783" w:id="553"/>
      <w:bookmarkEnd w:id="553"/>
      <w:r>
        <w:rPr>
          <w:rFonts w:eastAsia="Times New Roman"/>
        </w:rPr>
        <w:tab/>
      </w:r>
      <w:r>
        <w:rPr>
          <w:rFonts w:eastAsia="Times New Roman"/>
        </w:rPr>
        <w:tab/>
      </w:r>
      <w:r>
        <w:rPr>
          <w:rFonts w:eastAsia="Times New Roman"/>
        </w:rPr>
        <w:tab/>
        <w:t>[</w:t>
      </w:r>
      <w:r>
        <w:rPr>
          <w:rFonts w:eastAsia="Times New Roman"/>
          <w:highlight w:val="yellow"/>
        </w:rPr>
        <w:t>Insert Amount in Letters</w:t>
      </w:r>
      <w:r>
        <w:rPr>
          <w:rFonts w:eastAsia="Times New Roman"/>
        </w:rPr>
        <w:t>]</w:t>
      </w:r>
    </w:p>
    <w:p w:rsidRPr="006C43AC" w:rsidR="001E2C34" w:rsidP="001E2C34" w:rsidRDefault="001E2C34" w14:paraId="66E7637E" w14:textId="77777777">
      <w:pPr>
        <w:jc w:val="left"/>
        <w:rPr>
          <w:rFonts w:eastAsia="Times New Roman"/>
        </w:rPr>
      </w:pPr>
    </w:p>
    <w:p w:rsidRPr="006C43AC" w:rsidR="001E2C34" w:rsidP="001E2C34" w:rsidRDefault="001E2C34" w14:paraId="55E0BD40" w14:textId="77777777">
      <w:pPr>
        <w:jc w:val="left"/>
        <w:rPr>
          <w:rFonts w:eastAsia="Times New Roman"/>
        </w:rPr>
      </w:pPr>
      <w:bookmarkStart w:name="_DV_M784" w:id="554"/>
      <w:bookmarkEnd w:id="554"/>
      <w:r>
        <w:rPr>
          <w:rFonts w:eastAsia="Times New Roman"/>
        </w:rPr>
        <w:t>Drawn under Irrevocable Standby Letter of Credit No. ___________ of [</w:t>
      </w:r>
      <w:r>
        <w:rPr>
          <w:rFonts w:eastAsia="Times New Roman"/>
          <w:highlight w:val="yellow"/>
        </w:rPr>
        <w:t>Insert Name of Issuing Bank</w:t>
      </w:r>
      <w:r>
        <w:rPr>
          <w:rFonts w:eastAsia="Times New Roman"/>
        </w:rPr>
        <w:t>]</w:t>
      </w:r>
    </w:p>
    <w:p w:rsidRPr="006C43AC" w:rsidR="001E2C34" w:rsidP="001E2C34" w:rsidRDefault="001E2C34" w14:paraId="29C93058" w14:textId="77777777">
      <w:pPr>
        <w:jc w:val="left"/>
        <w:rPr>
          <w:rFonts w:eastAsia="Times New Roman"/>
        </w:rPr>
      </w:pPr>
    </w:p>
    <w:p w:rsidRPr="006C43AC" w:rsidR="001E2C34" w:rsidP="001E2C34" w:rsidRDefault="001E2C34" w14:paraId="26506F9F" w14:textId="77777777">
      <w:pPr>
        <w:jc w:val="left"/>
        <w:rPr>
          <w:rFonts w:eastAsia="Times New Roman"/>
        </w:rPr>
      </w:pPr>
      <w:bookmarkStart w:name="_DV_M785" w:id="555"/>
      <w:bookmarkEnd w:id="555"/>
      <w:r>
        <w:rPr>
          <w:rFonts w:eastAsia="Times New Roman"/>
        </w:rPr>
        <w:t>At Sight</w:t>
      </w:r>
    </w:p>
    <w:p w:rsidRPr="006C43AC" w:rsidR="001E2C34" w:rsidP="001E2C34" w:rsidRDefault="001E2C34" w14:paraId="76D6DD75" w14:textId="77777777">
      <w:pPr>
        <w:jc w:val="left"/>
        <w:rPr>
          <w:rFonts w:eastAsia="Times New Roman"/>
        </w:rPr>
      </w:pPr>
    </w:p>
    <w:p w:rsidRPr="006C43AC" w:rsidR="001E2C34" w:rsidP="001E2C34" w:rsidRDefault="001E2C34" w14:paraId="2BFAC246" w14:textId="77777777">
      <w:pPr>
        <w:jc w:val="left"/>
        <w:rPr>
          <w:rFonts w:eastAsia="Times New Roman"/>
        </w:rPr>
      </w:pPr>
      <w:bookmarkStart w:name="_DV_M786" w:id="556"/>
      <w:bookmarkEnd w:id="556"/>
      <w:r>
        <w:rPr>
          <w:rFonts w:eastAsia="Times New Roman"/>
        </w:rPr>
        <w:t>Pay to the Order of [</w:t>
      </w:r>
      <w:r>
        <w:rPr>
          <w:rFonts w:eastAsia="Times New Roman"/>
          <w:highlight w:val="yellow"/>
        </w:rPr>
        <w:t>Name of Beneficiary</w:t>
      </w:r>
      <w:r>
        <w:rPr>
          <w:rFonts w:eastAsia="Times New Roman"/>
        </w:rPr>
        <w:t>]</w:t>
      </w:r>
    </w:p>
    <w:p w:rsidRPr="006C43AC" w:rsidR="001E2C34" w:rsidP="001E2C34" w:rsidRDefault="001E2C34" w14:paraId="4DFBB924" w14:textId="77777777">
      <w:pPr>
        <w:jc w:val="left"/>
        <w:rPr>
          <w:rFonts w:eastAsia="Times New Roman"/>
        </w:rPr>
      </w:pPr>
    </w:p>
    <w:p w:rsidRPr="006C43AC" w:rsidR="001E2C34" w:rsidP="001E2C34" w:rsidRDefault="001E2C34" w14:paraId="4CFA7F61" w14:textId="77777777">
      <w:pPr>
        <w:jc w:val="left"/>
        <w:rPr>
          <w:rFonts w:eastAsia="Times New Roman"/>
        </w:rPr>
      </w:pPr>
      <w:bookmarkStart w:name="_DV_M787" w:id="557"/>
      <w:bookmarkEnd w:id="557"/>
      <w:r>
        <w:rPr>
          <w:rFonts w:eastAsia="Times New Roman"/>
        </w:rPr>
        <w:t>In reference to:</w:t>
      </w:r>
      <w:r>
        <w:rPr>
          <w:rFonts w:eastAsia="Times New Roman"/>
        </w:rPr>
        <w:tab/>
        <w:t>Irrevocable Standby Letter of Credit No. ____________, dated ________.</w:t>
      </w:r>
    </w:p>
    <w:p w:rsidRPr="006C43AC" w:rsidR="001E2C34" w:rsidP="001E2C34" w:rsidRDefault="001E2C34" w14:paraId="40F59C42" w14:textId="77777777">
      <w:pPr>
        <w:jc w:val="left"/>
        <w:rPr>
          <w:rFonts w:eastAsia="Times New Roman"/>
        </w:rPr>
      </w:pPr>
    </w:p>
    <w:p w:rsidRPr="006C43AC" w:rsidR="001E2C34" w:rsidP="001E2C34" w:rsidRDefault="001E2C34" w14:paraId="297858A9" w14:textId="77777777">
      <w:pPr>
        <w:jc w:val="left"/>
        <w:rPr>
          <w:rFonts w:eastAsia="Times New Roman"/>
        </w:rPr>
      </w:pPr>
    </w:p>
    <w:p w:rsidRPr="006C43AC" w:rsidR="001E2C34" w:rsidP="001E2C34" w:rsidRDefault="001E2C34" w14:paraId="08EE0638" w14:textId="77777777">
      <w:pPr>
        <w:tabs>
          <w:tab w:val="left" w:pos="720"/>
        </w:tabs>
        <w:jc w:val="left"/>
        <w:rPr>
          <w:rFonts w:eastAsia="Times New Roman"/>
        </w:rPr>
      </w:pPr>
      <w:bookmarkStart w:name="_DV_M788" w:id="558"/>
      <w:bookmarkEnd w:id="558"/>
      <w:r>
        <w:rPr>
          <w:rFonts w:eastAsia="Times New Roman"/>
        </w:rPr>
        <w:t>To:</w:t>
      </w:r>
      <w:r>
        <w:rPr>
          <w:rFonts w:eastAsia="Times New Roman"/>
        </w:rPr>
        <w:tab/>
        <w:t>[</w:t>
      </w:r>
      <w:r>
        <w:rPr>
          <w:rFonts w:eastAsia="Times New Roman"/>
          <w:highlight w:val="yellow"/>
        </w:rPr>
        <w:t>Insert Name of Issuing Bank</w:t>
      </w:r>
      <w:r>
        <w:rPr>
          <w:rFonts w:eastAsia="Times New Roman"/>
        </w:rPr>
        <w:t>]</w:t>
      </w:r>
    </w:p>
    <w:p w:rsidRPr="006C43AC" w:rsidR="001E2C34" w:rsidP="001E2C34" w:rsidRDefault="001E2C34" w14:paraId="2E713603" w14:textId="77777777">
      <w:pPr>
        <w:tabs>
          <w:tab w:val="left" w:pos="720"/>
        </w:tabs>
        <w:jc w:val="left"/>
        <w:rPr>
          <w:rFonts w:eastAsia="Times New Roman"/>
        </w:rPr>
      </w:pPr>
      <w:r>
        <w:rPr>
          <w:rFonts w:eastAsia="Times New Roman"/>
        </w:rPr>
        <w:tab/>
        <w:t>[</w:t>
      </w:r>
      <w:r>
        <w:rPr>
          <w:rFonts w:eastAsia="Times New Roman"/>
          <w:highlight w:val="yellow"/>
        </w:rPr>
        <w:t>Insert Address</w:t>
      </w:r>
      <w:r>
        <w:rPr>
          <w:rFonts w:eastAsia="Times New Roman"/>
        </w:rPr>
        <w:t>]</w:t>
      </w:r>
    </w:p>
    <w:p w:rsidRPr="006C43AC" w:rsidR="001E2C34" w:rsidP="001E2C34" w:rsidRDefault="001E2C34" w14:paraId="4831D640" w14:textId="77777777">
      <w:pPr>
        <w:jc w:val="left"/>
        <w:rPr>
          <w:rFonts w:eastAsia="Times New Roman"/>
        </w:rPr>
      </w:pPr>
    </w:p>
    <w:p w:rsidRPr="006C43AC" w:rsidR="001E2C34" w:rsidP="001E2C34" w:rsidRDefault="001E2C34" w14:paraId="3AF521D4" w14:textId="77777777">
      <w:pPr>
        <w:ind w:left="5040"/>
        <w:jc w:val="left"/>
        <w:rPr>
          <w:rFonts w:eastAsia="Times New Roman"/>
        </w:rPr>
      </w:pPr>
      <w:r>
        <w:rPr>
          <w:rFonts w:eastAsia="Times New Roman"/>
        </w:rPr>
        <w:t>[</w:t>
      </w:r>
      <w:r>
        <w:rPr>
          <w:rFonts w:eastAsia="Times New Roman"/>
          <w:highlight w:val="yellow"/>
        </w:rPr>
        <w:t>BENEFICIARY</w:t>
      </w:r>
      <w:r>
        <w:rPr>
          <w:rFonts w:eastAsia="Times New Roman"/>
        </w:rPr>
        <w:t>]</w:t>
      </w:r>
    </w:p>
    <w:p w:rsidRPr="006C43AC" w:rsidR="001E2C34" w:rsidP="001E2C34" w:rsidRDefault="001E2C34" w14:paraId="691F8DEA" w14:textId="77777777">
      <w:pPr>
        <w:ind w:left="5040"/>
        <w:jc w:val="left"/>
        <w:rPr>
          <w:rFonts w:eastAsia="Times New Roman"/>
        </w:rPr>
      </w:pPr>
    </w:p>
    <w:p w:rsidRPr="006C43AC" w:rsidR="001E2C34" w:rsidP="001E2C34" w:rsidRDefault="001E2C34" w14:paraId="7A944A48" w14:textId="77777777">
      <w:pPr>
        <w:ind w:left="5040"/>
        <w:jc w:val="left"/>
        <w:rPr>
          <w:rFonts w:eastAsia="Times New Roman"/>
        </w:rPr>
      </w:pPr>
    </w:p>
    <w:p w:rsidRPr="006C43AC" w:rsidR="001E2C34" w:rsidP="001E2C34" w:rsidRDefault="001E2C34" w14:paraId="25F2AB29" w14:textId="77777777">
      <w:pPr>
        <w:ind w:left="5040"/>
        <w:jc w:val="left"/>
        <w:rPr>
          <w:rFonts w:eastAsia="Times New Roman"/>
        </w:rPr>
      </w:pPr>
    </w:p>
    <w:p w:rsidRPr="006C43AC" w:rsidR="001E2C34" w:rsidP="001E2C34" w:rsidRDefault="001E2C34" w14:paraId="699D193C" w14:textId="77777777">
      <w:pPr>
        <w:ind w:left="5040"/>
        <w:jc w:val="left"/>
        <w:rPr>
          <w:rFonts w:eastAsia="Times New Roman"/>
        </w:rPr>
      </w:pPr>
    </w:p>
    <w:p w:rsidRPr="006C43AC" w:rsidR="001E2C34" w:rsidP="001E2C34" w:rsidRDefault="001E2C34" w14:paraId="4ADE0EBA" w14:textId="77777777">
      <w:pPr>
        <w:tabs>
          <w:tab w:val="right" w:pos="9360"/>
        </w:tabs>
        <w:ind w:left="5040"/>
        <w:jc w:val="left"/>
        <w:rPr>
          <w:rFonts w:eastAsia="Times New Roman"/>
        </w:rPr>
      </w:pPr>
      <w:r>
        <w:rPr>
          <w:rFonts w:eastAsia="Times New Roman"/>
        </w:rPr>
        <w:t>By:</w:t>
      </w:r>
      <w:r>
        <w:rPr>
          <w:rFonts w:eastAsia="Times New Roman"/>
          <w:u w:val="single"/>
        </w:rPr>
        <w:tab/>
      </w:r>
    </w:p>
    <w:p w:rsidRPr="006C43AC" w:rsidR="001E2C34" w:rsidP="001E2C34" w:rsidRDefault="001E2C34" w14:paraId="43E7E00B" w14:textId="77777777">
      <w:pPr>
        <w:tabs>
          <w:tab w:val="right" w:pos="9360"/>
        </w:tabs>
        <w:ind w:left="5040"/>
        <w:jc w:val="left"/>
        <w:rPr>
          <w:rFonts w:eastAsia="Times New Roman"/>
        </w:rPr>
      </w:pPr>
      <w:r>
        <w:rPr>
          <w:rFonts w:eastAsia="Times New Roman"/>
        </w:rPr>
        <w:t xml:space="preserve"> </w:t>
      </w:r>
    </w:p>
    <w:p w:rsidRPr="006C43AC" w:rsidR="001E2C34" w:rsidP="001E2C34" w:rsidRDefault="001E2C34" w14:paraId="318AE41B" w14:textId="77777777">
      <w:pPr>
        <w:tabs>
          <w:tab w:val="right" w:pos="9360"/>
        </w:tabs>
        <w:ind w:left="5040"/>
        <w:jc w:val="left"/>
        <w:rPr>
          <w:rFonts w:eastAsia="Times New Roman"/>
        </w:rPr>
      </w:pPr>
      <w:r>
        <w:rPr>
          <w:rFonts w:eastAsia="Times New Roman"/>
        </w:rPr>
        <w:t>Title:</w:t>
      </w:r>
      <w:r>
        <w:rPr>
          <w:rFonts w:eastAsia="Times New Roman"/>
          <w:u w:val="single"/>
        </w:rPr>
        <w:tab/>
      </w:r>
    </w:p>
    <w:p w:rsidRPr="006C43AC" w:rsidR="00702472" w:rsidP="00702472" w:rsidRDefault="00702472" w14:paraId="2DA59CE9" w14:textId="77777777">
      <w:pPr>
        <w:rPr>
          <w:rFonts w:eastAsia="Times New Roman"/>
          <w:spacing w:val="-4"/>
        </w:rPr>
        <w:sectPr w:rsidRPr="006C43AC" w:rsidR="00702472" w:rsidSect="005B310E">
          <w:headerReference w:type="even" r:id="rId48"/>
          <w:headerReference w:type="default" r:id="rId49"/>
          <w:footerReference w:type="default" r:id="rId50"/>
          <w:headerReference w:type="first" r:id="rId51"/>
          <w:pgSz w:w="12240" w:h="15840" w:code="1"/>
          <w:pgMar w:top="1080" w:right="1008" w:bottom="936" w:left="1224" w:header="432" w:footer="576" w:gutter="0"/>
          <w:cols w:space="720"/>
          <w:noEndnote/>
        </w:sectPr>
      </w:pPr>
    </w:p>
    <w:p w:rsidRPr="00BE07C6" w:rsidR="004E6D89" w:rsidP="004E6D89" w:rsidRDefault="004E6D89" w14:paraId="6E200630" w14:textId="1F7EB0CF">
      <w:pPr>
        <w:spacing w:after="240"/>
        <w:jc w:val="center"/>
        <w:outlineLvl w:val="3"/>
        <w:rPr>
          <w:rFonts w:ascii="Arial Bold" w:hAnsi="Arial Bold" w:eastAsia="Calibri"/>
          <w:b/>
          <w:caps/>
        </w:rPr>
      </w:pPr>
      <w:r>
        <w:rPr>
          <w:rFonts w:ascii="Arial Bold" w:hAnsi="Arial Bold" w:eastAsia="Calibri"/>
          <w:b/>
          <w:caps/>
        </w:rPr>
        <w:lastRenderedPageBreak/>
        <w:t>Annex 2</w:t>
      </w:r>
    </w:p>
    <w:p w:rsidRPr="00BE07C6" w:rsidR="004E6D89" w:rsidP="004E6D89" w:rsidRDefault="004E6D89" w14:paraId="5D9A60D6" w14:textId="169DE557">
      <w:pPr>
        <w:spacing w:after="240"/>
        <w:jc w:val="center"/>
        <w:outlineLvl w:val="3"/>
        <w:rPr>
          <w:rFonts w:ascii="Arial Bold" w:hAnsi="Arial Bold" w:eastAsia="Calibri"/>
          <w:b/>
          <w:caps/>
        </w:rPr>
      </w:pPr>
      <w:r>
        <w:rPr>
          <w:rFonts w:ascii="Arial Bold" w:hAnsi="Arial Bold" w:eastAsia="Calibri"/>
          <w:b/>
          <w:caps/>
        </w:rPr>
        <w:t>Form of Certificate</w:t>
      </w:r>
    </w:p>
    <w:p w:rsidRPr="006C43AC" w:rsidR="004E6D89" w:rsidP="004E6D89" w:rsidRDefault="004E6D89" w14:paraId="0681E642" w14:textId="77777777">
      <w:pPr>
        <w:ind w:left="720" w:hanging="720"/>
        <w:jc w:val="left"/>
        <w:rPr>
          <w:rFonts w:eastAsia="Times New Roman"/>
        </w:rPr>
      </w:pPr>
    </w:p>
    <w:p w:rsidRPr="006C43AC" w:rsidR="004E6D89" w:rsidP="004E6D89" w:rsidRDefault="004E6D89" w14:paraId="406B36C3" w14:textId="77777777">
      <w:pPr>
        <w:ind w:left="720" w:hanging="720"/>
        <w:rPr>
          <w:rFonts w:eastAsia="Times New Roman"/>
        </w:rPr>
      </w:pPr>
      <w:r>
        <w:rPr>
          <w:rFonts w:eastAsia="Times New Roman"/>
        </w:rPr>
        <w:t>Re:</w:t>
      </w:r>
      <w:r>
        <w:rPr>
          <w:rFonts w:eastAsia="Times New Roman"/>
        </w:rPr>
        <w:tab/>
        <w:t>[Insert Name of Agreement] dated _________, 20__ (“</w:t>
      </w:r>
      <w:r>
        <w:rPr>
          <w:rFonts w:eastAsia="Times New Roman"/>
          <w:b/>
        </w:rPr>
        <w:t>Agreement</w:t>
      </w:r>
      <w:r>
        <w:rPr>
          <w:rFonts w:eastAsia="Times New Roman"/>
        </w:rPr>
        <w:t>”) between [Name of Account Party] (“[</w:t>
      </w:r>
      <w:r>
        <w:rPr>
          <w:rFonts w:eastAsia="Times New Roman"/>
          <w:b/>
          <w:highlight w:val="yellow"/>
        </w:rPr>
        <w:t>Account Party</w:t>
      </w:r>
      <w:r>
        <w:rPr>
          <w:rFonts w:eastAsia="Times New Roman"/>
        </w:rPr>
        <w:t>]”) and [</w:t>
      </w:r>
      <w:r>
        <w:rPr>
          <w:rFonts w:eastAsia="Times New Roman"/>
          <w:highlight w:val="yellow"/>
        </w:rPr>
        <w:t>Name of Beneficiary</w:t>
      </w:r>
      <w:r>
        <w:rPr>
          <w:rFonts w:eastAsia="Times New Roman"/>
        </w:rPr>
        <w:t>] (“[</w:t>
      </w:r>
      <w:r>
        <w:rPr>
          <w:rFonts w:eastAsia="Times New Roman"/>
          <w:b/>
          <w:highlight w:val="yellow"/>
        </w:rPr>
        <w:t>Beneficiary</w:t>
      </w:r>
      <w:r>
        <w:rPr>
          <w:rFonts w:eastAsia="Times New Roman"/>
        </w:rPr>
        <w:t>]”).</w:t>
      </w:r>
    </w:p>
    <w:p w:rsidRPr="006C43AC" w:rsidR="004E6D89" w:rsidP="004E6D89" w:rsidRDefault="004E6D89" w14:paraId="6C20A6F0" w14:textId="77777777">
      <w:pPr>
        <w:ind w:left="720" w:hanging="720"/>
        <w:rPr>
          <w:rFonts w:eastAsia="Times New Roman"/>
        </w:rPr>
      </w:pPr>
    </w:p>
    <w:p w:rsidRPr="006C43AC" w:rsidR="004E6D89" w:rsidP="004E6D89" w:rsidRDefault="004E6D89" w14:paraId="3BB125B2" w14:textId="77777777">
      <w:pPr>
        <w:tabs>
          <w:tab w:val="left" w:pos="720"/>
        </w:tabs>
        <w:ind w:firstLine="14"/>
        <w:rPr>
          <w:rFonts w:ascii="Calibri" w:hAnsi="Calibri" w:eastAsia="Times New Roman"/>
          <w:spacing w:val="-4"/>
        </w:rPr>
      </w:pPr>
      <w:r>
        <w:rPr>
          <w:rFonts w:eastAsia="Times New Roman"/>
          <w:spacing w:val="-4"/>
        </w:rPr>
        <w:tab/>
        <w:t>The undersigned, an officer or authorized representative of [Beneficiary], hereby certifies to [ISSUING BANK] (“</w:t>
      </w:r>
      <w:r>
        <w:rPr>
          <w:rFonts w:eastAsia="Times New Roman"/>
          <w:b/>
          <w:spacing w:val="-4"/>
        </w:rPr>
        <w:t>Bank</w:t>
      </w:r>
      <w:r>
        <w:rPr>
          <w:rFonts w:eastAsia="Times New Roman"/>
          <w:spacing w:val="-4"/>
        </w:rPr>
        <w:t>”) with reference to irrevocable standby letter of credit no. (“</w:t>
      </w:r>
      <w:r>
        <w:rPr>
          <w:rFonts w:eastAsia="Times New Roman"/>
          <w:b/>
          <w:spacing w:val="-4"/>
        </w:rPr>
        <w:t>Standby Letter of Credit</w:t>
      </w:r>
      <w:r>
        <w:rPr>
          <w:rFonts w:eastAsia="Times New Roman"/>
          <w:spacing w:val="-4"/>
        </w:rPr>
        <w:t>”), issued by the Bank for the account of [</w:t>
      </w:r>
      <w:r>
        <w:rPr>
          <w:rFonts w:eastAsia="Times New Roman"/>
          <w:spacing w:val="-4"/>
          <w:highlight w:val="yellow"/>
        </w:rPr>
        <w:t>Account Party</w:t>
      </w:r>
      <w:r>
        <w:rPr>
          <w:rFonts w:eastAsia="Times New Roman"/>
          <w:spacing w:val="-4"/>
        </w:rPr>
        <w:t>] in favor of [</w:t>
      </w:r>
      <w:r>
        <w:rPr>
          <w:rFonts w:eastAsia="Times New Roman"/>
          <w:spacing w:val="-4"/>
          <w:highlight w:val="yellow"/>
        </w:rPr>
        <w:t>Beneficiary</w:t>
      </w:r>
      <w:r>
        <w:rPr>
          <w:rFonts w:eastAsia="Times New Roman"/>
          <w:spacing w:val="-4"/>
        </w:rPr>
        <w:t>] that:</w:t>
      </w:r>
    </w:p>
    <w:p w:rsidRPr="006C43AC" w:rsidR="004E6D89" w:rsidP="004E6D89" w:rsidRDefault="004E6D89" w14:paraId="15FFF5B5" w14:textId="77777777">
      <w:pPr>
        <w:tabs>
          <w:tab w:val="left" w:pos="720"/>
          <w:tab w:val="left" w:pos="1440"/>
        </w:tabs>
        <w:rPr>
          <w:rFonts w:ascii="Calibri" w:hAnsi="Calibri" w:eastAsia="Times New Roman"/>
          <w:spacing w:val="-4"/>
        </w:rPr>
      </w:pPr>
      <w:r>
        <w:rPr>
          <w:rFonts w:eastAsia="Times New Roman"/>
          <w:spacing w:val="-4"/>
        </w:rPr>
        <w:tab/>
        <w:t>(1)</w:t>
      </w:r>
      <w:r>
        <w:rPr>
          <w:rFonts w:eastAsia="Times New Roman"/>
          <w:spacing w:val="-4"/>
        </w:rPr>
        <w:tab/>
        <w:t>(Insert one of the following, as applicable)</w:t>
      </w:r>
    </w:p>
    <w:p w:rsidRPr="006C43AC" w:rsidR="004E6D89" w:rsidP="004E6D89" w:rsidRDefault="004E6D89" w14:paraId="1781E4A4" w14:textId="77777777">
      <w:pPr>
        <w:tabs>
          <w:tab w:val="left" w:pos="720"/>
        </w:tabs>
        <w:ind w:firstLine="14"/>
        <w:rPr>
          <w:rFonts w:ascii="Calibri" w:hAnsi="Calibri" w:eastAsia="Times New Roman"/>
          <w:spacing w:val="-4"/>
        </w:rPr>
      </w:pPr>
      <w:r>
        <w:rPr>
          <w:rFonts w:eastAsia="Times New Roman"/>
          <w:spacing w:val="-4"/>
        </w:rPr>
        <w:tab/>
        <w:t>Under the Agreement, Beneficiary is entitled to demand payment under the Standby Letter of Credit in the amount of the sight draft accompanying this certificate.</w:t>
      </w:r>
    </w:p>
    <w:p w:rsidRPr="006C43AC" w:rsidR="004E6D89" w:rsidP="004E6D89" w:rsidRDefault="004E6D89" w14:paraId="6D2D30C8" w14:textId="77777777">
      <w:pPr>
        <w:rPr>
          <w:rFonts w:ascii="Calibri" w:hAnsi="Calibri" w:eastAsia="Times New Roman"/>
          <w:spacing w:val="-4"/>
        </w:rPr>
      </w:pPr>
      <w:r>
        <w:rPr>
          <w:rFonts w:eastAsia="Times New Roman"/>
          <w:spacing w:val="-4"/>
        </w:rPr>
        <w:t>or</w:t>
      </w:r>
    </w:p>
    <w:p w:rsidRPr="006C43AC" w:rsidR="004E6D89" w:rsidP="004E6D89" w:rsidRDefault="004E6D89" w14:paraId="79B55440" w14:textId="77777777">
      <w:pPr>
        <w:tabs>
          <w:tab w:val="left" w:pos="720"/>
        </w:tabs>
        <w:rPr>
          <w:rFonts w:ascii="Calibri" w:hAnsi="Calibri" w:eastAsia="Times New Roman"/>
          <w:spacing w:val="-4"/>
        </w:rPr>
      </w:pPr>
      <w:bookmarkStart w:name="_DV_M801" w:id="559"/>
      <w:bookmarkEnd w:id="559"/>
      <w:r>
        <w:rPr>
          <w:rFonts w:eastAsia="Times New Roman"/>
          <w:spacing w:val="-4"/>
        </w:rPr>
        <w:tab/>
      </w:r>
      <w:r>
        <w:rPr>
          <w:rFonts w:eastAsia="Times New Roman"/>
          <w:spacing w:val="-4"/>
          <w:highlight w:val="yellow"/>
        </w:rPr>
        <w:t>[Beneficiary]</w:t>
      </w:r>
      <w:r>
        <w:rPr>
          <w:rFonts w:eastAsia="Times New Roman"/>
          <w:spacing w:val="-4"/>
        </w:rPr>
        <w:t xml:space="preserve"> has received written notice from the Bank in accordance with the terms of the Standby Letter of Credit that the Bank has elected not to extend the Expiry Date of the Standby Letter of Credit for an additional period past its then Expiry Date and the Account Party has failed to deliver a substitute letter of credit in accordance with the terms of the Agreement.</w:t>
      </w:r>
    </w:p>
    <w:p w:rsidRPr="006C43AC" w:rsidR="004E6D89" w:rsidP="004E6D89" w:rsidRDefault="004E6D89" w14:paraId="3C6E1529" w14:textId="77777777">
      <w:pPr>
        <w:tabs>
          <w:tab w:val="left" w:pos="720"/>
          <w:tab w:val="left" w:pos="1440"/>
        </w:tabs>
        <w:ind w:firstLine="14"/>
        <w:rPr>
          <w:rFonts w:ascii="Calibri" w:hAnsi="Calibri" w:eastAsia="Times New Roman"/>
          <w:spacing w:val="-4"/>
        </w:rPr>
      </w:pPr>
      <w:bookmarkStart w:name="_DV_M802" w:id="560"/>
      <w:bookmarkEnd w:id="560"/>
      <w:r>
        <w:rPr>
          <w:rFonts w:eastAsia="Times New Roman"/>
          <w:spacing w:val="-4"/>
        </w:rPr>
        <w:tab/>
        <w:t>(2)</w:t>
      </w:r>
      <w:r>
        <w:rPr>
          <w:rFonts w:eastAsia="Times New Roman"/>
          <w:spacing w:val="-4"/>
        </w:rPr>
        <w:tab/>
        <w:t>The undersigned is an officer or authorized representative of [Beneficiary] and is authorized to execute and deliver this certificate and to draw upon the Standby Letter of Credit.</w:t>
      </w:r>
    </w:p>
    <w:p w:rsidRPr="006C43AC" w:rsidR="004E6D89" w:rsidP="004E6D89" w:rsidRDefault="004E6D89" w14:paraId="662E8DC0" w14:textId="77777777">
      <w:pPr>
        <w:tabs>
          <w:tab w:val="left" w:pos="720"/>
        </w:tabs>
        <w:ind w:firstLine="14"/>
        <w:rPr>
          <w:rFonts w:ascii="Calibri" w:hAnsi="Calibri" w:eastAsia="Times New Roman"/>
          <w:spacing w:val="-4"/>
        </w:rPr>
      </w:pPr>
      <w:bookmarkStart w:name="_DV_M803" w:id="561"/>
      <w:bookmarkEnd w:id="561"/>
      <w:r>
        <w:rPr>
          <w:rFonts w:eastAsia="Times New Roman"/>
          <w:spacing w:val="-4"/>
        </w:rPr>
        <w:tab/>
        <w:t>IN WITNESS WHEREOF, the undersigned has executed and delivered this Certificate as of this __ day of ________ , 20__.</w:t>
      </w:r>
    </w:p>
    <w:p w:rsidRPr="006C43AC" w:rsidR="004E6D89" w:rsidP="004E6D89" w:rsidRDefault="004E6D89" w14:paraId="2300E002" w14:textId="77777777">
      <w:pPr>
        <w:ind w:left="5040"/>
        <w:jc w:val="left"/>
        <w:rPr>
          <w:rFonts w:eastAsia="Times New Roman"/>
        </w:rPr>
      </w:pPr>
      <w:bookmarkStart w:name="_DV_M804" w:id="562"/>
      <w:bookmarkEnd w:id="562"/>
      <w:r>
        <w:rPr>
          <w:rFonts w:eastAsia="Times New Roman"/>
        </w:rPr>
        <w:t>[</w:t>
      </w:r>
      <w:r>
        <w:rPr>
          <w:rFonts w:eastAsia="Times New Roman"/>
          <w:highlight w:val="yellow"/>
        </w:rPr>
        <w:t>BENEFICIARY</w:t>
      </w:r>
      <w:r>
        <w:rPr>
          <w:rFonts w:eastAsia="Times New Roman"/>
        </w:rPr>
        <w:t>]</w:t>
      </w:r>
    </w:p>
    <w:p w:rsidRPr="006C43AC" w:rsidR="004E6D89" w:rsidP="004E6D89" w:rsidRDefault="004E6D89" w14:paraId="739E7DB9" w14:textId="77777777">
      <w:pPr>
        <w:ind w:left="5040"/>
        <w:jc w:val="left"/>
        <w:rPr>
          <w:rFonts w:eastAsia="Times New Roman"/>
        </w:rPr>
      </w:pPr>
    </w:p>
    <w:p w:rsidRPr="006C43AC" w:rsidR="004E6D89" w:rsidP="004E6D89" w:rsidRDefault="004E6D89" w14:paraId="224A099C" w14:textId="77777777">
      <w:pPr>
        <w:ind w:left="5040"/>
        <w:jc w:val="left"/>
        <w:rPr>
          <w:rFonts w:eastAsia="Times New Roman"/>
        </w:rPr>
      </w:pPr>
    </w:p>
    <w:p w:rsidRPr="006C43AC" w:rsidR="004E6D89" w:rsidP="004E6D89" w:rsidRDefault="004E6D89" w14:paraId="0D5F72A0" w14:textId="77777777">
      <w:pPr>
        <w:ind w:left="5040"/>
        <w:jc w:val="left"/>
        <w:rPr>
          <w:rFonts w:eastAsia="Times New Roman"/>
        </w:rPr>
      </w:pPr>
    </w:p>
    <w:p w:rsidRPr="006C43AC" w:rsidR="004E6D89" w:rsidP="004E6D89" w:rsidRDefault="004E6D89" w14:paraId="21BD2C82" w14:textId="77777777">
      <w:pPr>
        <w:tabs>
          <w:tab w:val="right" w:pos="9360"/>
        </w:tabs>
        <w:ind w:left="5040"/>
        <w:jc w:val="left"/>
        <w:rPr>
          <w:rFonts w:eastAsia="Times New Roman"/>
        </w:rPr>
      </w:pPr>
      <w:bookmarkStart w:name="_DV_M805" w:id="563"/>
      <w:bookmarkEnd w:id="563"/>
      <w:r>
        <w:rPr>
          <w:rFonts w:eastAsia="Times New Roman"/>
        </w:rPr>
        <w:t>By:</w:t>
      </w:r>
      <w:r>
        <w:rPr>
          <w:rFonts w:eastAsia="Times New Roman"/>
          <w:u w:val="single"/>
        </w:rPr>
        <w:tab/>
      </w:r>
    </w:p>
    <w:p w:rsidRPr="006C43AC" w:rsidR="004E6D89" w:rsidP="004E6D89" w:rsidRDefault="004E6D89" w14:paraId="71613C88" w14:textId="77777777">
      <w:pPr>
        <w:tabs>
          <w:tab w:val="right" w:pos="9360"/>
        </w:tabs>
        <w:ind w:left="5040"/>
        <w:jc w:val="left"/>
        <w:rPr>
          <w:rFonts w:eastAsia="Times New Roman"/>
        </w:rPr>
      </w:pPr>
      <w:bookmarkStart w:name="_DV_M806" w:id="564"/>
      <w:bookmarkEnd w:id="564"/>
      <w:r>
        <w:rPr>
          <w:rFonts w:eastAsia="Times New Roman"/>
        </w:rPr>
        <w:t xml:space="preserve"> </w:t>
      </w:r>
    </w:p>
    <w:p w:rsidRPr="006C43AC" w:rsidR="004E6D89" w:rsidP="004E6D89" w:rsidRDefault="004E6D89" w14:paraId="3A5C2E49" w14:textId="77777777">
      <w:pPr>
        <w:tabs>
          <w:tab w:val="right" w:pos="9360"/>
        </w:tabs>
        <w:ind w:left="5040"/>
        <w:jc w:val="left"/>
        <w:rPr>
          <w:rFonts w:eastAsia="Times New Roman"/>
        </w:rPr>
      </w:pPr>
      <w:bookmarkStart w:name="_DV_M807" w:id="565"/>
      <w:bookmarkEnd w:id="565"/>
      <w:r>
        <w:rPr>
          <w:rFonts w:eastAsia="Times New Roman"/>
        </w:rPr>
        <w:t>Title:</w:t>
      </w:r>
      <w:r>
        <w:rPr>
          <w:rFonts w:eastAsia="Times New Roman"/>
          <w:u w:val="single"/>
        </w:rPr>
        <w:tab/>
      </w:r>
    </w:p>
    <w:p w:rsidRPr="006C43AC" w:rsidR="004E6D89" w:rsidP="004E6D89" w:rsidRDefault="004E6D89" w14:paraId="7D686A2D" w14:textId="77777777">
      <w:pPr>
        <w:ind w:left="5040"/>
        <w:jc w:val="left"/>
        <w:rPr>
          <w:rFonts w:eastAsia="Times New Roman"/>
        </w:rPr>
      </w:pPr>
    </w:p>
    <w:p w:rsidRPr="006C43AC" w:rsidR="00702472" w:rsidP="00702472" w:rsidRDefault="00702472" w14:paraId="0FAD319E" w14:textId="77777777">
      <w:pPr>
        <w:ind w:left="5040"/>
        <w:jc w:val="left"/>
        <w:rPr>
          <w:rFonts w:eastAsia="Times New Roman"/>
        </w:rPr>
      </w:pPr>
    </w:p>
    <w:p w:rsidRPr="006C43AC" w:rsidR="00702472" w:rsidP="00702472" w:rsidRDefault="00702472" w14:paraId="0255306D" w14:textId="77777777">
      <w:pPr>
        <w:ind w:left="5040"/>
        <w:jc w:val="left"/>
        <w:rPr>
          <w:rFonts w:eastAsia="Times New Roman"/>
        </w:rPr>
      </w:pPr>
    </w:p>
    <w:p w:rsidR="00702472" w:rsidP="00702472" w:rsidRDefault="00702472" w14:paraId="192F77A7" w14:textId="77777777">
      <w:pPr>
        <w:spacing w:after="240"/>
        <w:rPr>
          <w:rFonts w:eastAsia="Times New Roman"/>
        </w:rPr>
      </w:pPr>
      <w:bookmarkStart w:name="_DV_M808" w:id="566"/>
      <w:bookmarkEnd w:id="566"/>
      <w:r>
        <w:rPr>
          <w:rFonts w:eastAsia="Times New Roman"/>
        </w:rPr>
        <w:br w:type="page"/>
      </w:r>
    </w:p>
    <w:p w:rsidRPr="00BE07C6" w:rsidR="00690C92" w:rsidP="00690C92" w:rsidRDefault="00690C92" w14:paraId="025FD177" w14:textId="2309FDC3">
      <w:pPr>
        <w:spacing w:after="240"/>
        <w:jc w:val="center"/>
        <w:outlineLvl w:val="3"/>
        <w:rPr>
          <w:rFonts w:ascii="Arial Bold" w:hAnsi="Arial Bold" w:eastAsia="Calibri"/>
          <w:b/>
          <w:caps/>
        </w:rPr>
      </w:pPr>
      <w:r>
        <w:rPr>
          <w:rFonts w:ascii="Arial Bold" w:hAnsi="Arial Bold" w:eastAsia="Calibri"/>
          <w:b/>
          <w:caps/>
        </w:rPr>
        <w:lastRenderedPageBreak/>
        <w:t>Annex 3</w:t>
      </w:r>
    </w:p>
    <w:p w:rsidRPr="00BE07C6" w:rsidR="00690C92" w:rsidP="002554F8" w:rsidRDefault="00690C92" w14:paraId="761F9830" w14:textId="19C1C62D">
      <w:pPr>
        <w:spacing w:after="240"/>
        <w:jc w:val="center"/>
        <w:outlineLvl w:val="3"/>
        <w:rPr>
          <w:rFonts w:ascii="Arial Bold" w:hAnsi="Arial Bold" w:eastAsia="Times New Roman"/>
          <w:caps/>
          <w:spacing w:val="-4"/>
        </w:rPr>
      </w:pPr>
      <w:r>
        <w:rPr>
          <w:rFonts w:ascii="Arial Bold" w:hAnsi="Arial Bold" w:eastAsia="Calibri"/>
          <w:b/>
          <w:caps/>
        </w:rPr>
        <w:t xml:space="preserve">Form of Instruction to </w:t>
      </w:r>
      <w:r>
        <w:rPr>
          <w:rFonts w:ascii="Arial Bold" w:hAnsi="Arial Bold" w:eastAsia="Calibri"/>
          <w:b/>
          <w:bCs/>
          <w:caps/>
        </w:rPr>
        <w:t xml:space="preserve">ASSIGN </w:t>
      </w:r>
      <w:r>
        <w:rPr>
          <w:rFonts w:ascii="Arial Bold" w:hAnsi="Arial Bold" w:eastAsia="Calibri"/>
          <w:b/>
          <w:caps/>
        </w:rPr>
        <w:t>in Entirety</w:t>
      </w:r>
      <w:bookmarkStart w:name="_DV_M809" w:id="567"/>
      <w:bookmarkStart w:name="_DV_M810" w:id="568"/>
      <w:bookmarkStart w:name="_DV_M811" w:id="569"/>
      <w:bookmarkEnd w:id="567"/>
      <w:bookmarkEnd w:id="568"/>
      <w:bookmarkEnd w:id="569"/>
    </w:p>
    <w:p w:rsidRPr="006C43AC" w:rsidR="00690C92" w:rsidP="00690C92" w:rsidRDefault="00690C92" w14:paraId="351E733B" w14:textId="77777777">
      <w:pPr>
        <w:tabs>
          <w:tab w:val="left" w:pos="0"/>
          <w:tab w:val="left" w:pos="720"/>
        </w:tabs>
        <w:jc w:val="left"/>
        <w:rPr>
          <w:rFonts w:eastAsia="Times New Roman"/>
        </w:rPr>
      </w:pPr>
      <w:r>
        <w:rPr>
          <w:rFonts w:eastAsia="Times New Roman"/>
        </w:rPr>
        <w:t>Re: Irrevocable Standby Letter of Credit No.</w:t>
      </w:r>
    </w:p>
    <w:p w:rsidRPr="006C43AC" w:rsidR="00690C92" w:rsidP="00690C92" w:rsidRDefault="00690C92" w14:paraId="6C3779C5" w14:textId="77777777">
      <w:pPr>
        <w:jc w:val="left"/>
        <w:rPr>
          <w:rFonts w:eastAsia="Times New Roman"/>
        </w:rPr>
      </w:pPr>
    </w:p>
    <w:p w:rsidRPr="006C43AC" w:rsidR="00690C92" w:rsidP="00690C92" w:rsidRDefault="00690C92" w14:paraId="27476484" w14:textId="77777777">
      <w:pPr>
        <w:jc w:val="left"/>
        <w:rPr>
          <w:rFonts w:eastAsia="Times New Roman"/>
        </w:rPr>
      </w:pPr>
      <w:bookmarkStart w:name="_DV_M812" w:id="570"/>
      <w:bookmarkEnd w:id="570"/>
      <w:r>
        <w:rPr>
          <w:rFonts w:eastAsia="Times New Roman"/>
        </w:rPr>
        <w:t>Ladies/Gentlemen:</w:t>
      </w:r>
    </w:p>
    <w:p w:rsidRPr="006C43AC" w:rsidR="00690C92" w:rsidP="00690C92" w:rsidRDefault="00690C92" w14:paraId="78E7EFCB" w14:textId="77777777">
      <w:pPr>
        <w:jc w:val="left"/>
        <w:rPr>
          <w:rFonts w:eastAsia="Times New Roman"/>
        </w:rPr>
      </w:pPr>
    </w:p>
    <w:p w:rsidRPr="006C43AC" w:rsidR="00690C92" w:rsidP="00690C92" w:rsidRDefault="00690C92" w14:paraId="74E748C3" w14:textId="447AAEAD">
      <w:pPr>
        <w:jc w:val="left"/>
        <w:rPr>
          <w:rFonts w:ascii="Calibri" w:hAnsi="Calibri" w:eastAsia="Times New Roman"/>
          <w:spacing w:val="-4"/>
        </w:rPr>
      </w:pPr>
      <w:bookmarkStart w:name="_DV_M813" w:id="571"/>
      <w:bookmarkEnd w:id="571"/>
      <w:r>
        <w:rPr>
          <w:rFonts w:eastAsia="Times New Roman"/>
          <w:spacing w:val="-4"/>
        </w:rPr>
        <w:t>For value received, the undersigned beneficiary hereby irrevocably assigns to:</w:t>
      </w:r>
    </w:p>
    <w:p w:rsidRPr="006C43AC" w:rsidR="00690C92" w:rsidP="00690C92" w:rsidRDefault="00690C92" w14:paraId="67DF5128" w14:textId="77777777">
      <w:pPr>
        <w:rPr>
          <w:rFonts w:eastAsia="Times New Roman"/>
        </w:rPr>
      </w:pPr>
      <w:bookmarkStart w:name="_DV_M814" w:id="572"/>
      <w:bookmarkEnd w:id="572"/>
      <w:r>
        <w:rPr>
          <w:rFonts w:eastAsia="Times New Roman"/>
          <w:highlight w:val="yellow"/>
        </w:rPr>
        <w:t>[Name of Assignee]</w:t>
      </w:r>
    </w:p>
    <w:p w:rsidRPr="006C43AC" w:rsidR="00690C92" w:rsidP="00690C92" w:rsidRDefault="00690C92" w14:paraId="7D395028" w14:textId="77777777">
      <w:pPr>
        <w:rPr>
          <w:rFonts w:eastAsia="Times New Roman"/>
        </w:rPr>
      </w:pPr>
    </w:p>
    <w:p w:rsidRPr="006C43AC" w:rsidR="00690C92" w:rsidP="00690C92" w:rsidRDefault="00690C92" w14:paraId="1AC50C90" w14:textId="77777777">
      <w:pPr>
        <w:rPr>
          <w:rFonts w:eastAsia="Times New Roman"/>
        </w:rPr>
      </w:pPr>
    </w:p>
    <w:p w:rsidRPr="006C43AC" w:rsidR="00690C92" w:rsidP="00690C92" w:rsidRDefault="00690C92" w14:paraId="147FB7DF" w14:textId="77777777">
      <w:pPr>
        <w:rPr>
          <w:rFonts w:eastAsia="Times New Roman"/>
        </w:rPr>
      </w:pPr>
    </w:p>
    <w:p w:rsidRPr="006C43AC" w:rsidR="00690C92" w:rsidP="00690C92" w:rsidRDefault="00690C92" w14:paraId="02BDAB66" w14:textId="77777777">
      <w:pPr>
        <w:rPr>
          <w:rFonts w:eastAsia="Times New Roman"/>
        </w:rPr>
      </w:pPr>
      <w:bookmarkStart w:name="_DV_M815" w:id="573"/>
      <w:bookmarkEnd w:id="573"/>
      <w:r>
        <w:rPr>
          <w:rFonts w:eastAsia="Times New Roman"/>
          <w:highlight w:val="yellow"/>
        </w:rPr>
        <w:t>[Address]</w:t>
      </w:r>
    </w:p>
    <w:p w:rsidRPr="006C43AC" w:rsidR="00690C92" w:rsidP="00690C92" w:rsidRDefault="00690C92" w14:paraId="4165232C" w14:textId="77777777">
      <w:pPr>
        <w:spacing w:line="480" w:lineRule="auto"/>
        <w:rPr>
          <w:rFonts w:eastAsia="Times New Roman"/>
        </w:rPr>
      </w:pPr>
    </w:p>
    <w:p w:rsidRPr="006C43AC" w:rsidR="00690C92" w:rsidP="00690C92" w:rsidRDefault="00690C92" w14:paraId="600334E3" w14:textId="77777777">
      <w:pPr>
        <w:rPr>
          <w:rFonts w:eastAsia="Times New Roman"/>
        </w:rPr>
      </w:pPr>
      <w:bookmarkStart w:name="_DV_M816" w:id="574"/>
      <w:bookmarkEnd w:id="574"/>
      <w:r>
        <w:rPr>
          <w:rFonts w:eastAsia="Times New Roman"/>
        </w:rPr>
        <w:t>all rights of the undersigned beneficiary to demand payment under the above Standby Letter of Credit in its entirety.</w:t>
      </w:r>
    </w:p>
    <w:p w:rsidRPr="006C43AC" w:rsidR="00690C92" w:rsidP="00690C92" w:rsidRDefault="00690C92" w14:paraId="7610DA81" w14:textId="77777777">
      <w:pPr>
        <w:rPr>
          <w:rFonts w:eastAsia="Times New Roman"/>
        </w:rPr>
      </w:pPr>
    </w:p>
    <w:p w:rsidRPr="006C43AC" w:rsidR="00690C92" w:rsidP="00690C92" w:rsidRDefault="00690C92" w14:paraId="7F9B723B" w14:textId="11BAFBC7">
      <w:pPr>
        <w:rPr>
          <w:rFonts w:ascii="Calibri" w:hAnsi="Calibri" w:eastAsia="Times New Roman"/>
          <w:spacing w:val="-4"/>
        </w:rPr>
      </w:pPr>
      <w:bookmarkStart w:name="_DV_M817" w:id="575"/>
      <w:bookmarkEnd w:id="575"/>
      <w:r>
        <w:rPr>
          <w:rFonts w:eastAsia="Times New Roman"/>
          <w:spacing w:val="-4"/>
        </w:rPr>
        <w:t xml:space="preserve">By this assignment, all rights of the undersigned beneficiary in such Standby Letter of Credit are transferred to the assignee and the assignee will hereafter have the sole rights as beneficiary thereof. The Account Party will be responsible for all fees and expenses related to the assignment. </w:t>
      </w:r>
    </w:p>
    <w:p w:rsidRPr="006C43AC" w:rsidR="00690C92" w:rsidP="00690C92" w:rsidRDefault="00690C92" w14:paraId="097A4CE1" w14:textId="72AA5700">
      <w:pPr>
        <w:rPr>
          <w:rFonts w:ascii="Calibri" w:hAnsi="Calibri" w:eastAsia="Times New Roman"/>
          <w:spacing w:val="-4"/>
        </w:rPr>
      </w:pPr>
      <w:bookmarkStart w:name="_DV_M818" w:id="576"/>
      <w:bookmarkEnd w:id="576"/>
      <w:r>
        <w:rPr>
          <w:rFonts w:eastAsia="Times New Roman"/>
          <w:spacing w:val="-4"/>
        </w:rPr>
        <w:t>The Account Party will be responsible for all fees and expenses related to this assignment.</w:t>
      </w:r>
    </w:p>
    <w:p w:rsidRPr="006C43AC" w:rsidR="00690C92" w:rsidP="00690C92" w:rsidRDefault="00690C92" w14:paraId="33E40890" w14:textId="2AD2454F">
      <w:pPr>
        <w:rPr>
          <w:rFonts w:ascii="Calibri" w:hAnsi="Calibri" w:eastAsia="Times New Roman"/>
          <w:spacing w:val="-4"/>
        </w:rPr>
      </w:pPr>
      <w:bookmarkStart w:name="_DV_M819" w:id="577"/>
      <w:bookmarkEnd w:id="577"/>
      <w:r>
        <w:rPr>
          <w:rFonts w:eastAsia="Times New Roman"/>
          <w:spacing w:val="-4"/>
        </w:rPr>
        <w:t>The Standby Letter of Credit is returned herewith and in accordance therewith we ask you to issue a new irrevocable Standby Letter of Credit in favor of the assignee with provisions consistent with the Standby Letter of Credit.</w:t>
      </w:r>
    </w:p>
    <w:p w:rsidRPr="006C43AC" w:rsidR="00690C92" w:rsidP="00690C92" w:rsidRDefault="00690C92" w14:paraId="4E295853" w14:textId="77777777">
      <w:pPr>
        <w:ind w:left="5040"/>
        <w:jc w:val="left"/>
        <w:rPr>
          <w:rFonts w:eastAsia="Times New Roman"/>
        </w:rPr>
      </w:pPr>
      <w:bookmarkStart w:name="_DV_M820" w:id="578"/>
      <w:bookmarkEnd w:id="578"/>
      <w:r>
        <w:rPr>
          <w:rFonts w:eastAsia="Times New Roman"/>
        </w:rPr>
        <w:t>Sincerely,</w:t>
      </w:r>
    </w:p>
    <w:p w:rsidRPr="006C43AC" w:rsidR="00690C92" w:rsidP="00690C92" w:rsidRDefault="00690C92" w14:paraId="232E4417" w14:textId="77777777">
      <w:pPr>
        <w:ind w:left="5040"/>
        <w:jc w:val="left"/>
        <w:rPr>
          <w:rFonts w:eastAsia="Times New Roman"/>
        </w:rPr>
      </w:pPr>
    </w:p>
    <w:p w:rsidRPr="006C43AC" w:rsidR="00690C92" w:rsidP="00690C92" w:rsidRDefault="00690C92" w14:paraId="40F6FB53" w14:textId="77777777">
      <w:pPr>
        <w:ind w:left="5040"/>
        <w:jc w:val="left"/>
        <w:rPr>
          <w:rFonts w:eastAsia="Times New Roman"/>
        </w:rPr>
      </w:pPr>
      <w:bookmarkStart w:name="_DV_M821" w:id="579"/>
      <w:bookmarkEnd w:id="579"/>
      <w:r>
        <w:rPr>
          <w:rFonts w:eastAsia="Times New Roman"/>
        </w:rPr>
        <w:t>[</w:t>
      </w:r>
      <w:r>
        <w:rPr>
          <w:rFonts w:eastAsia="Times New Roman"/>
          <w:highlight w:val="yellow"/>
        </w:rPr>
        <w:t>Beneficiary</w:t>
      </w:r>
      <w:r>
        <w:rPr>
          <w:rFonts w:eastAsia="Times New Roman"/>
        </w:rPr>
        <w:t>]</w:t>
      </w:r>
    </w:p>
    <w:p w:rsidRPr="006C43AC" w:rsidR="00690C92" w:rsidP="00690C92" w:rsidRDefault="00690C92" w14:paraId="5E14783E" w14:textId="77777777">
      <w:pPr>
        <w:ind w:left="5040"/>
        <w:jc w:val="left"/>
        <w:rPr>
          <w:rFonts w:eastAsia="Times New Roman"/>
        </w:rPr>
      </w:pPr>
    </w:p>
    <w:p w:rsidRPr="006C43AC" w:rsidR="00690C92" w:rsidP="00690C92" w:rsidRDefault="00690C92" w14:paraId="5255BB3D" w14:textId="77777777">
      <w:pPr>
        <w:ind w:left="5040"/>
        <w:jc w:val="left"/>
        <w:rPr>
          <w:rFonts w:eastAsia="Times New Roman"/>
        </w:rPr>
      </w:pPr>
    </w:p>
    <w:p w:rsidRPr="006C43AC" w:rsidR="00690C92" w:rsidP="00690C92" w:rsidRDefault="00690C92" w14:paraId="3DFCEF66" w14:textId="77777777">
      <w:pPr>
        <w:tabs>
          <w:tab w:val="right" w:pos="9360"/>
        </w:tabs>
        <w:ind w:left="5040"/>
        <w:jc w:val="left"/>
        <w:rPr>
          <w:rFonts w:eastAsia="Times New Roman"/>
        </w:rPr>
      </w:pPr>
      <w:bookmarkStart w:name="_DV_M822" w:id="580"/>
      <w:bookmarkEnd w:id="580"/>
      <w:r>
        <w:rPr>
          <w:rFonts w:eastAsia="Times New Roman"/>
        </w:rPr>
        <w:t>By:</w:t>
      </w:r>
      <w:r>
        <w:rPr>
          <w:rFonts w:eastAsia="Times New Roman"/>
          <w:u w:val="single"/>
        </w:rPr>
        <w:tab/>
      </w:r>
    </w:p>
    <w:p w:rsidRPr="006C43AC" w:rsidR="00690C92" w:rsidP="00690C92" w:rsidRDefault="00690C92" w14:paraId="2B78E689" w14:textId="77777777">
      <w:pPr>
        <w:tabs>
          <w:tab w:val="right" w:pos="9360"/>
        </w:tabs>
        <w:ind w:left="5040"/>
        <w:jc w:val="left"/>
        <w:rPr>
          <w:rFonts w:eastAsia="Times New Roman"/>
        </w:rPr>
      </w:pPr>
    </w:p>
    <w:p w:rsidRPr="006C43AC" w:rsidR="00702472" w:rsidP="00702472" w:rsidRDefault="00690C92" w14:paraId="6F4BAE4A" w14:textId="2A840D73">
      <w:pPr>
        <w:tabs>
          <w:tab w:val="right" w:pos="9360"/>
        </w:tabs>
        <w:ind w:left="5040"/>
        <w:jc w:val="left"/>
        <w:rPr>
          <w:rFonts w:eastAsia="Times New Roman"/>
        </w:rPr>
      </w:pPr>
      <w:bookmarkStart w:name="_DV_M823" w:id="581"/>
      <w:bookmarkEnd w:id="581"/>
      <w:r>
        <w:rPr>
          <w:rFonts w:eastAsia="Times New Roman"/>
        </w:rPr>
        <w:t>Title:</w:t>
      </w:r>
    </w:p>
    <w:p w:rsidR="00702472" w:rsidP="00702472" w:rsidRDefault="00702472" w14:paraId="456A4FC8" w14:textId="77777777">
      <w:pPr>
        <w:spacing w:after="240"/>
        <w:rPr>
          <w:bCs/>
        </w:rPr>
      </w:pPr>
    </w:p>
    <w:p w:rsidRPr="00F10071" w:rsidR="00506657" w:rsidP="00506657" w:rsidRDefault="00506657" w14:paraId="501078BF" w14:textId="77777777">
      <w:pPr>
        <w:spacing w:before="0" w:after="0"/>
        <w:jc w:val="left"/>
        <w:rPr>
          <w:rFonts w:eastAsia="Times New Roman" w:cs="Arial"/>
        </w:rPr>
      </w:pPr>
      <w:r>
        <w:rPr>
          <w:rFonts w:eastAsia="Times New Roman" w:cs="Arial"/>
        </w:rPr>
        <w:br w:type="page"/>
      </w:r>
    </w:p>
    <w:p w:rsidRPr="00F10071" w:rsidR="00506657" w:rsidP="00506657" w:rsidRDefault="00506657" w14:paraId="22F50E3B" w14:textId="77777777">
      <w:pPr>
        <w:suppressAutoHyphens/>
        <w:adjustRightInd w:val="0"/>
        <w:spacing w:before="0" w:after="0"/>
        <w:ind w:firstLine="4594"/>
        <w:textAlignment w:val="baseline"/>
        <w:rPr>
          <w:rFonts w:eastAsia="Times New Roman" w:cs="Arial"/>
        </w:rPr>
        <w:sectPr w:rsidRPr="00F10071" w:rsidR="00506657" w:rsidSect="005B310E">
          <w:headerReference w:type="default" r:id="rId52"/>
          <w:footerReference w:type="default" r:id="rId53"/>
          <w:pgSz w:w="12240" w:h="15840" w:code="1"/>
          <w:pgMar w:top="1440" w:right="1440" w:bottom="1440" w:left="1440" w:header="720" w:footer="720" w:gutter="0"/>
          <w:paperSrc w:first="15" w:other="15"/>
          <w:cols w:space="1440"/>
        </w:sectPr>
      </w:pPr>
    </w:p>
    <w:p w:rsidR="00C26E00" w:rsidP="00C26E00" w:rsidRDefault="00C26E00" w14:paraId="4F3CC93B" w14:textId="0786E644">
      <w:pPr>
        <w:pStyle w:val="zGTitleExhibit"/>
      </w:pPr>
      <w:bookmarkStart w:name="_Toc212473100" w:id="582"/>
      <w:bookmarkStart w:name="_Toc227840796" w:id="583"/>
      <w:r>
        <w:lastRenderedPageBreak/>
        <w:t>Exhibit I – Form of Commercial Operation Completion Certificate</w:t>
      </w:r>
      <w:bookmarkEnd w:id="582"/>
      <w:bookmarkEnd w:id="583"/>
    </w:p>
    <w:p w:rsidRPr="00A61905" w:rsidR="00C26E00" w:rsidP="00C26E00" w:rsidRDefault="00C26E00" w14:paraId="007F9449" w14:textId="77777777">
      <w:pPr>
        <w:tabs>
          <w:tab w:val="left" w:pos="4130"/>
        </w:tabs>
        <w:rPr>
          <w:rFonts w:eastAsia="Times New Roman" w:cs="Arial"/>
          <w:b/>
        </w:rPr>
      </w:pPr>
    </w:p>
    <w:p w:rsidRPr="00D81774" w:rsidR="00C26E00" w:rsidP="00C26E00" w:rsidRDefault="00C26E00" w14:paraId="39686E11" w14:textId="77777777">
      <w:pPr>
        <w:spacing w:before="0" w:after="0"/>
        <w:rPr>
          <w:rFonts w:eastAsia="Times New Roman" w:cs="Arial"/>
        </w:rPr>
      </w:pPr>
      <w:bookmarkStart w:name="_DV_M340" w:id="584"/>
      <w:bookmarkEnd w:id="584"/>
      <w:r>
        <w:rPr>
          <w:rFonts w:eastAsia="Times New Roman" w:cs="Arial"/>
        </w:rPr>
        <w:t>Georgia Power Company</w:t>
      </w:r>
    </w:p>
    <w:p w:rsidRPr="00D81774" w:rsidR="00C26E00" w:rsidP="00C26E00" w:rsidRDefault="00351972" w14:paraId="765348D5" w14:textId="32DFADAC">
      <w:pPr>
        <w:spacing w:before="0" w:after="0"/>
        <w:rPr>
          <w:rFonts w:eastAsia="Times New Roman" w:cs="Arial"/>
        </w:rPr>
      </w:pPr>
      <w:bookmarkStart w:name="_DV_M341" w:id="585"/>
      <w:bookmarkEnd w:id="585"/>
      <w:r>
        <w:rPr>
          <w:rFonts w:eastAsia="Times New Roman" w:cs="Arial"/>
        </w:rPr>
        <w:t>Capacity Procurement Manager</w:t>
      </w:r>
    </w:p>
    <w:p w:rsidRPr="000A1044" w:rsidR="00C26E00" w:rsidP="00C26E00" w:rsidRDefault="00C26E00" w14:paraId="741E03B2" w14:textId="03A6F187">
      <w:pPr>
        <w:spacing w:before="0" w:after="0"/>
        <w:rPr>
          <w:rFonts w:eastAsia="Times New Roman" w:cs="Arial"/>
          <w:lang w:val="de-DE"/>
        </w:rPr>
      </w:pPr>
      <w:bookmarkStart w:name="_DV_M342" w:id="586"/>
      <w:bookmarkEnd w:id="586"/>
      <w:r>
        <w:rPr>
          <w:rFonts w:eastAsia="Times New Roman" w:cs="Arial"/>
          <w:lang w:val="de-DE"/>
        </w:rPr>
        <w:t xml:space="preserve">Bin </w:t>
      </w:r>
      <w:r>
        <w:rPr>
          <w:rFonts w:cs="Arial"/>
          <w:highlight w:val="yellow"/>
          <w:lang w:val="de-DE"/>
        </w:rPr>
        <w:t>#BinNumber#</w:t>
      </w:r>
    </w:p>
    <w:p w:rsidRPr="000A1044" w:rsidR="00C26E00" w:rsidP="00C26E00" w:rsidRDefault="00C26E00" w14:paraId="3E80A84B" w14:textId="77777777">
      <w:pPr>
        <w:spacing w:before="0" w:after="0"/>
        <w:rPr>
          <w:rFonts w:eastAsia="Times New Roman" w:cs="Arial"/>
          <w:lang w:val="de-DE"/>
        </w:rPr>
      </w:pPr>
      <w:bookmarkStart w:name="_DV_M343" w:id="587"/>
      <w:bookmarkEnd w:id="587"/>
      <w:r>
        <w:rPr>
          <w:rFonts w:eastAsia="Times New Roman" w:cs="Arial"/>
          <w:lang w:val="de-DE"/>
        </w:rPr>
        <w:t>241 Ralph McGill Blvd.</w:t>
      </w:r>
    </w:p>
    <w:p w:rsidRPr="00D81774" w:rsidR="00C26E00" w:rsidP="00C26E00" w:rsidRDefault="00C26E00" w14:paraId="68C51CFC" w14:textId="77777777">
      <w:pPr>
        <w:spacing w:before="0" w:after="0"/>
        <w:rPr>
          <w:rFonts w:eastAsia="Times New Roman" w:cs="Arial"/>
        </w:rPr>
      </w:pPr>
      <w:bookmarkStart w:name="_DV_M344" w:id="588"/>
      <w:bookmarkEnd w:id="588"/>
      <w:r>
        <w:rPr>
          <w:rFonts w:eastAsia="Times New Roman" w:cs="Arial"/>
        </w:rPr>
        <w:t>Atlanta, Georgia 30308</w:t>
      </w:r>
    </w:p>
    <w:p w:rsidRPr="00D81774" w:rsidR="00C26E00" w:rsidP="00C26E00" w:rsidRDefault="00C26E00" w14:paraId="6CF5E448" w14:textId="77777777">
      <w:pPr>
        <w:spacing w:after="0"/>
        <w:rPr>
          <w:rFonts w:eastAsia="Times New Roman" w:cs="Arial"/>
        </w:rPr>
      </w:pPr>
    </w:p>
    <w:p w:rsidRPr="00D245F9" w:rsidR="00C26E00" w:rsidP="00C26E00" w:rsidRDefault="00C26E00" w14:paraId="30439E36" w14:textId="0636DD9A">
      <w:pPr>
        <w:rPr>
          <w:rFonts w:eastAsia="Times New Roman" w:cs="Arial"/>
        </w:rPr>
      </w:pPr>
      <w:bookmarkStart w:name="_DV_M345" w:id="589"/>
      <w:bookmarkStart w:name="_DV_M346" w:id="590"/>
      <w:bookmarkEnd w:id="589"/>
      <w:bookmarkEnd w:id="590"/>
      <w:r>
        <w:rPr>
          <w:rFonts w:eastAsia="Times New Roman" w:cs="Arial"/>
        </w:rPr>
        <w:t>Re:</w:t>
      </w:r>
      <w:r>
        <w:rPr>
          <w:rFonts w:eastAsia="Times New Roman" w:cs="Arial"/>
          <w:b/>
        </w:rPr>
        <w:t xml:space="preserve"> </w:t>
      </w:r>
      <w:r>
        <w:rPr>
          <w:rFonts w:eastAsia="Times New Roman" w:cs="Arial"/>
        </w:rPr>
        <w:t xml:space="preserve">Commercial Operation Completion Certificate – </w:t>
      </w:r>
      <w:r>
        <w:rPr>
          <w:rFonts w:cs="Arial"/>
          <w:b/>
        </w:rPr>
        <w:t xml:space="preserve">Power Purchase Agreement for Firm Capacity, Firm Energy, and Ancillary Services from a Combined Cycle Facility for 2026 All-Source Capacity Request for Proposals for Need Years 2032–2033 </w:t>
      </w:r>
      <w:r>
        <w:rPr>
          <w:rFonts w:eastAsia="Times New Roman" w:cs="Arial"/>
          <w:b/>
          <w:bCs/>
        </w:rPr>
        <w:t>at (</w:t>
      </w:r>
      <w:r>
        <w:rPr>
          <w:rFonts w:eastAsia="Times New Roman" w:cs="Arial"/>
          <w:b/>
          <w:bCs/>
          <w:highlight w:val="yellow"/>
        </w:rPr>
        <w:t>#</w:t>
      </w:r>
      <w:r>
        <w:rPr>
          <w:rFonts w:eastAsia="Times New Roman" w:cs="Arial"/>
          <w:b/>
          <w:highlight w:val="yellow"/>
        </w:rPr>
        <w:t>FacilityName</w:t>
      </w:r>
      <w:r>
        <w:rPr>
          <w:rFonts w:eastAsia="Times New Roman" w:cs="Arial"/>
          <w:b/>
          <w:bCs/>
          <w:highlight w:val="yellow"/>
        </w:rPr>
        <w:t>#</w:t>
      </w:r>
      <w:r>
        <w:rPr>
          <w:rFonts w:eastAsia="Times New Roman" w:cs="Arial"/>
          <w:b/>
          <w:bCs/>
        </w:rPr>
        <w:t>)</w:t>
      </w:r>
      <w:r>
        <w:rPr>
          <w:rFonts w:cs="Arial"/>
        </w:rPr>
        <w:t xml:space="preserve"> dated</w:t>
      </w:r>
      <w:r>
        <w:rPr>
          <w:rFonts w:cs="Arial"/>
          <w:color w:val="000000" w:themeColor="text1"/>
        </w:rPr>
        <w:t xml:space="preserve">______ ___, </w:t>
      </w:r>
      <w:r>
        <w:rPr>
          <w:rFonts w:cs="Arial"/>
        </w:rPr>
        <w:t>20__</w:t>
      </w:r>
      <w:r>
        <w:rPr>
          <w:rFonts w:eastAsia="Times New Roman" w:cs="Arial"/>
        </w:rPr>
        <w:t xml:space="preserve"> between </w:t>
      </w:r>
      <w:r>
        <w:rPr>
          <w:rFonts w:eastAsia="Times New Roman" w:cs="Arial"/>
          <w:b/>
        </w:rPr>
        <w:t>Georgia Power Company</w:t>
      </w:r>
      <w:r>
        <w:rPr>
          <w:rFonts w:eastAsia="Times New Roman" w:cs="Arial"/>
        </w:rPr>
        <w:t xml:space="preserve"> (“</w:t>
      </w:r>
      <w:r>
        <w:rPr>
          <w:rFonts w:eastAsia="Times New Roman" w:cs="Arial"/>
          <w:b/>
        </w:rPr>
        <w:t>GPC</w:t>
      </w:r>
      <w:r>
        <w:rPr>
          <w:rFonts w:eastAsia="Times New Roman" w:cs="Arial"/>
        </w:rPr>
        <w:t xml:space="preserve">”) and </w:t>
      </w:r>
      <w:r>
        <w:rPr>
          <w:rFonts w:eastAsia="Calibri" w:cs="Arial"/>
          <w:b/>
          <w:color w:val="000000"/>
        </w:rPr>
        <w:t>#SellerLegalName#</w:t>
      </w:r>
      <w:r>
        <w:rPr>
          <w:rFonts w:eastAsia="Times New Roman" w:cs="Arial"/>
        </w:rPr>
        <w:t xml:space="preserve"> (“</w:t>
      </w:r>
      <w:r>
        <w:rPr>
          <w:rFonts w:eastAsia="Times New Roman" w:cs="Arial"/>
          <w:b/>
        </w:rPr>
        <w:t>Seller</w:t>
      </w:r>
      <w:r>
        <w:rPr>
          <w:rFonts w:eastAsia="Times New Roman" w:cs="Arial"/>
        </w:rPr>
        <w:t xml:space="preserve">”) </w:t>
      </w:r>
      <w:r>
        <w:rPr>
          <w:rFonts w:cs="Arial"/>
        </w:rPr>
        <w:t>(“</w:t>
      </w:r>
      <w:r>
        <w:rPr>
          <w:rFonts w:cs="Arial"/>
          <w:b/>
        </w:rPr>
        <w:t>PPA</w:t>
      </w:r>
      <w:r>
        <w:rPr>
          <w:rFonts w:cs="Arial"/>
        </w:rPr>
        <w:t>”).</w:t>
      </w:r>
    </w:p>
    <w:p w:rsidRPr="00D245F9" w:rsidR="00C26E00" w:rsidP="00C26E00" w:rsidRDefault="00C26E00" w14:paraId="2D19416E" w14:textId="7622B4AB">
      <w:pPr>
        <w:spacing w:after="240"/>
        <w:rPr>
          <w:rFonts w:eastAsia="Times New Roman" w:cs="Arial"/>
        </w:rPr>
      </w:pPr>
      <w:bookmarkStart w:name="_DV_M347" w:id="591"/>
      <w:bookmarkEnd w:id="591"/>
      <w:r>
        <w:rPr>
          <w:rFonts w:eastAsia="Times New Roman" w:cs="Arial"/>
        </w:rPr>
        <w:t>In accordance with PPA Section 7.1.3 (</w:t>
      </w:r>
      <w:r>
        <w:rPr>
          <w:rFonts w:eastAsia="Times New Roman" w:cs="Arial"/>
          <w:i/>
        </w:rPr>
        <w:t>Commercial Operation</w:t>
      </w:r>
      <w:r>
        <w:rPr>
          <w:rFonts w:eastAsia="Times New Roman" w:cs="Arial"/>
        </w:rPr>
        <w:t>), Seller certifies to GPC that Seller fully satisfied the following criteria for Commercial Operation of the Facility:</w:t>
      </w:r>
      <w:bookmarkStart w:name="_DV_M348" w:id="592"/>
      <w:bookmarkEnd w:id="592"/>
    </w:p>
    <w:p w:rsidRPr="00D245F9" w:rsidR="00C26E00" w:rsidP="00D611C7" w:rsidRDefault="00C26E00" w14:paraId="3CEFDB33" w14:textId="77777777">
      <w:pPr>
        <w:pStyle w:val="zGTC04"/>
        <w:tabs>
          <w:tab w:val="clear" w:pos="1944"/>
          <w:tab w:val="num" w:pos="1080"/>
        </w:tabs>
        <w:ind w:left="360"/>
        <w:rPr>
          <w:szCs w:val="20"/>
        </w:rPr>
      </w:pPr>
      <w:bookmarkStart w:name="_DV_M349" w:id="593"/>
      <w:bookmarkEnd w:id="593"/>
      <w:r>
        <w:rPr>
          <w:szCs w:val="20"/>
        </w:rPr>
        <w:t>The Facility is capable of producing and delivering, on a reliable basis, all of the energy to the Electric System and meets GPC’s AGC requirements.</w:t>
      </w:r>
    </w:p>
    <w:p w:rsidRPr="00DA19DC" w:rsidR="00C26E00" w:rsidP="00D611C7" w:rsidRDefault="00C26E00" w14:paraId="58B8FCE2" w14:textId="5D70E3AF">
      <w:pPr>
        <w:pStyle w:val="zGTC04"/>
        <w:tabs>
          <w:tab w:val="clear" w:pos="1944"/>
          <w:tab w:val="num" w:pos="1080"/>
        </w:tabs>
        <w:ind w:left="360"/>
        <w:rPr>
          <w:szCs w:val="20"/>
          <w:highlight w:val="yellow"/>
        </w:rPr>
      </w:pPr>
      <w:r w:rsidRPr="00DA19DC">
        <w:rPr>
          <w:szCs w:val="20"/>
          <w:highlight w:val="yellow"/>
        </w:rPr>
        <w:t xml:space="preserve">Seller has delivered to GPC a certificate from the </w:t>
      </w:r>
      <w:r w:rsidRPr="00DA19DC">
        <w:rPr>
          <w:highlight w:val="yellow"/>
        </w:rPr>
        <w:t>IA</w:t>
      </w:r>
      <w:r w:rsidRPr="00DA19DC">
        <w:rPr>
          <w:szCs w:val="20"/>
          <w:highlight w:val="yellow"/>
        </w:rPr>
        <w:t xml:space="preserve"> counterparty or a responsible officer of Seller that is reasonably acceptable to GPC certifying that Seller is in compliance with the </w:t>
      </w:r>
      <w:r w:rsidRPr="00DA19DC">
        <w:rPr>
          <w:highlight w:val="yellow"/>
        </w:rPr>
        <w:t>IA</w:t>
      </w:r>
      <w:r w:rsidRPr="00DA19DC">
        <w:rPr>
          <w:szCs w:val="20"/>
          <w:highlight w:val="yellow"/>
        </w:rPr>
        <w:t xml:space="preserve"> requirements; (b) the Facility is otherwise in compliance with the </w:t>
      </w:r>
      <w:r w:rsidRPr="00DA19DC">
        <w:rPr>
          <w:highlight w:val="yellow"/>
        </w:rPr>
        <w:t>IA</w:t>
      </w:r>
      <w:r w:rsidRPr="00DA19DC">
        <w:rPr>
          <w:szCs w:val="20"/>
          <w:highlight w:val="yellow"/>
        </w:rPr>
        <w:t>; and (c) the Facility has demonstrated reliability of its communication systems with the Scheduling Center.</w:t>
      </w:r>
    </w:p>
    <w:p w:rsidRPr="00D245F9" w:rsidR="00C26E00" w:rsidP="00D611C7" w:rsidRDefault="00C26E00" w14:paraId="4BCA3D46" w14:textId="72E097D2">
      <w:pPr>
        <w:pStyle w:val="zGTC04"/>
        <w:tabs>
          <w:tab w:val="clear" w:pos="1944"/>
          <w:tab w:val="num" w:pos="1080"/>
        </w:tabs>
        <w:ind w:left="360"/>
        <w:rPr>
          <w:szCs w:val="20"/>
        </w:rPr>
      </w:pPr>
      <w:r>
        <w:rPr>
          <w:szCs w:val="20"/>
        </w:rPr>
        <w:t xml:space="preserve"> Seller has successfully completed Performance Testing </w:t>
      </w:r>
      <w:r>
        <w:t>in accordance with PPA Section 9.1 (</w:t>
      </w:r>
      <w:r>
        <w:rPr>
          <w:i/>
          <w:iCs/>
        </w:rPr>
        <w:t>Tested Reliable Capacity and Declared Capacity</w:t>
      </w:r>
      <w:r>
        <w:t>) including a Tested Standard Reliable Capacity higher than 70% of the Nominal Standard Capability and a Tested Winter Reliable Capacity higher than 70% of the Nominal Winter Capability, each under Exhibit B (</w:t>
      </w:r>
      <w:r>
        <w:rPr>
          <w:bCs/>
          <w:i/>
          <w:iCs/>
        </w:rPr>
        <w:t>Capacity; Capacity Payments</w:t>
      </w:r>
      <w:r>
        <w:rPr>
          <w:i/>
        </w:rPr>
        <w:t xml:space="preserve"> and Payment Reductions; Buydown</w:t>
      </w:r>
      <w:r>
        <w:rPr>
          <w:iCs/>
        </w:rPr>
        <w:t>)</w:t>
      </w:r>
      <w:r>
        <w:t>, Section 1.4 (</w:t>
      </w:r>
      <w:r>
        <w:rPr>
          <w:i/>
          <w:iCs/>
        </w:rPr>
        <w:t>Tested Reliable Capacity Below Contracted Capacity Range; Capacity Buydown</w:t>
      </w:r>
      <w:r>
        <w:t xml:space="preserve">) or GPC determined to its reasonable satisfaction through any combination of testing and examination of </w:t>
      </w:r>
      <w:r w:rsidR="0087131B">
        <w:t>Facility</w:t>
      </w:r>
      <w:r>
        <w:t xml:space="preserve"> data that the </w:t>
      </w:r>
      <w:r w:rsidR="0087131B">
        <w:t>u</w:t>
      </w:r>
      <w:r>
        <w:t>nit is fully capable of successfully completing a Performance Test</w:t>
      </w:r>
      <w:r>
        <w:rPr>
          <w:szCs w:val="20"/>
        </w:rPr>
        <w:t>.</w:t>
      </w:r>
    </w:p>
    <w:p w:rsidRPr="001A411B" w:rsidR="00C26E00" w:rsidP="00D611C7" w:rsidRDefault="00C26E00" w14:paraId="289D71BC" w14:textId="272113CD">
      <w:pPr>
        <w:pStyle w:val="zGTC04"/>
        <w:tabs>
          <w:tab w:val="clear" w:pos="1944"/>
          <w:tab w:val="num" w:pos="1080"/>
        </w:tabs>
        <w:ind w:left="360"/>
        <w:rPr>
          <w:szCs w:val="20"/>
        </w:rPr>
      </w:pPr>
      <w:r>
        <w:rPr>
          <w:szCs w:val="20"/>
        </w:rPr>
        <w:t xml:space="preserve">GPC can receive energy at the Point of Delivery on a reliable basis in accordance with Prudent Industry Practices. </w:t>
      </w:r>
    </w:p>
    <w:p w:rsidRPr="001A411B" w:rsidR="00C26E00" w:rsidP="00D611C7" w:rsidRDefault="005E3356" w14:paraId="3B2101D4" w14:textId="3A2A7614">
      <w:pPr>
        <w:pStyle w:val="zGTC04"/>
        <w:tabs>
          <w:tab w:val="clear" w:pos="1944"/>
          <w:tab w:val="num" w:pos="1080"/>
        </w:tabs>
        <w:ind w:left="360"/>
        <w:rPr>
          <w:szCs w:val="20"/>
        </w:rPr>
      </w:pPr>
      <w:r>
        <w:rPr>
          <w:szCs w:val="20"/>
        </w:rPr>
        <w:t>Seller has provided to GPC a certificate reasonably acceptable to GPC confirming that the Facility has been designed, engineered, constructed, and tested in accordance with Prudent Industry Practices and can perform in accordance with the terms of this PPA.</w:t>
      </w:r>
    </w:p>
    <w:p w:rsidRPr="001A411B" w:rsidR="00C26E00" w:rsidP="00D611C7" w:rsidRDefault="00C26E00" w14:paraId="7C4FF542" w14:textId="2D2D53DE">
      <w:pPr>
        <w:pStyle w:val="zGTC04"/>
        <w:tabs>
          <w:tab w:val="clear" w:pos="1944"/>
          <w:tab w:val="num" w:pos="1080"/>
        </w:tabs>
        <w:ind w:left="360"/>
        <w:rPr>
          <w:szCs w:val="20"/>
        </w:rPr>
      </w:pPr>
      <w:r>
        <w:rPr>
          <w:szCs w:val="20"/>
        </w:rPr>
        <w:t>Seller has delivered to GPC a</w:t>
      </w:r>
      <w:r w:rsidR="00D9102E">
        <w:rPr>
          <w:szCs w:val="20"/>
        </w:rPr>
        <w:t>ny</w:t>
      </w:r>
      <w:r>
        <w:rPr>
          <w:szCs w:val="20"/>
        </w:rPr>
        <w:t xml:space="preserve"> as-built drawings concerning the Facility, as may be requested by GPC.</w:t>
      </w:r>
    </w:p>
    <w:p w:rsidRPr="00D245F9" w:rsidR="00C26E00" w:rsidP="00D611C7" w:rsidRDefault="00C26E00" w14:paraId="2280DD9D" w14:textId="4C57668C">
      <w:pPr>
        <w:pStyle w:val="zGTC04"/>
        <w:tabs>
          <w:tab w:val="clear" w:pos="1944"/>
          <w:tab w:val="num" w:pos="1080"/>
        </w:tabs>
        <w:ind w:left="360"/>
        <w:rPr>
          <w:szCs w:val="20"/>
        </w:rPr>
      </w:pPr>
      <w:r>
        <w:rPr>
          <w:szCs w:val="20"/>
        </w:rPr>
        <w:t xml:space="preserve">Seller has delivered to GPC a certificate certifying that Seller has obtained </w:t>
      </w:r>
      <w:r>
        <w:t>Governmental</w:t>
      </w:r>
      <w:r>
        <w:rPr>
          <w:szCs w:val="20"/>
        </w:rPr>
        <w:t xml:space="preserve"> Approvals for construction, ownership, operation, and maintenance of the Facility in accordance with the PPA.</w:t>
      </w:r>
    </w:p>
    <w:p w:rsidRPr="00D81774" w:rsidR="00C26E00" w:rsidP="00D611C7" w:rsidRDefault="00C26E00" w14:paraId="44C29498" w14:textId="4EDB955A">
      <w:pPr>
        <w:pStyle w:val="zGTC04"/>
        <w:tabs>
          <w:tab w:val="clear" w:pos="1944"/>
          <w:tab w:val="num" w:pos="1080"/>
        </w:tabs>
        <w:ind w:left="360"/>
        <w:rPr>
          <w:szCs w:val="20"/>
        </w:rPr>
      </w:pPr>
      <w:r>
        <w:rPr>
          <w:szCs w:val="20"/>
        </w:rPr>
        <w:t xml:space="preserve">If the Facility is interconnected to an Electric System outside the SBAA, Seller has delivered to GPC a certificate from a responsible officer of Seller that is reasonably acceptable to GPC confirming that Firm Transmission Service has been procured from the COD throughout the Term. </w:t>
      </w:r>
    </w:p>
    <w:p w:rsidRPr="00D81774" w:rsidR="00C26E00" w:rsidP="00C26E00" w:rsidRDefault="00C26E00" w14:paraId="77CB6CC6" w14:textId="77777777">
      <w:pPr>
        <w:keepNext/>
        <w:rPr>
          <w:rFonts w:eastAsia="Calibri" w:cs="Arial"/>
        </w:rPr>
      </w:pPr>
      <w:bookmarkStart w:name="_DV_M354" w:id="594"/>
      <w:bookmarkEnd w:id="594"/>
      <w:r>
        <w:rPr>
          <w:rFonts w:eastAsia="Times New Roman" w:cs="Arial"/>
        </w:rPr>
        <w:t xml:space="preserve">Seller certifies that the Project achieved Commercial Operation as of </w:t>
      </w:r>
      <w:r>
        <w:rPr>
          <w:rFonts w:eastAsia="Times New Roman" w:cs="Arial"/>
          <w:b/>
          <w:highlight w:val="yellow"/>
        </w:rPr>
        <w:t>#CommercialOperationDate#</w:t>
      </w:r>
      <w:r>
        <w:rPr>
          <w:rFonts w:eastAsia="Times New Roman" w:cs="Arial"/>
        </w:rPr>
        <w:t xml:space="preserve">. Seller agrees to provide photographs of the Facility and Site at GPC’s request. The electrical inspection documentation in support of Seller’s certification of Commercial Operation is attached. Seller </w:t>
      </w:r>
      <w:r>
        <w:rPr>
          <w:rFonts w:eastAsia="Calibri" w:cs="Arial"/>
        </w:rPr>
        <w:t xml:space="preserve">grants to GPC </w:t>
      </w:r>
      <w:r>
        <w:rPr>
          <w:rFonts w:eastAsia="Calibri" w:cs="Arial"/>
          <w:spacing w:val="-1"/>
        </w:rPr>
        <w:t>an</w:t>
      </w:r>
      <w:r>
        <w:rPr>
          <w:rFonts w:eastAsia="Calibri" w:cs="Arial"/>
        </w:rPr>
        <w:t xml:space="preserve">d </w:t>
      </w:r>
      <w:r>
        <w:rPr>
          <w:rFonts w:eastAsia="Calibri" w:cs="Arial"/>
          <w:spacing w:val="-1"/>
        </w:rPr>
        <w:t>i</w:t>
      </w:r>
      <w:r>
        <w:rPr>
          <w:rFonts w:eastAsia="Calibri" w:cs="Arial"/>
        </w:rPr>
        <w:t xml:space="preserve">ts </w:t>
      </w:r>
      <w:r>
        <w:rPr>
          <w:rFonts w:eastAsia="Calibri" w:cs="Arial"/>
          <w:spacing w:val="-1"/>
        </w:rPr>
        <w:t>agen</w:t>
      </w:r>
      <w:r>
        <w:rPr>
          <w:rFonts w:eastAsia="Calibri" w:cs="Arial"/>
        </w:rPr>
        <w:t>ts,</w:t>
      </w:r>
      <w:r>
        <w:rPr>
          <w:rFonts w:eastAsia="Calibri" w:cs="Arial"/>
          <w:spacing w:val="1"/>
        </w:rPr>
        <w:t xml:space="preserve"> affiliates, </w:t>
      </w:r>
      <w:r>
        <w:rPr>
          <w:rFonts w:eastAsia="Calibri" w:cs="Arial"/>
        </w:rPr>
        <w:t>s</w:t>
      </w:r>
      <w:r>
        <w:rPr>
          <w:rFonts w:eastAsia="Calibri" w:cs="Arial"/>
          <w:spacing w:val="-1"/>
        </w:rPr>
        <w:t>u</w:t>
      </w:r>
      <w:r>
        <w:rPr>
          <w:rFonts w:eastAsia="Calibri" w:cs="Arial"/>
        </w:rPr>
        <w:t>cc</w:t>
      </w:r>
      <w:r>
        <w:rPr>
          <w:rFonts w:eastAsia="Calibri" w:cs="Arial"/>
          <w:spacing w:val="-1"/>
        </w:rPr>
        <w:t>e</w:t>
      </w:r>
      <w:r>
        <w:rPr>
          <w:rFonts w:eastAsia="Calibri" w:cs="Arial"/>
        </w:rPr>
        <w:t>s</w:t>
      </w:r>
      <w:r>
        <w:rPr>
          <w:rFonts w:eastAsia="Calibri" w:cs="Arial"/>
          <w:spacing w:val="2"/>
        </w:rPr>
        <w:t>s</w:t>
      </w:r>
      <w:r>
        <w:rPr>
          <w:rFonts w:eastAsia="Calibri" w:cs="Arial"/>
          <w:spacing w:val="-1"/>
        </w:rPr>
        <w:t>o</w:t>
      </w:r>
      <w:r>
        <w:rPr>
          <w:rFonts w:eastAsia="Calibri" w:cs="Arial"/>
        </w:rPr>
        <w:t>rs,</w:t>
      </w:r>
      <w:r>
        <w:rPr>
          <w:rFonts w:eastAsia="Calibri" w:cs="Arial"/>
          <w:spacing w:val="1"/>
        </w:rPr>
        <w:t xml:space="preserve"> </w:t>
      </w:r>
      <w:r>
        <w:rPr>
          <w:rFonts w:eastAsia="Calibri" w:cs="Arial"/>
          <w:spacing w:val="-1"/>
        </w:rPr>
        <w:t>an</w:t>
      </w:r>
      <w:r>
        <w:rPr>
          <w:rFonts w:eastAsia="Calibri" w:cs="Arial"/>
        </w:rPr>
        <w:t xml:space="preserve">d </w:t>
      </w:r>
      <w:r>
        <w:rPr>
          <w:rFonts w:eastAsia="Calibri" w:cs="Arial"/>
          <w:spacing w:val="-1"/>
        </w:rPr>
        <w:t>a</w:t>
      </w:r>
      <w:r>
        <w:rPr>
          <w:rFonts w:eastAsia="Calibri" w:cs="Arial"/>
        </w:rPr>
        <w:t>ss</w:t>
      </w:r>
      <w:r>
        <w:rPr>
          <w:rFonts w:eastAsia="Calibri" w:cs="Arial"/>
          <w:spacing w:val="-1"/>
        </w:rPr>
        <w:t>ign</w:t>
      </w:r>
      <w:r>
        <w:rPr>
          <w:rFonts w:eastAsia="Calibri" w:cs="Arial"/>
        </w:rPr>
        <w:t xml:space="preserve">s an irrevocable, worldwide, royalty-free, and unrestricted right and license to use, duplicate, modify, sublicense, distribute, display, and otherwise engage the </w:t>
      </w:r>
      <w:r>
        <w:rPr>
          <w:rFonts w:eastAsia="Calibri" w:cs="Arial"/>
        </w:rPr>
        <w:lastRenderedPageBreak/>
        <w:t>photographs and related intellectual property, including the creation of derivative works. Seller represents and warrants that it has the exclusive right to grant the license to GPC for the purposes stated in the PPA.</w:t>
      </w:r>
    </w:p>
    <w:p w:rsidR="00D41DB5" w:rsidP="00C26E00" w:rsidRDefault="00D41DB5" w14:paraId="10E60AC7" w14:textId="77777777">
      <w:pPr>
        <w:keepNext/>
        <w:rPr>
          <w:rFonts w:eastAsia="Calibri" w:cs="Arial"/>
        </w:rPr>
      </w:pPr>
    </w:p>
    <w:p w:rsidRPr="00D81774" w:rsidR="00C26E00" w:rsidP="00C26E00" w:rsidRDefault="00C26E00" w14:paraId="5218D4CD" w14:textId="77777777">
      <w:pPr>
        <w:keepNext/>
        <w:rPr>
          <w:rFonts w:eastAsia="Calibri" w:cs="Arial"/>
          <w:b/>
          <w:u w:val="single"/>
        </w:rPr>
      </w:pPr>
    </w:p>
    <w:tbl>
      <w:tblPr>
        <w:tblW w:w="5130" w:type="dxa"/>
        <w:tblLayout w:type="fixed"/>
        <w:tblCellMar>
          <w:left w:w="29" w:type="dxa"/>
          <w:right w:w="29" w:type="dxa"/>
        </w:tblCellMar>
        <w:tblLook w:val="01E0" w:firstRow="1" w:lastRow="1" w:firstColumn="1" w:lastColumn="1" w:noHBand="0" w:noVBand="0"/>
      </w:tblPr>
      <w:tblGrid>
        <w:gridCol w:w="1008"/>
        <w:gridCol w:w="4093"/>
        <w:gridCol w:w="29"/>
      </w:tblGrid>
      <w:tr w:rsidRPr="00A61905" w:rsidR="00C26E00" w14:paraId="672E11A6" w14:textId="77777777">
        <w:trPr>
          <w:cantSplit/>
          <w:trHeight w:val="432"/>
        </w:trPr>
        <w:tc>
          <w:tcPr>
            <w:tcW w:w="5130" w:type="dxa"/>
            <w:gridSpan w:val="3"/>
          </w:tcPr>
          <w:p w:rsidRPr="00D81774" w:rsidR="00C26E00" w:rsidRDefault="00C26E00" w14:paraId="1DA89378" w14:textId="77777777">
            <w:pPr>
              <w:keepNext/>
              <w:keepLines/>
              <w:widowControl w:val="0"/>
              <w:autoSpaceDE w:val="0"/>
              <w:autoSpaceDN w:val="0"/>
              <w:adjustRightInd w:val="0"/>
              <w:rPr>
                <w:rFonts w:eastAsia="Yu Mincho" w:cs="Arial"/>
                <w:b/>
                <w:spacing w:val="-6"/>
                <w:kern w:val="14"/>
              </w:rPr>
            </w:pPr>
            <w:bookmarkStart w:name="_DV_M360" w:id="595"/>
            <w:bookmarkEnd w:id="595"/>
            <w:r>
              <w:rPr>
                <w:rFonts w:eastAsia="Yu Mincho" w:cs="Arial"/>
                <w:b/>
                <w:spacing w:val="-6"/>
                <w:kern w:val="14"/>
                <w:highlight w:val="yellow"/>
              </w:rPr>
              <w:t>#SellerLegalName#</w:t>
            </w:r>
          </w:p>
        </w:tc>
      </w:tr>
      <w:tr w:rsidRPr="00A61905" w:rsidR="00C26E00" w14:paraId="21913E24" w14:textId="77777777">
        <w:trPr>
          <w:gridAfter w:val="1"/>
          <w:wAfter w:w="29" w:type="dxa"/>
          <w:cantSplit/>
          <w:trHeight w:val="504"/>
        </w:trPr>
        <w:tc>
          <w:tcPr>
            <w:tcW w:w="1008" w:type="dxa"/>
            <w:vAlign w:val="bottom"/>
          </w:tcPr>
          <w:p w:rsidRPr="00D81774" w:rsidR="00C26E00" w:rsidRDefault="00C26E00" w14:paraId="6D67E9D7" w14:textId="77777777">
            <w:pPr>
              <w:autoSpaceDE w:val="0"/>
              <w:autoSpaceDN w:val="0"/>
              <w:adjustRightInd w:val="0"/>
              <w:rPr>
                <w:rFonts w:eastAsia="Yu Mincho" w:cs="Arial"/>
                <w:kern w:val="14"/>
              </w:rPr>
            </w:pPr>
            <w:r>
              <w:rPr>
                <w:rFonts w:eastAsia="Yu Mincho" w:cs="Arial"/>
                <w:kern w:val="14"/>
              </w:rPr>
              <w:t>By:</w:t>
            </w:r>
          </w:p>
        </w:tc>
        <w:tc>
          <w:tcPr>
            <w:tcW w:w="4093" w:type="dxa"/>
            <w:tcBorders>
              <w:bottom w:val="single" w:color="auto" w:sz="4" w:space="0"/>
            </w:tcBorders>
            <w:vAlign w:val="bottom"/>
          </w:tcPr>
          <w:p w:rsidRPr="00D81774" w:rsidR="00C26E00" w:rsidRDefault="00C26E00" w14:paraId="4682C375" w14:textId="77777777">
            <w:pPr>
              <w:keepLines/>
              <w:rPr>
                <w:rFonts w:eastAsia="Calibri" w:cs="Arial"/>
              </w:rPr>
            </w:pPr>
          </w:p>
        </w:tc>
      </w:tr>
      <w:tr w:rsidRPr="00A61905" w:rsidR="00C26E00" w14:paraId="352C5F29" w14:textId="77777777">
        <w:trPr>
          <w:gridAfter w:val="1"/>
          <w:wAfter w:w="29" w:type="dxa"/>
          <w:cantSplit/>
          <w:trHeight w:val="504"/>
        </w:trPr>
        <w:tc>
          <w:tcPr>
            <w:tcW w:w="1008" w:type="dxa"/>
            <w:vAlign w:val="bottom"/>
          </w:tcPr>
          <w:p w:rsidRPr="00D81774" w:rsidR="00C26E00" w:rsidRDefault="00C26E00" w14:paraId="5C09AE5D" w14:textId="77777777">
            <w:pPr>
              <w:autoSpaceDE w:val="0"/>
              <w:autoSpaceDN w:val="0"/>
              <w:adjustRightInd w:val="0"/>
              <w:rPr>
                <w:rFonts w:eastAsia="Yu Mincho" w:cs="Arial"/>
                <w:kern w:val="14"/>
              </w:rPr>
            </w:pPr>
            <w:r>
              <w:rPr>
                <w:rFonts w:eastAsia="Yu Mincho" w:cs="Arial"/>
                <w:kern w:val="14"/>
              </w:rPr>
              <w:t>Name</w:t>
            </w:r>
          </w:p>
          <w:p w:rsidRPr="00D81774" w:rsidR="00C26E00" w:rsidRDefault="00C26E00" w14:paraId="7A7303F7" w14:textId="77777777">
            <w:pPr>
              <w:autoSpaceDE w:val="0"/>
              <w:autoSpaceDN w:val="0"/>
              <w:adjustRightInd w:val="0"/>
              <w:rPr>
                <w:rFonts w:eastAsia="Yu Mincho" w:cs="Arial"/>
                <w:kern w:val="14"/>
              </w:rPr>
            </w:pPr>
            <w:r>
              <w:rPr>
                <w:rFonts w:eastAsia="Yu Mincho" w:cs="Arial"/>
                <w:kern w:val="14"/>
              </w:rPr>
              <w:t>Printed:</w:t>
            </w:r>
          </w:p>
        </w:tc>
        <w:tc>
          <w:tcPr>
            <w:tcW w:w="4093" w:type="dxa"/>
            <w:tcBorders>
              <w:top w:val="single" w:color="auto" w:sz="4" w:space="0"/>
              <w:bottom w:val="single" w:color="auto" w:sz="4" w:space="0"/>
            </w:tcBorders>
            <w:vAlign w:val="bottom"/>
          </w:tcPr>
          <w:p w:rsidRPr="00D81774" w:rsidR="00C26E00" w:rsidRDefault="00C26E00" w14:paraId="296C274C" w14:textId="77777777">
            <w:pPr>
              <w:keepLines/>
              <w:rPr>
                <w:rFonts w:eastAsia="Calibri" w:cs="Arial"/>
              </w:rPr>
            </w:pPr>
          </w:p>
        </w:tc>
      </w:tr>
      <w:tr w:rsidRPr="00A61905" w:rsidR="00C26E00" w14:paraId="737744B4" w14:textId="77777777">
        <w:trPr>
          <w:gridAfter w:val="1"/>
          <w:wAfter w:w="29" w:type="dxa"/>
          <w:cantSplit/>
          <w:trHeight w:val="504"/>
        </w:trPr>
        <w:tc>
          <w:tcPr>
            <w:tcW w:w="1008" w:type="dxa"/>
            <w:vAlign w:val="bottom"/>
          </w:tcPr>
          <w:p w:rsidRPr="00D81774" w:rsidR="00C26E00" w:rsidRDefault="00C26E00" w14:paraId="024B657D" w14:textId="77777777">
            <w:pPr>
              <w:autoSpaceDE w:val="0"/>
              <w:autoSpaceDN w:val="0"/>
              <w:adjustRightInd w:val="0"/>
              <w:rPr>
                <w:rFonts w:eastAsia="Yu Mincho" w:cs="Arial"/>
                <w:kern w:val="14"/>
              </w:rPr>
            </w:pPr>
            <w:r>
              <w:rPr>
                <w:rFonts w:eastAsia="Yu Mincho" w:cs="Arial"/>
                <w:kern w:val="14"/>
              </w:rPr>
              <w:t>Title:</w:t>
            </w:r>
          </w:p>
        </w:tc>
        <w:tc>
          <w:tcPr>
            <w:tcW w:w="4093" w:type="dxa"/>
            <w:tcBorders>
              <w:top w:val="single" w:color="auto" w:sz="4" w:space="0"/>
              <w:bottom w:val="single" w:color="auto" w:sz="4" w:space="0"/>
            </w:tcBorders>
            <w:vAlign w:val="bottom"/>
          </w:tcPr>
          <w:p w:rsidRPr="00D81774" w:rsidR="00C26E00" w:rsidRDefault="00C26E00" w14:paraId="21812BBA" w14:textId="77777777">
            <w:pPr>
              <w:keepLines/>
              <w:rPr>
                <w:rFonts w:eastAsia="Calibri" w:cs="Arial"/>
              </w:rPr>
            </w:pPr>
          </w:p>
        </w:tc>
      </w:tr>
      <w:tr w:rsidRPr="00A61905" w:rsidR="00C26E00" w14:paraId="7A2F547F" w14:textId="77777777">
        <w:trPr>
          <w:gridAfter w:val="1"/>
          <w:wAfter w:w="29" w:type="dxa"/>
          <w:cantSplit/>
          <w:trHeight w:val="504"/>
        </w:trPr>
        <w:tc>
          <w:tcPr>
            <w:tcW w:w="1008" w:type="dxa"/>
            <w:vAlign w:val="bottom"/>
          </w:tcPr>
          <w:p w:rsidRPr="00D81774" w:rsidR="00C26E00" w:rsidRDefault="00C26E00" w14:paraId="41939ED5" w14:textId="77777777">
            <w:pPr>
              <w:autoSpaceDE w:val="0"/>
              <w:autoSpaceDN w:val="0"/>
              <w:adjustRightInd w:val="0"/>
              <w:rPr>
                <w:rFonts w:eastAsia="Yu Mincho" w:cs="Arial"/>
                <w:kern w:val="14"/>
              </w:rPr>
            </w:pPr>
            <w:r>
              <w:rPr>
                <w:rFonts w:eastAsia="Yu Mincho" w:cs="Arial"/>
                <w:kern w:val="14"/>
              </w:rPr>
              <w:t>Date:</w:t>
            </w:r>
          </w:p>
        </w:tc>
        <w:tc>
          <w:tcPr>
            <w:tcW w:w="4093" w:type="dxa"/>
            <w:tcBorders>
              <w:top w:val="single" w:color="auto" w:sz="4" w:space="0"/>
              <w:bottom w:val="single" w:color="auto" w:sz="4" w:space="0"/>
            </w:tcBorders>
            <w:vAlign w:val="bottom"/>
          </w:tcPr>
          <w:p w:rsidRPr="00D81774" w:rsidR="00C26E00" w:rsidRDefault="00C26E00" w14:paraId="57412B84" w14:textId="77777777">
            <w:pPr>
              <w:keepLines/>
              <w:rPr>
                <w:rFonts w:eastAsia="Calibri" w:cs="Arial"/>
              </w:rPr>
            </w:pPr>
          </w:p>
        </w:tc>
      </w:tr>
    </w:tbl>
    <w:p w:rsidRPr="00D81774" w:rsidR="00C26E00" w:rsidP="00C26E00" w:rsidRDefault="00C26E00" w14:paraId="04C97B69" w14:textId="77777777">
      <w:pPr>
        <w:rPr>
          <w:rFonts w:eastAsia="Calibri" w:cs="Arial"/>
        </w:rPr>
      </w:pPr>
    </w:p>
    <w:p w:rsidR="00C26E00" w:rsidP="00C26E00" w:rsidRDefault="00C26E00" w14:paraId="40901495" w14:textId="77777777">
      <w:pPr>
        <w:pStyle w:val="zGNormal6"/>
      </w:pPr>
    </w:p>
    <w:p w:rsidRPr="00F10071" w:rsidR="00506657" w:rsidP="00506657" w:rsidRDefault="00506657" w14:paraId="215F7845" w14:textId="77777777">
      <w:pPr>
        <w:suppressAutoHyphens/>
        <w:adjustRightInd w:val="0"/>
        <w:spacing w:before="0" w:after="240"/>
        <w:ind w:firstLine="720"/>
        <w:textAlignment w:val="baseline"/>
        <w:rPr>
          <w:rFonts w:eastAsia="Times New Roman" w:cs="Arial"/>
        </w:rPr>
        <w:sectPr w:rsidRPr="00F10071" w:rsidR="00506657" w:rsidSect="005B310E">
          <w:headerReference w:type="default" r:id="rId54"/>
          <w:footerReference w:type="default" r:id="rId55"/>
          <w:pgSz w:w="12240" w:h="15840" w:code="1"/>
          <w:pgMar w:top="1440" w:right="1440" w:bottom="1440" w:left="1440" w:header="720" w:footer="720" w:gutter="0"/>
          <w:paperSrc w:first="15" w:other="15"/>
          <w:cols w:space="1440"/>
        </w:sectPr>
      </w:pPr>
    </w:p>
    <w:p w:rsidRPr="00F10071" w:rsidR="00506657" w:rsidP="009D364F" w:rsidRDefault="001F2312" w14:paraId="555A9BF2" w14:textId="720FEF7A">
      <w:pPr>
        <w:pStyle w:val="zGTitleExhibit"/>
        <w:rPr>
          <w:rFonts w:cs="Arial"/>
        </w:rPr>
      </w:pPr>
      <w:bookmarkStart w:name="_Toc212473101" w:id="596"/>
      <w:bookmarkStart w:name="_Toc227840797" w:id="597"/>
      <w:r>
        <w:rPr>
          <w:rFonts w:cs="Arial"/>
        </w:rPr>
        <w:lastRenderedPageBreak/>
        <w:t>Exhibit J – VIE Certification</w:t>
      </w:r>
      <w:bookmarkEnd w:id="596"/>
      <w:bookmarkEnd w:id="597"/>
    </w:p>
    <w:p w:rsidRPr="00F10071" w:rsidR="00506657" w:rsidP="00506657" w:rsidRDefault="00506657" w14:paraId="69D08373" w14:textId="0F3B6670">
      <w:pPr>
        <w:suppressAutoHyphens/>
        <w:adjustRightInd w:val="0"/>
        <w:spacing w:before="0" w:after="0"/>
        <w:textAlignment w:val="baseline"/>
        <w:rPr>
          <w:rFonts w:eastAsia="Times New Roman" w:cs="Arial"/>
        </w:rPr>
      </w:pPr>
      <w:r>
        <w:rPr>
          <w:rFonts w:eastAsia="Times New Roman" w:cs="Arial"/>
          <w:b/>
        </w:rPr>
        <w:t xml:space="preserve">AGREEMENT – </w:t>
      </w:r>
      <w:r>
        <w:rPr>
          <w:rFonts w:cs="Arial"/>
          <w:b/>
        </w:rPr>
        <w:t xml:space="preserve">Power Purchase Agreement for Firm Capacity, Firm Energy, and Ancillary Services from a Combined Cycle Facility for 2026 All-Source Capacity Request for Proposals for Need Years 2032–2033 </w:t>
      </w:r>
      <w:r>
        <w:rPr>
          <w:rFonts w:eastAsia="Times New Roman" w:cs="Arial"/>
          <w:b/>
          <w:bCs/>
        </w:rPr>
        <w:t>at (</w:t>
      </w:r>
      <w:r>
        <w:rPr>
          <w:rFonts w:eastAsia="Times New Roman" w:cs="Arial"/>
          <w:b/>
          <w:bCs/>
          <w:highlight w:val="yellow"/>
        </w:rPr>
        <w:t>#</w:t>
      </w:r>
      <w:r>
        <w:rPr>
          <w:rFonts w:eastAsia="Times New Roman" w:cs="Arial"/>
          <w:b/>
          <w:highlight w:val="yellow"/>
        </w:rPr>
        <w:t>FacilityName</w:t>
      </w:r>
      <w:r>
        <w:rPr>
          <w:rFonts w:eastAsia="Times New Roman" w:cs="Arial"/>
          <w:b/>
          <w:bCs/>
          <w:highlight w:val="yellow"/>
        </w:rPr>
        <w:t>#</w:t>
      </w:r>
      <w:r>
        <w:rPr>
          <w:rFonts w:eastAsia="Times New Roman" w:cs="Arial"/>
          <w:b/>
          <w:bCs/>
        </w:rPr>
        <w:t>)</w:t>
      </w:r>
      <w:r>
        <w:rPr>
          <w:rFonts w:cs="Arial"/>
          <w:b/>
        </w:rPr>
        <w:t xml:space="preserve"> </w:t>
      </w:r>
      <w:r>
        <w:rPr>
          <w:rFonts w:eastAsia="Times New Roman" w:cs="Arial"/>
        </w:rPr>
        <w:t xml:space="preserve">dated </w:t>
      </w:r>
      <w:r>
        <w:rPr>
          <w:rFonts w:eastAsia="Calibri" w:cs="Arial"/>
          <w:highlight w:val="yellow"/>
        </w:rPr>
        <w:t>#Month</w:t>
      </w:r>
      <w:r>
        <w:rPr>
          <w:rFonts w:eastAsia="Calibri" w:cs="Arial"/>
        </w:rPr>
        <w:t xml:space="preserve"> </w:t>
      </w:r>
      <w:r>
        <w:rPr>
          <w:rFonts w:eastAsia="Calibri" w:cs="Arial"/>
          <w:highlight w:val="yellow"/>
        </w:rPr>
        <w:t>#Day</w:t>
      </w:r>
      <w:r>
        <w:rPr>
          <w:rFonts w:eastAsia="Calibri" w:cs="Arial"/>
        </w:rPr>
        <w:t xml:space="preserve">, </w:t>
      </w:r>
      <w:r>
        <w:rPr>
          <w:rFonts w:eastAsia="Calibri" w:cs="Arial"/>
          <w:highlight w:val="yellow"/>
        </w:rPr>
        <w:t>#Year</w:t>
      </w:r>
      <w:r>
        <w:rPr>
          <w:rFonts w:eastAsia="Times New Roman" w:cs="Arial"/>
        </w:rPr>
        <w:t xml:space="preserve"> between</w:t>
      </w:r>
      <w:r>
        <w:rPr>
          <w:rFonts w:eastAsia="Times New Roman" w:cs="Arial"/>
          <w:b/>
        </w:rPr>
        <w:t xml:space="preserve"> </w:t>
      </w:r>
      <w:r>
        <w:rPr>
          <w:rFonts w:eastAsia="Times New Roman" w:cs="Arial"/>
        </w:rPr>
        <w:t>Georgia Power Company (“</w:t>
      </w:r>
      <w:r>
        <w:rPr>
          <w:rFonts w:eastAsia="Times New Roman" w:cs="Arial"/>
          <w:b/>
          <w:bCs/>
        </w:rPr>
        <w:t>GPC</w:t>
      </w:r>
      <w:r>
        <w:rPr>
          <w:rFonts w:eastAsia="Times New Roman" w:cs="Arial"/>
        </w:rPr>
        <w:t xml:space="preserve">”), and </w:t>
      </w:r>
      <w:r>
        <w:rPr>
          <w:rFonts w:eastAsia="Yu Mincho" w:cs="Arial"/>
          <w:b/>
          <w:spacing w:val="-6"/>
          <w:kern w:val="14"/>
          <w:highlight w:val="yellow"/>
        </w:rPr>
        <w:t>#SellerLegalName#</w:t>
      </w:r>
      <w:r>
        <w:rPr>
          <w:rFonts w:eastAsia="Times New Roman" w:cs="Arial"/>
        </w:rPr>
        <w:t xml:space="preserve"> (“</w:t>
      </w:r>
      <w:r>
        <w:rPr>
          <w:rFonts w:eastAsia="Times New Roman" w:cs="Arial"/>
          <w:b/>
          <w:bCs/>
        </w:rPr>
        <w:t>Seller</w:t>
      </w:r>
      <w:r>
        <w:rPr>
          <w:rFonts w:eastAsia="Times New Roman" w:cs="Arial"/>
        </w:rPr>
        <w:t>”) (“</w:t>
      </w:r>
      <w:r>
        <w:rPr>
          <w:rFonts w:eastAsia="Times New Roman" w:cs="Arial"/>
          <w:b/>
          <w:bCs/>
        </w:rPr>
        <w:t>PPA</w:t>
      </w:r>
      <w:r>
        <w:rPr>
          <w:rFonts w:eastAsia="Times New Roman" w:cs="Arial"/>
        </w:rPr>
        <w:t xml:space="preserve">”). Capitalized terms used herein </w:t>
      </w:r>
      <w:r>
        <w:rPr>
          <w:rFonts w:cs="Arial"/>
        </w:rPr>
        <w:t>will</w:t>
      </w:r>
      <w:r>
        <w:rPr>
          <w:rFonts w:eastAsia="Times New Roman" w:cs="Arial"/>
        </w:rPr>
        <w:t xml:space="preserve"> have the meaning assigned in the PPA.</w:t>
      </w:r>
    </w:p>
    <w:p w:rsidRPr="00F10071" w:rsidR="00506657" w:rsidP="00506657" w:rsidRDefault="00506657" w14:paraId="7F4FB228" w14:textId="77777777">
      <w:pPr>
        <w:suppressAutoHyphens/>
        <w:adjustRightInd w:val="0"/>
        <w:spacing w:before="0" w:after="0"/>
        <w:textAlignment w:val="baseline"/>
        <w:rPr>
          <w:rFonts w:eastAsia="Times New Roman" w:cs="Arial"/>
          <w:b/>
        </w:rPr>
      </w:pPr>
    </w:p>
    <w:p w:rsidRPr="00412C31" w:rsidR="00817A5D" w:rsidP="00817A5D" w:rsidRDefault="00817A5D" w14:paraId="4CEC0D85" w14:textId="77777777">
      <w:pPr>
        <w:suppressAutoHyphens/>
        <w:autoSpaceDE w:val="0"/>
        <w:autoSpaceDN w:val="0"/>
        <w:adjustRightInd w:val="0"/>
        <w:rPr>
          <w:rFonts w:eastAsia="Calibri" w:cs="Arial"/>
        </w:rPr>
      </w:pPr>
      <w:bookmarkStart w:name="_DV_C2135" w:id="598"/>
      <w:r>
        <w:rPr>
          <w:rFonts w:eastAsia="Calibri" w:cs="Arial"/>
        </w:rPr>
        <w:t>The undersigned individual, being the</w:t>
      </w:r>
      <w:bookmarkStart w:name="_DV_X1736" w:id="599"/>
      <w:bookmarkStart w:name="_DV_C2136" w:id="600"/>
      <w:bookmarkEnd w:id="598"/>
      <w:r>
        <w:rPr>
          <w:rFonts w:eastAsia="Calibri" w:cs="Arial"/>
        </w:rPr>
        <w:t xml:space="preserve"> Chief Financial Officer </w:t>
      </w:r>
      <w:bookmarkStart w:name="_DV_C2137" w:id="601"/>
      <w:bookmarkEnd w:id="599"/>
      <w:bookmarkEnd w:id="600"/>
      <w:r>
        <w:rPr>
          <w:rFonts w:eastAsia="Calibri" w:cs="Arial"/>
        </w:rPr>
        <w:t>of Seller</w:t>
      </w:r>
      <w:bookmarkStart w:name="_Ref121294435" w:id="602"/>
      <w:r>
        <w:rPr>
          <w:rFonts w:eastAsia="Calibri" w:cs="Arial"/>
          <w:vertAlign w:val="superscript"/>
        </w:rPr>
        <w:footnoteReference w:id="3"/>
      </w:r>
      <w:bookmarkEnd w:id="602"/>
      <w:r>
        <w:rPr>
          <w:rFonts w:eastAsia="Calibri" w:cs="Arial"/>
        </w:rPr>
        <w:t xml:space="preserve"> and having responsibilities for financial accounting matters associated with this PPA, certifies that this </w:t>
      </w:r>
      <w:r>
        <w:rPr>
          <w:rFonts w:eastAsia="Times New Roman" w:cs="Arial"/>
        </w:rPr>
        <w:t xml:space="preserve">PPA </w:t>
      </w:r>
      <w:r>
        <w:rPr>
          <w:rFonts w:eastAsia="Calibri" w:cs="Arial"/>
        </w:rPr>
        <w:t>WILL (_____)/WILL NOT (_____) require Seller, over the Term and based on U.S. Generally Accepting Accounting Principles in effect as of the date of this certificate, to deconsolidate on its books and records any assets, liabilities, cash flow, profits, or losses of Seller as a result of GPC being determined to be the Primary Beneficiary. My determination of the most likely accounting treatment of this transaction results from my personal consideration after necessary discussions with relevant officers of</w:t>
      </w:r>
      <w:bookmarkStart w:name="_DV_X2116" w:id="603"/>
      <w:bookmarkStart w:name="_DV_C2138" w:id="604"/>
      <w:bookmarkEnd w:id="601"/>
      <w:r>
        <w:rPr>
          <w:rFonts w:eastAsia="Calibri" w:cs="Arial"/>
        </w:rPr>
        <w:t xml:space="preserve"> Accounting Standards Codification (“</w:t>
      </w:r>
      <w:r>
        <w:rPr>
          <w:rFonts w:eastAsia="Calibri" w:cs="Arial"/>
          <w:b/>
        </w:rPr>
        <w:t>ASC</w:t>
      </w:r>
      <w:r>
        <w:rPr>
          <w:rFonts w:eastAsia="Calibri" w:cs="Arial"/>
        </w:rPr>
        <w:t xml:space="preserve">”) Topic </w:t>
      </w:r>
      <w:bookmarkStart w:name="DocXTextRef461" w:id="605"/>
      <w:r>
        <w:rPr>
          <w:rFonts w:eastAsia="Calibri" w:cs="Arial"/>
        </w:rPr>
        <w:t>810</w:t>
      </w:r>
      <w:bookmarkEnd w:id="605"/>
      <w:r>
        <w:rPr>
          <w:rFonts w:eastAsia="Calibri" w:cs="Arial"/>
        </w:rPr>
        <w:t xml:space="preserve">, </w:t>
      </w:r>
      <w:bookmarkStart w:name="_DV_C2139" w:id="606"/>
      <w:bookmarkEnd w:id="603"/>
      <w:bookmarkEnd w:id="604"/>
      <w:r>
        <w:rPr>
          <w:rFonts w:eastAsia="Calibri" w:cs="Arial"/>
        </w:rPr>
        <w:t>Consolidation, and the following factual matters:</w:t>
      </w:r>
      <w:bookmarkEnd w:id="606"/>
    </w:p>
    <w:p w:rsidRPr="00412C31" w:rsidR="00817A5D" w:rsidP="004206E0" w:rsidRDefault="00817A5D" w14:paraId="16CF8FD8" w14:textId="77777777">
      <w:pPr>
        <w:widowControl w:val="0"/>
        <w:numPr>
          <w:ilvl w:val="0"/>
          <w:numId w:val="7"/>
        </w:numPr>
        <w:suppressAutoHyphens/>
        <w:autoSpaceDE w:val="0"/>
        <w:autoSpaceDN w:val="0"/>
        <w:adjustRightInd w:val="0"/>
        <w:jc w:val="left"/>
        <w:textAlignment w:val="baseline"/>
        <w:rPr>
          <w:rFonts w:eastAsia="Calibri" w:cs="Arial"/>
        </w:rPr>
      </w:pPr>
      <w:bookmarkStart w:name="_DV_C2140" w:id="607"/>
      <w:r>
        <w:rPr>
          <w:rFonts w:eastAsia="Calibri" w:cs="Arial"/>
        </w:rPr>
        <w:t>Seller’s accounting policies, procedures, and internal controls are sufficient to provide GPC with an appropriate basis for confirming the information contained herein.</w:t>
      </w:r>
      <w:bookmarkEnd w:id="607"/>
    </w:p>
    <w:p w:rsidRPr="00412C31" w:rsidR="00817A5D" w:rsidP="00817A5D" w:rsidRDefault="00817A5D" w14:paraId="33CE13DB" w14:textId="77777777">
      <w:pPr>
        <w:suppressAutoHyphens/>
        <w:autoSpaceDE w:val="0"/>
        <w:autoSpaceDN w:val="0"/>
        <w:adjustRightInd w:val="0"/>
        <w:ind w:firstLine="720"/>
        <w:rPr>
          <w:rFonts w:eastAsia="Calibri" w:cs="Arial"/>
        </w:rPr>
      </w:pPr>
      <w:bookmarkStart w:name="_DV_C2141" w:id="608"/>
    </w:p>
    <w:p w:rsidRPr="00412C31" w:rsidR="00817A5D" w:rsidP="00817A5D" w:rsidRDefault="00817A5D" w14:paraId="03DC8FDB" w14:textId="77777777">
      <w:pPr>
        <w:suppressAutoHyphens/>
        <w:autoSpaceDE w:val="0"/>
        <w:autoSpaceDN w:val="0"/>
        <w:adjustRightInd w:val="0"/>
        <w:ind w:firstLine="720"/>
        <w:rPr>
          <w:rFonts w:eastAsia="Calibri" w:cs="Arial"/>
        </w:rPr>
      </w:pPr>
      <w:r>
        <w:rPr>
          <w:rFonts w:eastAsia="Calibri" w:cs="Arial"/>
        </w:rPr>
        <w:t>________Yes</w:t>
      </w:r>
      <w:bookmarkEnd w:id="608"/>
    </w:p>
    <w:p w:rsidRPr="00412C31" w:rsidR="00817A5D" w:rsidP="00817A5D" w:rsidRDefault="00817A5D" w14:paraId="3F876920" w14:textId="77777777">
      <w:pPr>
        <w:suppressAutoHyphens/>
        <w:autoSpaceDE w:val="0"/>
        <w:autoSpaceDN w:val="0"/>
        <w:adjustRightInd w:val="0"/>
        <w:ind w:firstLine="720"/>
        <w:rPr>
          <w:rFonts w:eastAsia="Calibri" w:cs="Arial"/>
        </w:rPr>
      </w:pPr>
      <w:bookmarkStart w:name="_DV_C2142" w:id="609"/>
      <w:r>
        <w:rPr>
          <w:rFonts w:eastAsia="Calibri" w:cs="Arial"/>
        </w:rPr>
        <w:t>________No (please explain)</w:t>
      </w:r>
      <w:bookmarkEnd w:id="609"/>
    </w:p>
    <w:p w:rsidRPr="00412C31" w:rsidR="00817A5D" w:rsidP="00817A5D" w:rsidRDefault="00817A5D" w14:paraId="48D8BCAD" w14:textId="77777777">
      <w:pPr>
        <w:suppressAutoHyphens/>
        <w:autoSpaceDE w:val="0"/>
        <w:autoSpaceDN w:val="0"/>
        <w:adjustRightInd w:val="0"/>
        <w:ind w:firstLine="720"/>
        <w:rPr>
          <w:rFonts w:eastAsia="Calibri" w:cs="Arial"/>
        </w:rPr>
      </w:pPr>
    </w:p>
    <w:p w:rsidRPr="00412C31" w:rsidR="00817A5D" w:rsidP="00817A5D" w:rsidRDefault="00817A5D" w14:paraId="3DCB20B3" w14:textId="77777777">
      <w:pPr>
        <w:suppressAutoHyphens/>
        <w:autoSpaceDE w:val="0"/>
        <w:autoSpaceDN w:val="0"/>
        <w:adjustRightInd w:val="0"/>
        <w:ind w:left="720" w:hanging="14"/>
        <w:rPr>
          <w:rFonts w:eastAsia="Calibri" w:cs="Arial"/>
          <w:iCs/>
        </w:rPr>
      </w:pPr>
      <w:r>
        <w:rPr>
          <w:rFonts w:eastAsia="Calibri" w:cs="Arial"/>
          <w:i/>
        </w:rPr>
        <w:t>Explain:</w:t>
      </w:r>
      <w:r>
        <w:rPr>
          <w:rFonts w:eastAsia="Calibri" w:cs="Arial"/>
          <w:iCs/>
        </w:rPr>
        <w:t>_______________________________________________________________________</w:t>
      </w:r>
    </w:p>
    <w:p w:rsidRPr="00412C31" w:rsidR="00817A5D" w:rsidP="00817A5D" w:rsidRDefault="00817A5D" w14:paraId="34B2436D" w14:textId="77777777">
      <w:pPr>
        <w:suppressAutoHyphens/>
        <w:autoSpaceDE w:val="0"/>
        <w:autoSpaceDN w:val="0"/>
        <w:adjustRightInd w:val="0"/>
        <w:ind w:left="720" w:hanging="14"/>
        <w:rPr>
          <w:rFonts w:eastAsia="Calibri" w:cs="Arial"/>
        </w:rPr>
      </w:pPr>
    </w:p>
    <w:p w:rsidRPr="00412C31" w:rsidR="00817A5D" w:rsidP="004206E0" w:rsidRDefault="00817A5D" w14:paraId="35D1829E" w14:textId="77777777">
      <w:pPr>
        <w:widowControl w:val="0"/>
        <w:numPr>
          <w:ilvl w:val="0"/>
          <w:numId w:val="7"/>
        </w:numPr>
        <w:suppressAutoHyphens/>
        <w:autoSpaceDE w:val="0"/>
        <w:autoSpaceDN w:val="0"/>
        <w:adjustRightInd w:val="0"/>
        <w:jc w:val="left"/>
        <w:textAlignment w:val="baseline"/>
        <w:rPr>
          <w:rFonts w:eastAsia="Calibri" w:cs="Arial"/>
        </w:rPr>
      </w:pPr>
      <w:r>
        <w:rPr>
          <w:rFonts w:eastAsia="Calibri" w:cs="Arial"/>
        </w:rPr>
        <w:t xml:space="preserve">Seller qualifies for one of the scope exceptions listed in paragraphs </w:t>
      </w:r>
      <w:bookmarkStart w:name="DocXTextRef462" w:id="610"/>
      <w:r>
        <w:rPr>
          <w:rFonts w:eastAsia="Calibri" w:cs="Arial"/>
        </w:rPr>
        <w:t>810</w:t>
      </w:r>
      <w:bookmarkEnd w:id="610"/>
      <w:r>
        <w:rPr>
          <w:rFonts w:eastAsia="Calibri" w:cs="Arial"/>
        </w:rPr>
        <w:t>-</w:t>
      </w:r>
      <w:bookmarkStart w:name="DocXTextRef463" w:id="611"/>
      <w:r>
        <w:rPr>
          <w:rFonts w:eastAsia="Calibri" w:cs="Arial"/>
        </w:rPr>
        <w:t>10</w:t>
      </w:r>
      <w:bookmarkEnd w:id="611"/>
      <w:r>
        <w:rPr>
          <w:rFonts w:eastAsia="Calibri" w:cs="Arial"/>
        </w:rPr>
        <w:t xml:space="preserve">-15-12 and </w:t>
      </w:r>
      <w:bookmarkStart w:name="DocXTextRef466" w:id="612"/>
      <w:r>
        <w:rPr>
          <w:rFonts w:eastAsia="Calibri" w:cs="Arial"/>
        </w:rPr>
        <w:t>810</w:t>
      </w:r>
      <w:bookmarkEnd w:id="612"/>
      <w:r>
        <w:rPr>
          <w:rFonts w:eastAsia="Calibri" w:cs="Arial"/>
        </w:rPr>
        <w:t>-</w:t>
      </w:r>
      <w:bookmarkStart w:name="DocXTextRef464" w:id="613"/>
      <w:r>
        <w:rPr>
          <w:rFonts w:eastAsia="Calibri" w:cs="Arial"/>
        </w:rPr>
        <w:t>10</w:t>
      </w:r>
      <w:bookmarkEnd w:id="613"/>
      <w:r>
        <w:rPr>
          <w:rFonts w:eastAsia="Calibri" w:cs="Arial"/>
        </w:rPr>
        <w:t xml:space="preserve">-15-17 of ASC Topic </w:t>
      </w:r>
      <w:bookmarkStart w:name="DocXTextRef465" w:id="614"/>
      <w:r>
        <w:rPr>
          <w:rFonts w:eastAsia="Calibri" w:cs="Arial"/>
        </w:rPr>
        <w:t>810</w:t>
      </w:r>
      <w:bookmarkEnd w:id="614"/>
      <w:r>
        <w:rPr>
          <w:rFonts w:eastAsia="Calibri" w:cs="Arial"/>
        </w:rPr>
        <w:t xml:space="preserve">. </w:t>
      </w:r>
    </w:p>
    <w:p w:rsidRPr="00412C31" w:rsidR="00817A5D" w:rsidP="00817A5D" w:rsidRDefault="00817A5D" w14:paraId="418CAEF5" w14:textId="77777777">
      <w:pPr>
        <w:suppressAutoHyphens/>
        <w:autoSpaceDE w:val="0"/>
        <w:autoSpaceDN w:val="0"/>
        <w:adjustRightInd w:val="0"/>
        <w:ind w:left="720"/>
        <w:rPr>
          <w:rFonts w:eastAsia="Calibri" w:cs="Arial"/>
        </w:rPr>
      </w:pPr>
    </w:p>
    <w:p w:rsidRPr="00412C31" w:rsidR="00817A5D" w:rsidP="00817A5D" w:rsidRDefault="00817A5D" w14:paraId="4D20B263" w14:textId="3EF739CD">
      <w:pPr>
        <w:suppressAutoHyphens/>
        <w:autoSpaceDE w:val="0"/>
        <w:autoSpaceDN w:val="0"/>
        <w:adjustRightInd w:val="0"/>
        <w:ind w:left="720"/>
        <w:rPr>
          <w:rFonts w:eastAsia="Calibri" w:cs="Arial"/>
        </w:rPr>
      </w:pPr>
      <w:bookmarkStart w:name="_DV_C2145" w:id="615"/>
      <w:r>
        <w:rPr>
          <w:rFonts w:eastAsia="Calibri" w:cs="Arial"/>
        </w:rPr>
        <w:t xml:space="preserve">________Yes </w:t>
      </w:r>
    </w:p>
    <w:p w:rsidRPr="00412C31" w:rsidR="00817A5D" w:rsidP="00817A5D" w:rsidRDefault="00817A5D" w14:paraId="7A686171" w14:textId="77777777">
      <w:pPr>
        <w:suppressAutoHyphens/>
        <w:autoSpaceDE w:val="0"/>
        <w:autoSpaceDN w:val="0"/>
        <w:adjustRightInd w:val="0"/>
        <w:ind w:left="720"/>
        <w:rPr>
          <w:rFonts w:eastAsia="Calibri" w:cs="Arial"/>
        </w:rPr>
      </w:pPr>
      <w:r>
        <w:rPr>
          <w:rFonts w:eastAsia="Calibri" w:cs="Arial"/>
        </w:rPr>
        <w:t>________No</w:t>
      </w:r>
      <w:bookmarkEnd w:id="615"/>
      <w:r>
        <w:rPr>
          <w:rFonts w:eastAsia="Calibri" w:cs="Arial"/>
        </w:rPr>
        <w:t xml:space="preserve"> (please explain)</w:t>
      </w:r>
    </w:p>
    <w:p w:rsidRPr="00412C31" w:rsidR="00817A5D" w:rsidP="00817A5D" w:rsidRDefault="00817A5D" w14:paraId="116F3852" w14:textId="77777777">
      <w:pPr>
        <w:suppressAutoHyphens/>
        <w:autoSpaceDE w:val="0"/>
        <w:autoSpaceDN w:val="0"/>
        <w:adjustRightInd w:val="0"/>
        <w:ind w:left="720"/>
        <w:rPr>
          <w:rFonts w:eastAsia="Calibri" w:cs="Arial"/>
        </w:rPr>
      </w:pPr>
    </w:p>
    <w:p w:rsidRPr="00412C31" w:rsidR="00817A5D" w:rsidP="00817A5D" w:rsidRDefault="00817A5D" w14:paraId="72D05676" w14:textId="77777777">
      <w:pPr>
        <w:suppressAutoHyphens/>
        <w:autoSpaceDE w:val="0"/>
        <w:autoSpaceDN w:val="0"/>
        <w:adjustRightInd w:val="0"/>
        <w:ind w:left="720"/>
        <w:rPr>
          <w:rFonts w:eastAsia="Calibri" w:cs="Arial"/>
        </w:rPr>
      </w:pPr>
      <w:r>
        <w:rPr>
          <w:rFonts w:eastAsia="Calibri" w:cs="Arial"/>
          <w:i/>
        </w:rPr>
        <w:t>Explain:</w:t>
      </w:r>
      <w:r>
        <w:rPr>
          <w:rFonts w:eastAsia="Calibri" w:cs="Arial"/>
          <w:iCs/>
        </w:rPr>
        <w:t xml:space="preserve">_______________________________________________________________________ </w:t>
      </w:r>
    </w:p>
    <w:p w:rsidRPr="00412C31" w:rsidR="00817A5D" w:rsidP="00817A5D" w:rsidRDefault="00817A5D" w14:paraId="3D91E14E" w14:textId="77777777">
      <w:pPr>
        <w:suppressAutoHyphens/>
        <w:autoSpaceDE w:val="0"/>
        <w:autoSpaceDN w:val="0"/>
        <w:adjustRightInd w:val="0"/>
        <w:ind w:left="720"/>
        <w:rPr>
          <w:rFonts w:eastAsia="Calibri" w:cs="Arial"/>
        </w:rPr>
      </w:pPr>
    </w:p>
    <w:p w:rsidRPr="00412C31" w:rsidR="00817A5D" w:rsidP="004206E0" w:rsidRDefault="00817A5D" w14:paraId="207D51AB" w14:textId="77777777">
      <w:pPr>
        <w:widowControl w:val="0"/>
        <w:numPr>
          <w:ilvl w:val="0"/>
          <w:numId w:val="7"/>
        </w:numPr>
        <w:suppressAutoHyphens/>
        <w:autoSpaceDE w:val="0"/>
        <w:autoSpaceDN w:val="0"/>
        <w:adjustRightInd w:val="0"/>
        <w:jc w:val="left"/>
        <w:textAlignment w:val="baseline"/>
        <w:rPr>
          <w:rFonts w:eastAsia="Calibri" w:cs="Arial"/>
        </w:rPr>
      </w:pPr>
      <w:r>
        <w:rPr>
          <w:rFonts w:eastAsia="Calibri" w:cs="Arial"/>
        </w:rPr>
        <w:t xml:space="preserve">Seller is financed with equity equal to or greater than 10% of Seller’s total assets per paragraphs </w:t>
      </w:r>
      <w:bookmarkStart w:name="DocXTextRef467" w:id="616"/>
      <w:r>
        <w:rPr>
          <w:rFonts w:eastAsia="Calibri" w:cs="Arial"/>
        </w:rPr>
        <w:t>810</w:t>
      </w:r>
      <w:bookmarkEnd w:id="616"/>
      <w:r>
        <w:rPr>
          <w:rFonts w:eastAsia="Calibri" w:cs="Arial"/>
        </w:rPr>
        <w:t>-</w:t>
      </w:r>
      <w:bookmarkStart w:name="DocXTextRef468" w:id="617"/>
      <w:r>
        <w:rPr>
          <w:rFonts w:eastAsia="Calibri" w:cs="Arial"/>
        </w:rPr>
        <w:t>10</w:t>
      </w:r>
      <w:bookmarkEnd w:id="617"/>
      <w:r>
        <w:rPr>
          <w:rFonts w:eastAsia="Calibri" w:cs="Arial"/>
        </w:rPr>
        <w:t xml:space="preserve">-25-45 to </w:t>
      </w:r>
      <w:bookmarkStart w:name="DocXTextRef470" w:id="618"/>
      <w:r>
        <w:rPr>
          <w:rFonts w:eastAsia="Calibri" w:cs="Arial"/>
        </w:rPr>
        <w:t>47</w:t>
      </w:r>
      <w:bookmarkEnd w:id="618"/>
      <w:r>
        <w:rPr>
          <w:rFonts w:eastAsia="Calibri" w:cs="Arial"/>
        </w:rPr>
        <w:t xml:space="preserve"> of ASC Topic </w:t>
      </w:r>
      <w:bookmarkStart w:name="DocXTextRef469" w:id="619"/>
      <w:r>
        <w:rPr>
          <w:rFonts w:eastAsia="Calibri" w:cs="Arial"/>
        </w:rPr>
        <w:t>810</w:t>
      </w:r>
      <w:bookmarkEnd w:id="619"/>
      <w:r>
        <w:rPr>
          <w:rFonts w:eastAsia="Calibri" w:cs="Arial"/>
        </w:rPr>
        <w:t>.</w:t>
      </w:r>
    </w:p>
    <w:p w:rsidRPr="00412C31" w:rsidR="00817A5D" w:rsidP="00817A5D" w:rsidRDefault="00817A5D" w14:paraId="02B2C8EB" w14:textId="77777777">
      <w:pPr>
        <w:suppressAutoHyphens/>
        <w:autoSpaceDE w:val="0"/>
        <w:autoSpaceDN w:val="0"/>
        <w:adjustRightInd w:val="0"/>
        <w:ind w:firstLine="720"/>
        <w:rPr>
          <w:rFonts w:eastAsia="Calibri" w:cs="Arial"/>
        </w:rPr>
      </w:pPr>
    </w:p>
    <w:p w:rsidRPr="00412C31" w:rsidR="00817A5D" w:rsidP="00817A5D" w:rsidRDefault="00817A5D" w14:paraId="1FD290E7" w14:textId="77777777">
      <w:pPr>
        <w:suppressAutoHyphens/>
        <w:autoSpaceDE w:val="0"/>
        <w:autoSpaceDN w:val="0"/>
        <w:adjustRightInd w:val="0"/>
        <w:ind w:firstLine="720"/>
        <w:rPr>
          <w:rFonts w:eastAsia="Calibri" w:cs="Arial"/>
        </w:rPr>
      </w:pPr>
      <w:r>
        <w:rPr>
          <w:rFonts w:eastAsia="Calibri" w:cs="Arial"/>
        </w:rPr>
        <w:t xml:space="preserve">________Yes </w:t>
      </w:r>
    </w:p>
    <w:p w:rsidRPr="00412C31" w:rsidR="00817A5D" w:rsidP="00817A5D" w:rsidRDefault="00817A5D" w14:paraId="6C0DA3DE" w14:textId="77777777">
      <w:pPr>
        <w:suppressAutoHyphens/>
        <w:autoSpaceDE w:val="0"/>
        <w:autoSpaceDN w:val="0"/>
        <w:adjustRightInd w:val="0"/>
        <w:ind w:firstLine="720"/>
        <w:rPr>
          <w:rFonts w:eastAsia="Calibri" w:cs="Arial"/>
        </w:rPr>
      </w:pPr>
      <w:r>
        <w:rPr>
          <w:rFonts w:eastAsia="Calibri" w:cs="Arial"/>
        </w:rPr>
        <w:t>________No (please explain)</w:t>
      </w:r>
    </w:p>
    <w:p w:rsidRPr="00412C31" w:rsidR="00817A5D" w:rsidP="00817A5D" w:rsidRDefault="00817A5D" w14:paraId="62546419" w14:textId="77777777">
      <w:pPr>
        <w:suppressAutoHyphens/>
        <w:autoSpaceDE w:val="0"/>
        <w:autoSpaceDN w:val="0"/>
        <w:adjustRightInd w:val="0"/>
        <w:ind w:firstLine="720"/>
        <w:rPr>
          <w:rFonts w:eastAsia="Calibri" w:cs="Arial"/>
        </w:rPr>
      </w:pPr>
    </w:p>
    <w:p w:rsidRPr="00412C31" w:rsidR="00817A5D" w:rsidP="00817A5D" w:rsidRDefault="00817A5D" w14:paraId="5A90F503" w14:textId="77777777">
      <w:pPr>
        <w:suppressAutoHyphens/>
        <w:autoSpaceDE w:val="0"/>
        <w:autoSpaceDN w:val="0"/>
        <w:adjustRightInd w:val="0"/>
        <w:ind w:left="720" w:hanging="14"/>
        <w:rPr>
          <w:rFonts w:eastAsia="Calibri" w:cs="Arial"/>
          <w:iCs/>
        </w:rPr>
      </w:pPr>
      <w:r>
        <w:rPr>
          <w:rFonts w:eastAsia="Calibri" w:cs="Arial"/>
          <w:i/>
        </w:rPr>
        <w:t>Explain</w:t>
      </w:r>
      <w:r>
        <w:rPr>
          <w:rFonts w:eastAsia="Calibri" w:cs="Arial"/>
          <w:iCs/>
        </w:rPr>
        <w:t>:_______________________________________________________________________</w:t>
      </w:r>
    </w:p>
    <w:p w:rsidRPr="00412C31" w:rsidR="00817A5D" w:rsidP="00817A5D" w:rsidRDefault="00817A5D" w14:paraId="06145D71" w14:textId="77777777">
      <w:pPr>
        <w:suppressAutoHyphens/>
        <w:autoSpaceDE w:val="0"/>
        <w:autoSpaceDN w:val="0"/>
        <w:adjustRightInd w:val="0"/>
        <w:ind w:left="720" w:hanging="14"/>
        <w:rPr>
          <w:rFonts w:eastAsia="Calibri" w:cs="Arial"/>
          <w:iCs/>
        </w:rPr>
      </w:pPr>
    </w:p>
    <w:p w:rsidRPr="00412C31" w:rsidR="00817A5D" w:rsidP="004206E0" w:rsidRDefault="00817A5D" w14:paraId="56517A5C" w14:textId="77777777">
      <w:pPr>
        <w:widowControl w:val="0"/>
        <w:numPr>
          <w:ilvl w:val="0"/>
          <w:numId w:val="7"/>
        </w:numPr>
        <w:suppressAutoHyphens/>
        <w:autoSpaceDE w:val="0"/>
        <w:autoSpaceDN w:val="0"/>
        <w:adjustRightInd w:val="0"/>
        <w:jc w:val="left"/>
        <w:textAlignment w:val="baseline"/>
        <w:rPr>
          <w:rFonts w:eastAsia="Calibri" w:cs="Arial"/>
        </w:rPr>
      </w:pPr>
      <w:r>
        <w:rPr>
          <w:rFonts w:eastAsia="Calibri" w:cs="Arial"/>
        </w:rPr>
        <w:t xml:space="preserve">The </w:t>
      </w:r>
      <w:r>
        <w:rPr>
          <w:rFonts w:eastAsia="Times New Roman" w:cs="Arial"/>
        </w:rPr>
        <w:t>PPA</w:t>
      </w:r>
      <w:r>
        <w:rPr>
          <w:rFonts w:eastAsia="Calibri" w:cs="Arial"/>
        </w:rPr>
        <w:t xml:space="preserve"> revenues correlate with fluctuations in Seller’s operating cash flows (operating expenses). </w:t>
      </w:r>
    </w:p>
    <w:p w:rsidRPr="00412C31" w:rsidR="00817A5D" w:rsidP="00817A5D" w:rsidRDefault="00817A5D" w14:paraId="0ED0121D" w14:textId="77777777">
      <w:pPr>
        <w:suppressAutoHyphens/>
        <w:autoSpaceDE w:val="0"/>
        <w:autoSpaceDN w:val="0"/>
        <w:adjustRightInd w:val="0"/>
        <w:ind w:firstLine="720"/>
        <w:rPr>
          <w:rFonts w:eastAsia="Calibri" w:cs="Arial"/>
        </w:rPr>
      </w:pPr>
    </w:p>
    <w:p w:rsidRPr="00412C31" w:rsidR="00817A5D" w:rsidP="00817A5D" w:rsidRDefault="00817A5D" w14:paraId="5F538B38" w14:textId="77777777">
      <w:pPr>
        <w:suppressAutoHyphens/>
        <w:autoSpaceDE w:val="0"/>
        <w:autoSpaceDN w:val="0"/>
        <w:adjustRightInd w:val="0"/>
        <w:ind w:firstLine="720"/>
        <w:rPr>
          <w:rFonts w:eastAsia="Calibri" w:cs="Arial"/>
        </w:rPr>
      </w:pPr>
      <w:r>
        <w:rPr>
          <w:rFonts w:eastAsia="Calibri" w:cs="Arial"/>
        </w:rPr>
        <w:t xml:space="preserve">________Yes </w:t>
      </w:r>
    </w:p>
    <w:p w:rsidRPr="00412C31" w:rsidR="00817A5D" w:rsidP="00817A5D" w:rsidRDefault="00817A5D" w14:paraId="2310D563" w14:textId="77777777">
      <w:pPr>
        <w:suppressAutoHyphens/>
        <w:autoSpaceDE w:val="0"/>
        <w:autoSpaceDN w:val="0"/>
        <w:adjustRightInd w:val="0"/>
        <w:ind w:firstLine="720"/>
        <w:rPr>
          <w:rFonts w:eastAsia="Calibri" w:cs="Arial"/>
        </w:rPr>
      </w:pPr>
      <w:r>
        <w:rPr>
          <w:rFonts w:eastAsia="Calibri" w:cs="Arial"/>
        </w:rPr>
        <w:t>________No (please explain)</w:t>
      </w:r>
    </w:p>
    <w:p w:rsidRPr="00412C31" w:rsidR="00817A5D" w:rsidP="00817A5D" w:rsidRDefault="00817A5D" w14:paraId="57D6FBF9" w14:textId="77777777">
      <w:pPr>
        <w:suppressAutoHyphens/>
        <w:autoSpaceDE w:val="0"/>
        <w:autoSpaceDN w:val="0"/>
        <w:adjustRightInd w:val="0"/>
        <w:ind w:firstLine="720"/>
        <w:rPr>
          <w:rFonts w:eastAsia="Calibri" w:cs="Arial"/>
        </w:rPr>
      </w:pPr>
    </w:p>
    <w:p w:rsidRPr="00412C31" w:rsidR="00817A5D" w:rsidP="00817A5D" w:rsidRDefault="00817A5D" w14:paraId="6D8D6475" w14:textId="77777777">
      <w:pPr>
        <w:suppressAutoHyphens/>
        <w:autoSpaceDE w:val="0"/>
        <w:autoSpaceDN w:val="0"/>
        <w:adjustRightInd w:val="0"/>
        <w:ind w:left="720"/>
        <w:rPr>
          <w:rFonts w:eastAsia="Calibri" w:cs="Arial"/>
          <w:iCs/>
        </w:rPr>
      </w:pPr>
      <w:r>
        <w:rPr>
          <w:rFonts w:eastAsia="Calibri" w:cs="Arial"/>
          <w:i/>
        </w:rPr>
        <w:t>Explain</w:t>
      </w:r>
      <w:r>
        <w:rPr>
          <w:rFonts w:eastAsia="Calibri" w:cs="Arial"/>
          <w:iCs/>
        </w:rPr>
        <w:t xml:space="preserve">:_______________________________________________________________________ </w:t>
      </w:r>
    </w:p>
    <w:p w:rsidRPr="00412C31" w:rsidR="00817A5D" w:rsidP="00817A5D" w:rsidRDefault="00817A5D" w14:paraId="6453D703" w14:textId="77777777">
      <w:pPr>
        <w:suppressAutoHyphens/>
        <w:autoSpaceDE w:val="0"/>
        <w:autoSpaceDN w:val="0"/>
        <w:adjustRightInd w:val="0"/>
        <w:ind w:firstLine="720"/>
        <w:rPr>
          <w:rFonts w:eastAsia="Calibri" w:cs="Arial"/>
          <w:iCs/>
        </w:rPr>
      </w:pPr>
    </w:p>
    <w:p w:rsidRPr="00412C31" w:rsidR="00817A5D" w:rsidP="004206E0" w:rsidRDefault="00817A5D" w14:paraId="7F6C6753" w14:textId="77777777">
      <w:pPr>
        <w:pStyle w:val="ListParagraph"/>
        <w:numPr>
          <w:ilvl w:val="0"/>
          <w:numId w:val="7"/>
        </w:numPr>
        <w:spacing w:before="120" w:after="120" w:line="240" w:lineRule="auto"/>
        <w:contextualSpacing w:val="0"/>
        <w:rPr>
          <w:rFonts w:ascii="Arial" w:hAnsi="Arial" w:cs="Arial"/>
          <w:sz w:val="20"/>
          <w:szCs w:val="20"/>
        </w:rPr>
      </w:pPr>
      <w:r>
        <w:rPr>
          <w:rFonts w:ascii="Arial" w:hAnsi="Arial" w:cs="Arial"/>
          <w:sz w:val="20"/>
          <w:szCs w:val="20"/>
        </w:rPr>
        <w:t xml:space="preserve">The </w:t>
      </w:r>
      <w:r>
        <w:rPr>
          <w:rFonts w:ascii="Arial" w:hAnsi="Arial" w:eastAsia="Times New Roman" w:cs="Arial"/>
          <w:sz w:val="20"/>
          <w:szCs w:val="20"/>
        </w:rPr>
        <w:t>PPA</w:t>
      </w:r>
      <w:r>
        <w:rPr>
          <w:rFonts w:ascii="Arial" w:hAnsi="Arial" w:cs="Arial"/>
          <w:sz w:val="20"/>
          <w:szCs w:val="20"/>
        </w:rPr>
        <w:t xml:space="preserve"> reduces variability in the fair value of Seller’s assets, for example by absorbing fuel or electricity price risk. </w:t>
      </w:r>
    </w:p>
    <w:p w:rsidRPr="00412C31" w:rsidR="00817A5D" w:rsidP="00817A5D" w:rsidRDefault="00817A5D" w14:paraId="7CC4E82A" w14:textId="77777777">
      <w:pPr>
        <w:suppressAutoHyphens/>
        <w:autoSpaceDE w:val="0"/>
        <w:autoSpaceDN w:val="0"/>
        <w:adjustRightInd w:val="0"/>
        <w:rPr>
          <w:rFonts w:eastAsia="Calibri" w:cs="Arial"/>
        </w:rPr>
      </w:pPr>
    </w:p>
    <w:p w:rsidRPr="00412C31" w:rsidR="00817A5D" w:rsidP="00817A5D" w:rsidRDefault="00817A5D" w14:paraId="290B8DC4" w14:textId="77777777">
      <w:pPr>
        <w:suppressAutoHyphens/>
        <w:autoSpaceDE w:val="0"/>
        <w:autoSpaceDN w:val="0"/>
        <w:adjustRightInd w:val="0"/>
        <w:ind w:firstLine="720"/>
        <w:rPr>
          <w:rFonts w:eastAsia="Calibri" w:cs="Arial"/>
        </w:rPr>
      </w:pPr>
      <w:r>
        <w:rPr>
          <w:rFonts w:eastAsia="Calibri" w:cs="Arial"/>
        </w:rPr>
        <w:t xml:space="preserve">_______Yes </w:t>
      </w:r>
    </w:p>
    <w:p w:rsidRPr="00412C31" w:rsidR="00817A5D" w:rsidP="00817A5D" w:rsidRDefault="00817A5D" w14:paraId="3B4A7171" w14:textId="77777777">
      <w:pPr>
        <w:suppressAutoHyphens/>
        <w:autoSpaceDE w:val="0"/>
        <w:autoSpaceDN w:val="0"/>
        <w:adjustRightInd w:val="0"/>
        <w:ind w:firstLine="720"/>
        <w:rPr>
          <w:rFonts w:eastAsia="Calibri" w:cs="Arial"/>
        </w:rPr>
      </w:pPr>
      <w:r>
        <w:rPr>
          <w:rFonts w:eastAsia="Calibri" w:cs="Arial"/>
        </w:rPr>
        <w:t>_______No (please explain)</w:t>
      </w:r>
    </w:p>
    <w:p w:rsidRPr="00412C31" w:rsidR="00817A5D" w:rsidP="00817A5D" w:rsidRDefault="00817A5D" w14:paraId="31EEE2B4" w14:textId="77777777">
      <w:pPr>
        <w:suppressAutoHyphens/>
        <w:autoSpaceDE w:val="0"/>
        <w:autoSpaceDN w:val="0"/>
        <w:adjustRightInd w:val="0"/>
        <w:ind w:firstLine="720"/>
        <w:rPr>
          <w:rFonts w:eastAsia="Calibri" w:cs="Arial"/>
        </w:rPr>
      </w:pPr>
    </w:p>
    <w:p w:rsidRPr="00412C31" w:rsidR="00817A5D" w:rsidP="00817A5D" w:rsidRDefault="00817A5D" w14:paraId="347BE763" w14:textId="77777777">
      <w:pPr>
        <w:suppressAutoHyphens/>
        <w:autoSpaceDE w:val="0"/>
        <w:autoSpaceDN w:val="0"/>
        <w:adjustRightInd w:val="0"/>
        <w:ind w:left="720"/>
        <w:rPr>
          <w:rFonts w:eastAsia="Calibri" w:cs="Arial"/>
          <w:iCs/>
        </w:rPr>
      </w:pPr>
      <w:r>
        <w:rPr>
          <w:rFonts w:eastAsia="Calibri" w:cs="Arial"/>
          <w:i/>
        </w:rPr>
        <w:t>Explain</w:t>
      </w:r>
      <w:r>
        <w:rPr>
          <w:rFonts w:eastAsia="Calibri" w:cs="Arial"/>
          <w:iCs/>
        </w:rPr>
        <w:t xml:space="preserve">:_______________________________________________________________________ </w:t>
      </w:r>
    </w:p>
    <w:p w:rsidRPr="00412C31" w:rsidR="00817A5D" w:rsidP="00817A5D" w:rsidRDefault="00817A5D" w14:paraId="10688C32" w14:textId="77777777">
      <w:pPr>
        <w:suppressAutoHyphens/>
        <w:autoSpaceDE w:val="0"/>
        <w:autoSpaceDN w:val="0"/>
        <w:adjustRightInd w:val="0"/>
        <w:ind w:left="720"/>
        <w:rPr>
          <w:rFonts w:eastAsia="Calibri" w:cs="Arial"/>
          <w:iCs/>
        </w:rPr>
      </w:pPr>
    </w:p>
    <w:p w:rsidRPr="00412C31" w:rsidR="00817A5D" w:rsidP="004206E0" w:rsidRDefault="00817A5D" w14:paraId="15D71BBB" w14:textId="7B762C8D">
      <w:pPr>
        <w:widowControl w:val="0"/>
        <w:numPr>
          <w:ilvl w:val="0"/>
          <w:numId w:val="7"/>
        </w:numPr>
        <w:suppressAutoHyphens/>
        <w:autoSpaceDE w:val="0"/>
        <w:autoSpaceDN w:val="0"/>
        <w:adjustRightInd w:val="0"/>
        <w:jc w:val="left"/>
        <w:textAlignment w:val="baseline"/>
        <w:rPr>
          <w:rFonts w:eastAsia="Calibri" w:cs="Arial"/>
        </w:rPr>
      </w:pPr>
      <w:r>
        <w:rPr>
          <w:rFonts w:eastAsia="Calibri" w:cs="Arial"/>
        </w:rPr>
        <w:t xml:space="preserve">The </w:t>
      </w:r>
      <w:r>
        <w:rPr>
          <w:rFonts w:eastAsia="Times New Roman" w:cs="Arial"/>
        </w:rPr>
        <w:t>PPA</w:t>
      </w:r>
      <w:r>
        <w:rPr>
          <w:rFonts w:eastAsia="Calibri" w:cs="Arial"/>
        </w:rPr>
        <w:t xml:space="preserve"> Term is for greater than 50% of the remaining economic life of the Facility.</w:t>
      </w:r>
    </w:p>
    <w:p w:rsidRPr="00412C31" w:rsidR="00817A5D" w:rsidP="00817A5D" w:rsidRDefault="00817A5D" w14:paraId="784F85EF" w14:textId="77777777">
      <w:pPr>
        <w:suppressAutoHyphens/>
        <w:autoSpaceDE w:val="0"/>
        <w:autoSpaceDN w:val="0"/>
        <w:adjustRightInd w:val="0"/>
        <w:ind w:firstLine="720"/>
        <w:rPr>
          <w:rFonts w:eastAsia="Calibri" w:cs="Arial"/>
        </w:rPr>
      </w:pPr>
    </w:p>
    <w:p w:rsidRPr="00412C31" w:rsidR="00817A5D" w:rsidP="00817A5D" w:rsidRDefault="00817A5D" w14:paraId="1DD21A16" w14:textId="77777777">
      <w:pPr>
        <w:suppressAutoHyphens/>
        <w:autoSpaceDE w:val="0"/>
        <w:autoSpaceDN w:val="0"/>
        <w:adjustRightInd w:val="0"/>
        <w:ind w:firstLine="720"/>
        <w:rPr>
          <w:rFonts w:eastAsia="Calibri" w:cs="Arial"/>
        </w:rPr>
      </w:pPr>
      <w:r>
        <w:rPr>
          <w:rFonts w:eastAsia="Calibri" w:cs="Arial"/>
        </w:rPr>
        <w:t>________Yes</w:t>
      </w:r>
    </w:p>
    <w:p w:rsidRPr="00412C31" w:rsidR="00817A5D" w:rsidP="00817A5D" w:rsidRDefault="00817A5D" w14:paraId="203F8600" w14:textId="77777777">
      <w:pPr>
        <w:suppressAutoHyphens/>
        <w:autoSpaceDE w:val="0"/>
        <w:autoSpaceDN w:val="0"/>
        <w:adjustRightInd w:val="0"/>
        <w:ind w:firstLine="720"/>
        <w:rPr>
          <w:rFonts w:eastAsia="Calibri" w:cs="Arial"/>
        </w:rPr>
      </w:pPr>
      <w:r>
        <w:rPr>
          <w:rFonts w:eastAsia="Calibri" w:cs="Arial"/>
        </w:rPr>
        <w:t xml:space="preserve">________No </w:t>
      </w:r>
    </w:p>
    <w:p w:rsidRPr="00412C31" w:rsidR="00817A5D" w:rsidP="00817A5D" w:rsidRDefault="00817A5D" w14:paraId="400476D5" w14:textId="77777777">
      <w:pPr>
        <w:suppressAutoHyphens/>
        <w:autoSpaceDE w:val="0"/>
        <w:autoSpaceDN w:val="0"/>
        <w:adjustRightInd w:val="0"/>
        <w:ind w:firstLine="720"/>
        <w:rPr>
          <w:rFonts w:eastAsia="Calibri" w:cs="Arial"/>
        </w:rPr>
      </w:pPr>
    </w:p>
    <w:p w:rsidRPr="00412C31" w:rsidR="00817A5D" w:rsidP="004206E0" w:rsidRDefault="00817A5D" w14:paraId="064F9223" w14:textId="77777777">
      <w:pPr>
        <w:widowControl w:val="0"/>
        <w:numPr>
          <w:ilvl w:val="0"/>
          <w:numId w:val="7"/>
        </w:numPr>
        <w:suppressAutoHyphens/>
        <w:autoSpaceDE w:val="0"/>
        <w:autoSpaceDN w:val="0"/>
        <w:adjustRightInd w:val="0"/>
        <w:jc w:val="left"/>
        <w:textAlignment w:val="baseline"/>
        <w:rPr>
          <w:rFonts w:eastAsia="Calibri" w:cs="Arial"/>
        </w:rPr>
      </w:pPr>
      <w:bookmarkStart w:name="_DV_C2158" w:id="620"/>
      <w:r>
        <w:rPr>
          <w:rFonts w:eastAsia="Calibri" w:cs="Arial"/>
        </w:rPr>
        <w:t xml:space="preserve">The </w:t>
      </w:r>
      <w:r>
        <w:rPr>
          <w:rFonts w:eastAsia="Times New Roman" w:cs="Arial"/>
        </w:rPr>
        <w:t>PPA</w:t>
      </w:r>
      <w:r>
        <w:rPr>
          <w:rFonts w:eastAsia="Calibri" w:cs="Arial"/>
        </w:rPr>
        <w:t xml:space="preserve"> is for substantially all of the proposed Facility’s productive output.</w:t>
      </w:r>
      <w:bookmarkEnd w:id="620"/>
    </w:p>
    <w:p w:rsidRPr="00412C31" w:rsidR="00817A5D" w:rsidP="00817A5D" w:rsidRDefault="00817A5D" w14:paraId="35A60A81" w14:textId="77777777">
      <w:pPr>
        <w:suppressAutoHyphens/>
        <w:autoSpaceDE w:val="0"/>
        <w:autoSpaceDN w:val="0"/>
        <w:adjustRightInd w:val="0"/>
        <w:ind w:firstLine="720"/>
        <w:rPr>
          <w:rFonts w:eastAsia="Calibri" w:cs="Arial"/>
        </w:rPr>
      </w:pPr>
      <w:bookmarkStart w:name="_DV_C2159" w:id="621"/>
    </w:p>
    <w:p w:rsidRPr="00412C31" w:rsidR="00817A5D" w:rsidP="00817A5D" w:rsidRDefault="00817A5D" w14:paraId="3DEDBCC6" w14:textId="77777777">
      <w:pPr>
        <w:suppressAutoHyphens/>
        <w:autoSpaceDE w:val="0"/>
        <w:autoSpaceDN w:val="0"/>
        <w:adjustRightInd w:val="0"/>
        <w:ind w:firstLine="720"/>
        <w:rPr>
          <w:rFonts w:eastAsia="Calibri" w:cs="Arial"/>
        </w:rPr>
      </w:pPr>
      <w:r>
        <w:rPr>
          <w:rFonts w:eastAsia="Calibri" w:cs="Arial"/>
        </w:rPr>
        <w:t>________Yes</w:t>
      </w:r>
      <w:bookmarkEnd w:id="621"/>
    </w:p>
    <w:p w:rsidRPr="00412C31" w:rsidR="00817A5D" w:rsidP="00817A5D" w:rsidRDefault="00817A5D" w14:paraId="646FBD76" w14:textId="77777777">
      <w:pPr>
        <w:suppressAutoHyphens/>
        <w:autoSpaceDE w:val="0"/>
        <w:autoSpaceDN w:val="0"/>
        <w:adjustRightInd w:val="0"/>
        <w:ind w:firstLine="720"/>
        <w:rPr>
          <w:rFonts w:eastAsia="Calibri" w:cs="Arial"/>
        </w:rPr>
      </w:pPr>
      <w:bookmarkStart w:name="_DV_C2160" w:id="622"/>
      <w:r>
        <w:rPr>
          <w:rFonts w:eastAsia="Calibri" w:cs="Arial"/>
        </w:rPr>
        <w:t>________No</w:t>
      </w:r>
      <w:bookmarkEnd w:id="622"/>
    </w:p>
    <w:p w:rsidRPr="00412C31" w:rsidR="00817A5D" w:rsidP="00817A5D" w:rsidRDefault="00817A5D" w14:paraId="2DC44749" w14:textId="77777777">
      <w:pPr>
        <w:suppressAutoHyphens/>
        <w:autoSpaceDE w:val="0"/>
        <w:autoSpaceDN w:val="0"/>
        <w:adjustRightInd w:val="0"/>
        <w:ind w:firstLine="720"/>
        <w:rPr>
          <w:rFonts w:eastAsia="Calibri" w:cs="Arial"/>
        </w:rPr>
      </w:pPr>
    </w:p>
    <w:p w:rsidRPr="00412C31" w:rsidR="00817A5D" w:rsidP="004206E0" w:rsidRDefault="00817A5D" w14:paraId="5DEF992E" w14:textId="7F982849">
      <w:pPr>
        <w:widowControl w:val="0"/>
        <w:numPr>
          <w:ilvl w:val="0"/>
          <w:numId w:val="7"/>
        </w:numPr>
        <w:suppressAutoHyphens/>
        <w:autoSpaceDE w:val="0"/>
        <w:autoSpaceDN w:val="0"/>
        <w:adjustRightInd w:val="0"/>
        <w:jc w:val="left"/>
        <w:textAlignment w:val="baseline"/>
        <w:rPr>
          <w:rFonts w:eastAsia="Calibri" w:cs="Arial"/>
        </w:rPr>
      </w:pPr>
      <w:bookmarkStart w:name="_DV_C2161" w:id="623"/>
      <w:r>
        <w:rPr>
          <w:rFonts w:eastAsia="Calibri" w:cs="Arial"/>
        </w:rPr>
        <w:t>GPC and its Affiliates participated significantly in the design or redesign of the Facility.</w:t>
      </w:r>
      <w:bookmarkEnd w:id="623"/>
    </w:p>
    <w:p w:rsidRPr="00412C31" w:rsidR="00817A5D" w:rsidP="00817A5D" w:rsidRDefault="00817A5D" w14:paraId="4BD4557F" w14:textId="77777777">
      <w:pPr>
        <w:suppressAutoHyphens/>
        <w:autoSpaceDE w:val="0"/>
        <w:autoSpaceDN w:val="0"/>
        <w:adjustRightInd w:val="0"/>
        <w:ind w:firstLine="720"/>
        <w:rPr>
          <w:rFonts w:eastAsia="Calibri" w:cs="Arial"/>
        </w:rPr>
      </w:pPr>
      <w:bookmarkStart w:name="_DV_C2162" w:id="624"/>
    </w:p>
    <w:p w:rsidRPr="00412C31" w:rsidR="00817A5D" w:rsidP="00817A5D" w:rsidRDefault="00817A5D" w14:paraId="2BE0D689" w14:textId="77777777">
      <w:pPr>
        <w:suppressAutoHyphens/>
        <w:autoSpaceDE w:val="0"/>
        <w:autoSpaceDN w:val="0"/>
        <w:adjustRightInd w:val="0"/>
        <w:ind w:firstLine="720"/>
        <w:rPr>
          <w:rFonts w:eastAsia="Calibri" w:cs="Arial"/>
        </w:rPr>
      </w:pPr>
      <w:r>
        <w:rPr>
          <w:rFonts w:eastAsia="Calibri" w:cs="Arial"/>
        </w:rPr>
        <w:t>________Yes</w:t>
      </w:r>
      <w:bookmarkEnd w:id="624"/>
    </w:p>
    <w:p w:rsidRPr="00412C31" w:rsidR="00817A5D" w:rsidP="00817A5D" w:rsidRDefault="00817A5D" w14:paraId="6B9300BC" w14:textId="77777777">
      <w:pPr>
        <w:suppressAutoHyphens/>
        <w:autoSpaceDE w:val="0"/>
        <w:autoSpaceDN w:val="0"/>
        <w:adjustRightInd w:val="0"/>
        <w:ind w:firstLine="720"/>
        <w:rPr>
          <w:rFonts w:eastAsia="Calibri" w:cs="Arial"/>
        </w:rPr>
      </w:pPr>
      <w:bookmarkStart w:name="_DV_C2163" w:id="625"/>
      <w:r>
        <w:rPr>
          <w:rFonts w:eastAsia="Calibri" w:cs="Arial"/>
        </w:rPr>
        <w:t>________No</w:t>
      </w:r>
      <w:bookmarkEnd w:id="625"/>
    </w:p>
    <w:p w:rsidRPr="00412C31" w:rsidR="00817A5D" w:rsidP="00817A5D" w:rsidRDefault="00817A5D" w14:paraId="01902AA1" w14:textId="77777777">
      <w:pPr>
        <w:suppressAutoHyphens/>
        <w:autoSpaceDE w:val="0"/>
        <w:autoSpaceDN w:val="0"/>
        <w:adjustRightInd w:val="0"/>
        <w:ind w:firstLine="720"/>
        <w:rPr>
          <w:rFonts w:eastAsia="Calibri" w:cs="Arial"/>
        </w:rPr>
      </w:pPr>
    </w:p>
    <w:p w:rsidRPr="00412C31" w:rsidR="00817A5D" w:rsidP="004206E0" w:rsidRDefault="00817A5D" w14:paraId="12C01F8F" w14:textId="77777777">
      <w:pPr>
        <w:widowControl w:val="0"/>
        <w:numPr>
          <w:ilvl w:val="0"/>
          <w:numId w:val="7"/>
        </w:numPr>
        <w:suppressAutoHyphens/>
        <w:autoSpaceDE w:val="0"/>
        <w:autoSpaceDN w:val="0"/>
        <w:adjustRightInd w:val="0"/>
        <w:jc w:val="left"/>
        <w:textAlignment w:val="baseline"/>
        <w:rPr>
          <w:rFonts w:eastAsia="Calibri" w:cs="Arial"/>
        </w:rPr>
      </w:pPr>
      <w:bookmarkStart w:name="_DV_C2164" w:id="626"/>
      <w:bookmarkStart w:name="_Ref121294425" w:id="627"/>
      <w:r>
        <w:rPr>
          <w:rFonts w:eastAsia="Calibri" w:cs="Arial"/>
        </w:rPr>
        <w:t>The percentage that the Facility’s fair value represents, of the fair value of the proposed Seller’s total assets, is approximately</w:t>
      </w:r>
      <w:bookmarkEnd w:id="626"/>
      <w:r>
        <w:rPr>
          <w:rFonts w:eastAsia="Calibri" w:cs="Arial"/>
        </w:rPr>
        <w:t>;</w:t>
      </w:r>
      <w:bookmarkStart w:name="_DV_C2165" w:id="628"/>
      <w:bookmarkEnd w:id="627"/>
    </w:p>
    <w:p w:rsidRPr="00412C31" w:rsidR="00817A5D" w:rsidP="00817A5D" w:rsidRDefault="00817A5D" w14:paraId="6F8765D9" w14:textId="77777777">
      <w:pPr>
        <w:suppressAutoHyphens/>
        <w:autoSpaceDE w:val="0"/>
        <w:autoSpaceDN w:val="0"/>
        <w:adjustRightInd w:val="0"/>
        <w:ind w:left="810"/>
        <w:rPr>
          <w:rFonts w:eastAsia="Calibri" w:cs="Arial"/>
        </w:rPr>
      </w:pPr>
    </w:p>
    <w:p w:rsidRPr="00412C31" w:rsidR="00817A5D" w:rsidP="00817A5D" w:rsidRDefault="00817A5D" w14:paraId="385B2451" w14:textId="77777777">
      <w:pPr>
        <w:suppressAutoHyphens/>
        <w:autoSpaceDE w:val="0"/>
        <w:autoSpaceDN w:val="0"/>
        <w:adjustRightInd w:val="0"/>
        <w:ind w:left="810"/>
        <w:rPr>
          <w:rFonts w:eastAsia="Calibri" w:cs="Arial"/>
        </w:rPr>
      </w:pPr>
      <w:r>
        <w:rPr>
          <w:rFonts w:eastAsia="Calibri" w:cs="Arial"/>
        </w:rPr>
        <w:t>_______%</w:t>
      </w:r>
      <w:bookmarkStart w:name="_DV_C2166" w:id="629"/>
      <w:bookmarkEnd w:id="628"/>
    </w:p>
    <w:p w:rsidRPr="00412C31" w:rsidR="00817A5D" w:rsidP="00817A5D" w:rsidRDefault="00817A5D" w14:paraId="1B8CF7A4" w14:textId="77777777">
      <w:pPr>
        <w:suppressAutoHyphens/>
        <w:autoSpaceDE w:val="0"/>
        <w:autoSpaceDN w:val="0"/>
        <w:adjustRightInd w:val="0"/>
        <w:ind w:left="720"/>
        <w:rPr>
          <w:rFonts w:eastAsia="Calibri" w:cs="Arial"/>
        </w:rPr>
      </w:pPr>
    </w:p>
    <w:p w:rsidRPr="00412C31" w:rsidR="00817A5D" w:rsidP="004206E0" w:rsidRDefault="00817A5D" w14:paraId="0A051B9C" w14:textId="77777777">
      <w:pPr>
        <w:widowControl w:val="0"/>
        <w:numPr>
          <w:ilvl w:val="0"/>
          <w:numId w:val="7"/>
        </w:numPr>
        <w:suppressAutoHyphens/>
        <w:autoSpaceDE w:val="0"/>
        <w:autoSpaceDN w:val="0"/>
        <w:adjustRightInd w:val="0"/>
        <w:jc w:val="left"/>
        <w:textAlignment w:val="baseline"/>
        <w:rPr>
          <w:rFonts w:eastAsia="Calibri" w:cs="Arial"/>
        </w:rPr>
      </w:pPr>
      <w:bookmarkStart w:name="_Ref121294426" w:id="630"/>
      <w:r>
        <w:rPr>
          <w:rFonts w:eastAsia="Calibri" w:cs="Arial"/>
        </w:rPr>
        <w:t>The Facility is essentially the only source of payment for specified liabilities or specified other interest (there is specific debt associated with the Facility)</w:t>
      </w:r>
      <w:bookmarkEnd w:id="629"/>
      <w:bookmarkEnd w:id="630"/>
      <w:r>
        <w:rPr>
          <w:rFonts w:eastAsia="Calibri" w:cs="Arial"/>
        </w:rPr>
        <w:t xml:space="preserve">. </w:t>
      </w:r>
    </w:p>
    <w:p w:rsidRPr="00412C31" w:rsidR="00817A5D" w:rsidP="00817A5D" w:rsidRDefault="00817A5D" w14:paraId="0100D8A9" w14:textId="77777777">
      <w:pPr>
        <w:suppressAutoHyphens/>
        <w:autoSpaceDE w:val="0"/>
        <w:autoSpaceDN w:val="0"/>
        <w:adjustRightInd w:val="0"/>
        <w:ind w:firstLine="720"/>
        <w:rPr>
          <w:rFonts w:eastAsia="Calibri" w:cs="Arial"/>
        </w:rPr>
      </w:pPr>
      <w:bookmarkStart w:name="_DV_C2167" w:id="631"/>
    </w:p>
    <w:p w:rsidRPr="00412C31" w:rsidR="00817A5D" w:rsidP="00817A5D" w:rsidRDefault="00817A5D" w14:paraId="18848C96" w14:textId="77777777">
      <w:pPr>
        <w:suppressAutoHyphens/>
        <w:autoSpaceDE w:val="0"/>
        <w:autoSpaceDN w:val="0"/>
        <w:adjustRightInd w:val="0"/>
        <w:ind w:firstLine="720"/>
        <w:rPr>
          <w:rFonts w:eastAsia="Calibri" w:cs="Arial"/>
        </w:rPr>
      </w:pPr>
      <w:r>
        <w:rPr>
          <w:rFonts w:eastAsia="Calibri" w:cs="Arial"/>
        </w:rPr>
        <w:t>________Yes</w:t>
      </w:r>
      <w:bookmarkEnd w:id="631"/>
    </w:p>
    <w:p w:rsidRPr="00412C31" w:rsidR="00817A5D" w:rsidP="00817A5D" w:rsidRDefault="00817A5D" w14:paraId="30120B05" w14:textId="77777777">
      <w:pPr>
        <w:suppressAutoHyphens/>
        <w:autoSpaceDE w:val="0"/>
        <w:autoSpaceDN w:val="0"/>
        <w:adjustRightInd w:val="0"/>
        <w:ind w:firstLine="720"/>
        <w:rPr>
          <w:rFonts w:eastAsia="Calibri" w:cs="Arial"/>
        </w:rPr>
      </w:pPr>
      <w:bookmarkStart w:name="_DV_C2168" w:id="632"/>
      <w:r>
        <w:rPr>
          <w:rFonts w:eastAsia="Calibri" w:cs="Arial"/>
        </w:rPr>
        <w:t>________No</w:t>
      </w:r>
      <w:bookmarkEnd w:id="632"/>
    </w:p>
    <w:p w:rsidRPr="00412C31" w:rsidR="00817A5D" w:rsidP="00817A5D" w:rsidRDefault="00817A5D" w14:paraId="3F3D8A75" w14:textId="77777777">
      <w:pPr>
        <w:suppressAutoHyphens/>
        <w:adjustRightInd w:val="0"/>
        <w:textAlignment w:val="baseline"/>
        <w:rPr>
          <w:rFonts w:eastAsia="Times New Roman" w:cs="Arial"/>
          <w:b/>
          <w:u w:val="single"/>
        </w:rPr>
      </w:pPr>
    </w:p>
    <w:p w:rsidRPr="00412C31" w:rsidR="00817A5D" w:rsidP="00817A5D" w:rsidRDefault="00817A5D" w14:paraId="36F57F36" w14:textId="77777777">
      <w:pPr>
        <w:suppressAutoHyphens/>
        <w:adjustRightInd w:val="0"/>
        <w:textAlignment w:val="baseline"/>
        <w:rPr>
          <w:rFonts w:eastAsia="Times New Roman" w:cs="Arial"/>
          <w:b/>
          <w:u w:val="single"/>
        </w:rPr>
      </w:pPr>
      <w:r>
        <w:rPr>
          <w:rFonts w:eastAsia="Times New Roman" w:cs="Arial"/>
          <w:b/>
          <w:u w:val="single"/>
        </w:rPr>
        <w:t>Certification</w:t>
      </w:r>
    </w:p>
    <w:p w:rsidRPr="00412C31" w:rsidR="00817A5D" w:rsidP="00817A5D" w:rsidRDefault="00817A5D" w14:paraId="031E0E8A" w14:textId="77777777">
      <w:pPr>
        <w:suppressAutoHyphens/>
        <w:adjustRightInd w:val="0"/>
        <w:textAlignment w:val="baseline"/>
        <w:rPr>
          <w:rFonts w:eastAsia="Times New Roman" w:cs="Arial"/>
          <w:b/>
        </w:rPr>
      </w:pPr>
      <w:r>
        <w:rPr>
          <w:rFonts w:eastAsia="Times New Roman" w:cs="Arial"/>
          <w:b/>
        </w:rPr>
        <w:t>The above information (and any attachments) has been completed in full and agrees with our records as of the date of this Certification.</w:t>
      </w:r>
    </w:p>
    <w:tbl>
      <w:tblPr>
        <w:tblW w:w="5130" w:type="dxa"/>
        <w:tblLayout w:type="fixed"/>
        <w:tblCellMar>
          <w:left w:w="29" w:type="dxa"/>
          <w:right w:w="29" w:type="dxa"/>
        </w:tblCellMar>
        <w:tblLook w:val="01E0" w:firstRow="1" w:lastRow="1" w:firstColumn="1" w:lastColumn="1" w:noHBand="0" w:noVBand="0"/>
      </w:tblPr>
      <w:tblGrid>
        <w:gridCol w:w="1008"/>
        <w:gridCol w:w="4093"/>
        <w:gridCol w:w="29"/>
      </w:tblGrid>
      <w:tr w:rsidRPr="00412C31" w:rsidR="00817A5D" w14:paraId="021D5062" w14:textId="77777777">
        <w:trPr>
          <w:cantSplit/>
          <w:trHeight w:val="432"/>
        </w:trPr>
        <w:tc>
          <w:tcPr>
            <w:tcW w:w="5130" w:type="dxa"/>
            <w:gridSpan w:val="3"/>
          </w:tcPr>
          <w:p w:rsidRPr="00412C31" w:rsidR="00817A5D" w:rsidRDefault="00817A5D" w14:paraId="33208865" w14:textId="77777777">
            <w:pPr>
              <w:keepNext/>
              <w:keepLines/>
              <w:widowControl w:val="0"/>
              <w:autoSpaceDE w:val="0"/>
              <w:autoSpaceDN w:val="0"/>
              <w:adjustRightInd w:val="0"/>
              <w:rPr>
                <w:rFonts w:eastAsia="Yu Mincho" w:cs="Arial"/>
                <w:b/>
                <w:spacing w:val="-6"/>
                <w:kern w:val="14"/>
              </w:rPr>
            </w:pPr>
            <w:r>
              <w:rPr>
                <w:rFonts w:eastAsia="Yu Mincho" w:cs="Arial"/>
                <w:b/>
                <w:spacing w:val="-6"/>
                <w:kern w:val="14"/>
                <w:highlight w:val="yellow"/>
              </w:rPr>
              <w:t>#SellerLegalName#</w:t>
            </w:r>
          </w:p>
        </w:tc>
      </w:tr>
      <w:tr w:rsidRPr="00412C31" w:rsidR="00817A5D" w14:paraId="5AA33F26" w14:textId="77777777">
        <w:trPr>
          <w:gridAfter w:val="1"/>
          <w:wAfter w:w="29" w:type="dxa"/>
          <w:cantSplit/>
          <w:trHeight w:val="504"/>
        </w:trPr>
        <w:tc>
          <w:tcPr>
            <w:tcW w:w="1008" w:type="dxa"/>
            <w:vAlign w:val="bottom"/>
          </w:tcPr>
          <w:p w:rsidRPr="00412C31" w:rsidR="00817A5D" w:rsidRDefault="00817A5D" w14:paraId="39A160DF" w14:textId="77777777">
            <w:pPr>
              <w:autoSpaceDE w:val="0"/>
              <w:autoSpaceDN w:val="0"/>
              <w:adjustRightInd w:val="0"/>
              <w:rPr>
                <w:rFonts w:eastAsia="Yu Mincho" w:cs="Arial"/>
                <w:kern w:val="14"/>
              </w:rPr>
            </w:pPr>
            <w:r>
              <w:rPr>
                <w:rFonts w:eastAsia="Yu Mincho" w:cs="Arial"/>
                <w:kern w:val="14"/>
              </w:rPr>
              <w:t>By:</w:t>
            </w:r>
          </w:p>
        </w:tc>
        <w:tc>
          <w:tcPr>
            <w:tcW w:w="4093" w:type="dxa"/>
            <w:tcBorders>
              <w:bottom w:val="single" w:color="auto" w:sz="4" w:space="0"/>
            </w:tcBorders>
            <w:vAlign w:val="bottom"/>
          </w:tcPr>
          <w:p w:rsidRPr="00412C31" w:rsidR="00817A5D" w:rsidRDefault="00817A5D" w14:paraId="7F0E175D" w14:textId="77777777">
            <w:pPr>
              <w:keepLines/>
              <w:rPr>
                <w:rFonts w:eastAsia="Calibri" w:cs="Arial"/>
              </w:rPr>
            </w:pPr>
          </w:p>
        </w:tc>
      </w:tr>
      <w:tr w:rsidRPr="00412C31" w:rsidR="00817A5D" w14:paraId="54F7B626" w14:textId="77777777">
        <w:trPr>
          <w:gridAfter w:val="1"/>
          <w:wAfter w:w="29" w:type="dxa"/>
          <w:cantSplit/>
          <w:trHeight w:val="504"/>
        </w:trPr>
        <w:tc>
          <w:tcPr>
            <w:tcW w:w="1008" w:type="dxa"/>
            <w:vAlign w:val="bottom"/>
          </w:tcPr>
          <w:p w:rsidRPr="00412C31" w:rsidR="00817A5D" w:rsidRDefault="00817A5D" w14:paraId="43BA7217" w14:textId="77777777">
            <w:pPr>
              <w:autoSpaceDE w:val="0"/>
              <w:autoSpaceDN w:val="0"/>
              <w:adjustRightInd w:val="0"/>
              <w:rPr>
                <w:rFonts w:eastAsia="Yu Mincho" w:cs="Arial"/>
                <w:kern w:val="14"/>
              </w:rPr>
            </w:pPr>
            <w:r>
              <w:rPr>
                <w:rFonts w:eastAsia="Yu Mincho" w:cs="Arial"/>
                <w:kern w:val="14"/>
              </w:rPr>
              <w:t>Name</w:t>
            </w:r>
          </w:p>
          <w:p w:rsidRPr="00412C31" w:rsidR="00817A5D" w:rsidRDefault="00817A5D" w14:paraId="62B7BBAA" w14:textId="77777777">
            <w:pPr>
              <w:autoSpaceDE w:val="0"/>
              <w:autoSpaceDN w:val="0"/>
              <w:adjustRightInd w:val="0"/>
              <w:rPr>
                <w:rFonts w:eastAsia="Yu Mincho" w:cs="Arial"/>
                <w:kern w:val="14"/>
              </w:rPr>
            </w:pPr>
            <w:r>
              <w:rPr>
                <w:rFonts w:eastAsia="Yu Mincho" w:cs="Arial"/>
                <w:kern w:val="14"/>
              </w:rPr>
              <w:t>Printed:</w:t>
            </w:r>
          </w:p>
        </w:tc>
        <w:tc>
          <w:tcPr>
            <w:tcW w:w="4093" w:type="dxa"/>
            <w:tcBorders>
              <w:top w:val="single" w:color="auto" w:sz="4" w:space="0"/>
              <w:bottom w:val="single" w:color="auto" w:sz="4" w:space="0"/>
            </w:tcBorders>
            <w:vAlign w:val="bottom"/>
          </w:tcPr>
          <w:p w:rsidRPr="00412C31" w:rsidR="00817A5D" w:rsidRDefault="00817A5D" w14:paraId="3DA74465" w14:textId="77777777">
            <w:pPr>
              <w:keepLines/>
              <w:rPr>
                <w:rFonts w:eastAsia="Calibri" w:cs="Arial"/>
              </w:rPr>
            </w:pPr>
          </w:p>
        </w:tc>
      </w:tr>
      <w:tr w:rsidRPr="00412C31" w:rsidR="00817A5D" w14:paraId="58616D76" w14:textId="77777777">
        <w:trPr>
          <w:gridAfter w:val="1"/>
          <w:wAfter w:w="29" w:type="dxa"/>
          <w:cantSplit/>
          <w:trHeight w:val="504"/>
        </w:trPr>
        <w:tc>
          <w:tcPr>
            <w:tcW w:w="1008" w:type="dxa"/>
            <w:vAlign w:val="bottom"/>
          </w:tcPr>
          <w:p w:rsidRPr="00412C31" w:rsidR="00817A5D" w:rsidRDefault="00817A5D" w14:paraId="3E13B961" w14:textId="77777777">
            <w:pPr>
              <w:autoSpaceDE w:val="0"/>
              <w:autoSpaceDN w:val="0"/>
              <w:adjustRightInd w:val="0"/>
              <w:rPr>
                <w:rFonts w:eastAsia="Yu Mincho" w:cs="Arial"/>
                <w:kern w:val="14"/>
              </w:rPr>
            </w:pPr>
            <w:r>
              <w:rPr>
                <w:rFonts w:eastAsia="Yu Mincho" w:cs="Arial"/>
                <w:kern w:val="14"/>
              </w:rPr>
              <w:t>Title:</w:t>
            </w:r>
          </w:p>
        </w:tc>
        <w:tc>
          <w:tcPr>
            <w:tcW w:w="4093" w:type="dxa"/>
            <w:tcBorders>
              <w:top w:val="single" w:color="auto" w:sz="4" w:space="0"/>
              <w:bottom w:val="single" w:color="auto" w:sz="4" w:space="0"/>
            </w:tcBorders>
            <w:vAlign w:val="bottom"/>
          </w:tcPr>
          <w:p w:rsidRPr="00412C31" w:rsidR="00817A5D" w:rsidRDefault="00817A5D" w14:paraId="15BB9575" w14:textId="77777777">
            <w:pPr>
              <w:keepLines/>
              <w:rPr>
                <w:rFonts w:eastAsia="Calibri" w:cs="Arial"/>
              </w:rPr>
            </w:pPr>
          </w:p>
        </w:tc>
      </w:tr>
      <w:tr w:rsidRPr="00412C31" w:rsidR="00817A5D" w14:paraId="5D2E111C" w14:textId="77777777">
        <w:trPr>
          <w:gridAfter w:val="1"/>
          <w:wAfter w:w="29" w:type="dxa"/>
          <w:cantSplit/>
          <w:trHeight w:val="504"/>
        </w:trPr>
        <w:tc>
          <w:tcPr>
            <w:tcW w:w="1008" w:type="dxa"/>
            <w:vAlign w:val="bottom"/>
          </w:tcPr>
          <w:p w:rsidRPr="00412C31" w:rsidR="00817A5D" w:rsidRDefault="00817A5D" w14:paraId="2CB13E68" w14:textId="77777777">
            <w:pPr>
              <w:autoSpaceDE w:val="0"/>
              <w:autoSpaceDN w:val="0"/>
              <w:adjustRightInd w:val="0"/>
              <w:rPr>
                <w:rFonts w:eastAsia="Yu Mincho" w:cs="Arial"/>
                <w:kern w:val="14"/>
              </w:rPr>
            </w:pPr>
            <w:r>
              <w:rPr>
                <w:rFonts w:eastAsia="Yu Mincho" w:cs="Arial"/>
                <w:kern w:val="14"/>
              </w:rPr>
              <w:t>Date:</w:t>
            </w:r>
          </w:p>
        </w:tc>
        <w:tc>
          <w:tcPr>
            <w:tcW w:w="4093" w:type="dxa"/>
            <w:tcBorders>
              <w:top w:val="single" w:color="auto" w:sz="4" w:space="0"/>
              <w:bottom w:val="single" w:color="auto" w:sz="4" w:space="0"/>
            </w:tcBorders>
            <w:vAlign w:val="bottom"/>
          </w:tcPr>
          <w:p w:rsidRPr="00412C31" w:rsidR="00817A5D" w:rsidRDefault="00817A5D" w14:paraId="26B3DCE5" w14:textId="77777777">
            <w:pPr>
              <w:keepLines/>
              <w:rPr>
                <w:rFonts w:eastAsia="Calibri" w:cs="Arial"/>
              </w:rPr>
            </w:pPr>
          </w:p>
        </w:tc>
      </w:tr>
    </w:tbl>
    <w:p w:rsidR="00506657" w:rsidP="00506657" w:rsidRDefault="00506657" w14:paraId="4A6F6135" w14:textId="251FB83F">
      <w:pPr>
        <w:adjustRightInd w:val="0"/>
        <w:spacing w:before="0" w:after="240"/>
        <w:textAlignment w:val="baseline"/>
        <w:rPr>
          <w:rFonts w:eastAsia="Times New Roman" w:cs="Arial"/>
        </w:rPr>
      </w:pPr>
    </w:p>
    <w:p w:rsidRPr="00F10071" w:rsidR="00506657" w:rsidP="00506657" w:rsidRDefault="00506657" w14:paraId="7BBB93AD" w14:textId="712DA50B">
      <w:pPr>
        <w:adjustRightInd w:val="0"/>
        <w:spacing w:before="0" w:after="720"/>
        <w:textAlignment w:val="baseline"/>
        <w:rPr>
          <w:rFonts w:eastAsia="Times New Roman" w:cs="Arial"/>
        </w:rPr>
        <w:sectPr w:rsidRPr="00F10071" w:rsidR="00506657" w:rsidSect="005B310E">
          <w:headerReference w:type="default" r:id="rId56"/>
          <w:footerReference w:type="default" r:id="rId57"/>
          <w:footnotePr>
            <w:numRestart w:val="eachSect"/>
          </w:footnotePr>
          <w:pgSz w:w="12240" w:h="15840" w:code="1"/>
          <w:pgMar w:top="1440" w:right="1440" w:bottom="1440" w:left="1440" w:header="720" w:footer="720" w:gutter="0"/>
          <w:paperSrc w:first="15" w:other="15"/>
          <w:cols w:space="1440"/>
        </w:sectPr>
      </w:pPr>
    </w:p>
    <w:p w:rsidRPr="00F10071" w:rsidR="00506657" w:rsidP="009D364F" w:rsidRDefault="00332984" w14:paraId="661D4C7C" w14:textId="7F218F1A">
      <w:pPr>
        <w:pStyle w:val="zGTitleExhibit"/>
        <w:rPr>
          <w:rFonts w:cs="Arial"/>
          <w:w w:val="0"/>
        </w:rPr>
      </w:pPr>
      <w:bookmarkStart w:name="_Toc212473102" w:id="633"/>
      <w:bookmarkStart w:name="_Toc227840798" w:id="634"/>
      <w:r>
        <w:rPr>
          <w:rFonts w:cs="Arial"/>
          <w:w w:val="0"/>
        </w:rPr>
        <w:lastRenderedPageBreak/>
        <w:t xml:space="preserve">Exhibit K – </w:t>
      </w:r>
      <w:r>
        <w:rPr>
          <w:rFonts w:cs="Arial"/>
          <w:bCs w:val="0"/>
          <w:w w:val="0"/>
        </w:rPr>
        <w:t>Transfer of Information Acknowledgement</w:t>
      </w:r>
      <w:bookmarkEnd w:id="633"/>
      <w:bookmarkEnd w:id="634"/>
    </w:p>
    <w:p w:rsidRPr="00F10071" w:rsidR="00506657" w:rsidP="00506657" w:rsidRDefault="00506657" w14:paraId="0D0C0C8A" w14:textId="77777777">
      <w:pPr>
        <w:suppressAutoHyphens/>
        <w:adjustRightInd w:val="0"/>
        <w:spacing w:before="0" w:after="240"/>
        <w:ind w:left="2880" w:hanging="2880"/>
        <w:jc w:val="center"/>
        <w:textAlignment w:val="baseline"/>
        <w:rPr>
          <w:rFonts w:eastAsia="Times New Roman" w:cs="Arial"/>
          <w:b/>
          <w:bCs/>
          <w:w w:val="0"/>
        </w:rPr>
      </w:pPr>
      <w:r>
        <w:rPr>
          <w:rFonts w:eastAsia="Times New Roman" w:cs="Arial"/>
          <w:b/>
          <w:bCs/>
          <w:w w:val="0"/>
        </w:rPr>
        <w:t>TRANSFER OF INFORMATION ACKNOWLEDGEMEN</w:t>
      </w:r>
      <w:r>
        <w:rPr>
          <w:rFonts w:eastAsia="Times New Roman" w:cs="Arial"/>
          <w:b/>
          <w:w w:val="0"/>
        </w:rPr>
        <w:t>T</w:t>
      </w:r>
    </w:p>
    <w:p w:rsidRPr="00F10071" w:rsidR="00506657" w:rsidP="00506657" w:rsidRDefault="003F4EFC" w14:paraId="2249B54B" w14:textId="5557B7B4">
      <w:pPr>
        <w:widowControl w:val="0"/>
        <w:adjustRightInd w:val="0"/>
        <w:spacing w:before="0" w:after="0"/>
        <w:textAlignment w:val="baseline"/>
        <w:rPr>
          <w:rFonts w:eastAsia="Times New Roman" w:cs="Arial"/>
        </w:rPr>
      </w:pPr>
      <w:r>
        <w:rPr>
          <w:b/>
          <w:color w:val="000000" w:themeColor="text1"/>
          <w:highlight w:val="yellow"/>
        </w:rPr>
        <w:t>#SellerLegalName#</w:t>
      </w:r>
      <w:r>
        <w:rPr>
          <w:rFonts w:eastAsia="Times New Roman" w:cs="Arial"/>
        </w:rPr>
        <w:t xml:space="preserve"> (“</w:t>
      </w:r>
      <w:r>
        <w:rPr>
          <w:rFonts w:eastAsia="Times New Roman" w:cs="Arial"/>
          <w:b/>
          <w:bCs/>
        </w:rPr>
        <w:t>Seller</w:t>
      </w:r>
      <w:r>
        <w:rPr>
          <w:rFonts w:eastAsia="Times New Roman" w:cs="Arial"/>
        </w:rPr>
        <w:t>”) and Georgia Power Company (“</w:t>
      </w:r>
      <w:r>
        <w:rPr>
          <w:rFonts w:eastAsia="Times New Roman" w:cs="Arial"/>
          <w:b/>
          <w:bCs/>
        </w:rPr>
        <w:t>GPC</w:t>
      </w:r>
      <w:r>
        <w:rPr>
          <w:rFonts w:eastAsia="Times New Roman" w:cs="Arial"/>
        </w:rPr>
        <w:t xml:space="preserve">”) have entered into the </w:t>
      </w:r>
      <w:r>
        <w:rPr>
          <w:rStyle w:val="eop"/>
          <w:rFonts w:cs="Arial"/>
          <w:b/>
          <w:shd w:val="clear" w:color="auto" w:fill="FFFFFF"/>
        </w:rPr>
        <w:t>Power Purchase Agreement for Firm Capacity, Firm Energy, and Ancillary Services from a Combined Cycle Facility</w:t>
      </w:r>
      <w:r>
        <w:rPr>
          <w:rFonts w:eastAsia="Times New Roman" w:cs="Arial"/>
          <w:b/>
        </w:rPr>
        <w:t xml:space="preserve"> for 2026 All-Source Capacity Request for Proposals for Need Years 2032</w:t>
      </w:r>
      <w:r>
        <w:rPr>
          <w:rFonts w:cs="Arial"/>
          <w:b/>
        </w:rPr>
        <w:t>–</w:t>
      </w:r>
      <w:r>
        <w:rPr>
          <w:rFonts w:eastAsia="Times New Roman" w:cs="Arial"/>
          <w:b/>
        </w:rPr>
        <w:t xml:space="preserve">2033 </w:t>
      </w:r>
      <w:r>
        <w:rPr>
          <w:rFonts w:eastAsia="Times New Roman" w:cs="Arial"/>
          <w:b/>
          <w:bCs/>
        </w:rPr>
        <w:t>at (</w:t>
      </w:r>
      <w:r>
        <w:rPr>
          <w:rFonts w:eastAsia="Times New Roman" w:cs="Arial"/>
          <w:b/>
          <w:bCs/>
          <w:highlight w:val="yellow"/>
        </w:rPr>
        <w:t>#FacilityName#</w:t>
      </w:r>
      <w:r>
        <w:rPr>
          <w:rFonts w:eastAsia="Times New Roman" w:cs="Arial"/>
          <w:b/>
          <w:bCs/>
        </w:rPr>
        <w:t>)</w:t>
      </w:r>
      <w:r>
        <w:rPr>
          <w:rFonts w:eastAsia="Times New Roman" w:cs="Arial"/>
        </w:rPr>
        <w:t xml:space="preserve"> (“</w:t>
      </w:r>
      <w:r>
        <w:rPr>
          <w:rFonts w:eastAsia="Times New Roman" w:cs="Arial"/>
          <w:b/>
          <w:bCs/>
        </w:rPr>
        <w:t>PPA</w:t>
      </w:r>
      <w:r>
        <w:rPr>
          <w:rFonts w:eastAsia="Times New Roman" w:cs="Arial"/>
        </w:rPr>
        <w:t>”) dated as of _____________________, 202__. The PPA contemplates that Seller will provide to GPC or GPC’s affiliate Southern Company Services, Inc. (“</w:t>
      </w:r>
      <w:r>
        <w:rPr>
          <w:rFonts w:eastAsia="Times New Roman" w:cs="Arial"/>
          <w:b/>
          <w:bCs/>
          <w:i/>
          <w:iCs/>
        </w:rPr>
        <w:t>SCS</w:t>
      </w:r>
      <w:r>
        <w:rPr>
          <w:rFonts w:eastAsia="Times New Roman" w:cs="Arial"/>
        </w:rPr>
        <w:t>”) as agent for the transmission-owning subsidiaries of Southern Company (GPC, Alabama Power Company, and Mississippi Power Company) certain information that could be considered non-public information that potentially has implications under the Federal Energy Regulatory Commission (“</w:t>
      </w:r>
      <w:r>
        <w:rPr>
          <w:rFonts w:eastAsia="Times New Roman" w:cs="Arial"/>
          <w:b/>
        </w:rPr>
        <w:t>FERC</w:t>
      </w:r>
      <w:r>
        <w:rPr>
          <w:rFonts w:eastAsia="Times New Roman" w:cs="Arial"/>
        </w:rPr>
        <w:t xml:space="preserve">”) Standards of Conduct. Seller acknowledges that the information is being provided for the purposes of operational implementation and administration of the PPA (which includes conducting GPC’s system operations and dispatch functions) and will be used by GPC or SCS individuals in both Transmission/Distribution and energy affiliate/wholesale marketing unit functions under the FERC Standards of Conduct.  </w:t>
      </w:r>
    </w:p>
    <w:p w:rsidRPr="00F10071" w:rsidR="00506657" w:rsidP="00506657" w:rsidRDefault="00506657" w14:paraId="00BCC9B4" w14:textId="77777777">
      <w:pPr>
        <w:widowControl w:val="0"/>
        <w:adjustRightInd w:val="0"/>
        <w:spacing w:before="0" w:after="0"/>
        <w:textAlignment w:val="baseline"/>
        <w:rPr>
          <w:rFonts w:eastAsia="Times New Roman" w:cs="Arial"/>
        </w:rPr>
      </w:pPr>
    </w:p>
    <w:p w:rsidR="0057620B" w:rsidP="00506657" w:rsidRDefault="00506657" w14:paraId="294EC33D" w14:textId="2E7BD688">
      <w:pPr>
        <w:widowControl w:val="0"/>
        <w:adjustRightInd w:val="0"/>
        <w:spacing w:before="0" w:after="0"/>
        <w:textAlignment w:val="baseline"/>
        <w:rPr>
          <w:rFonts w:eastAsia="Times New Roman" w:cs="Arial"/>
        </w:rPr>
      </w:pPr>
      <w:r>
        <w:rPr>
          <w:rFonts w:eastAsia="Times New Roman" w:cs="Arial"/>
        </w:rPr>
        <w:t xml:space="preserve">The individuals within the Southern Company organizations indicated above may use the information only for purposes of implementing and administering the PPA (including conducting GPC’s system operations and dispatch functions). Seller understands that the information will not be used or disseminated in any manner contrary to the confidentiality provisions in the PPA or in violation of the FERC Standards of Conduct. </w:t>
      </w:r>
    </w:p>
    <w:p w:rsidR="0057620B" w:rsidP="00506657" w:rsidRDefault="0057620B" w14:paraId="73538803" w14:textId="77777777">
      <w:pPr>
        <w:widowControl w:val="0"/>
        <w:adjustRightInd w:val="0"/>
        <w:spacing w:before="0" w:after="0"/>
        <w:textAlignment w:val="baseline"/>
        <w:rPr>
          <w:rFonts w:eastAsia="Times New Roman" w:cs="Arial"/>
        </w:rPr>
      </w:pPr>
    </w:p>
    <w:p w:rsidRPr="00F10071" w:rsidR="00506657" w:rsidP="00506657" w:rsidRDefault="00506657" w14:paraId="6592AE7E" w14:textId="69F67FA2">
      <w:pPr>
        <w:widowControl w:val="0"/>
        <w:adjustRightInd w:val="0"/>
        <w:spacing w:before="0" w:after="0"/>
        <w:textAlignment w:val="baseline"/>
        <w:rPr>
          <w:rFonts w:eastAsia="Times New Roman" w:cs="Arial"/>
        </w:rPr>
      </w:pPr>
      <w:r>
        <w:rPr>
          <w:rFonts w:eastAsia="Times New Roman" w:cs="Arial"/>
        </w:rPr>
        <w:t>Seller’s provision of this information has not been and is not being provided in exchange for any preferential treatment, either operational or rate-related, by SCS or by any of the transmission-owning subsidiaries of Southern Company. Seller also acknowledges that Seller is not providing the information under duress or coercion. In accordance with FERC requirements, SCS may post on Southern Company’s Open Access Same-time Information System (OASIS) the fact of Seller’s consent to the provision of the information specified above to certain employees that may be employed within organizational units deemed to be energy affiliates/wholesale marketing units under the Standards of Conduct.</w:t>
      </w:r>
    </w:p>
    <w:p w:rsidRPr="00F10071" w:rsidR="00506657" w:rsidP="00506657" w:rsidRDefault="00506657" w14:paraId="473D0924" w14:textId="77777777">
      <w:pPr>
        <w:widowControl w:val="0"/>
        <w:adjustRightInd w:val="0"/>
        <w:spacing w:before="0" w:after="0"/>
        <w:textAlignment w:val="baseline"/>
        <w:rPr>
          <w:rFonts w:eastAsia="Times New Roman" w:cs="Arial"/>
        </w:rPr>
      </w:pPr>
    </w:p>
    <w:p w:rsidRPr="00F10071" w:rsidR="00506657" w:rsidP="00506657" w:rsidRDefault="00506657" w14:paraId="0B948891" w14:textId="77777777">
      <w:pPr>
        <w:widowControl w:val="0"/>
        <w:adjustRightInd w:val="0"/>
        <w:spacing w:before="0" w:after="0"/>
        <w:textAlignment w:val="baseline"/>
        <w:rPr>
          <w:rFonts w:eastAsia="Times New Roman" w:cs="Arial"/>
        </w:rPr>
      </w:pPr>
    </w:p>
    <w:p w:rsidR="00AA612D" w:rsidP="00506657" w:rsidRDefault="00506657" w14:paraId="0B8B5815" w14:textId="77777777">
      <w:pPr>
        <w:widowControl w:val="0"/>
        <w:adjustRightInd w:val="0"/>
        <w:spacing w:before="0" w:after="0"/>
        <w:jc w:val="left"/>
        <w:textAlignment w:val="baseline"/>
        <w:rPr>
          <w:rFonts w:eastAsia="Times New Roman" w:cs="Arial"/>
        </w:rPr>
      </w:pPr>
      <w:r>
        <w:rPr>
          <w:rFonts w:eastAsia="Times New Roman" w:cs="Arial"/>
          <w:u w:val="single"/>
        </w:rPr>
        <w:t>Acknowledged on behalf of Seller by Seller’s authorized representative signing below</w:t>
      </w:r>
      <w:r>
        <w:rPr>
          <w:rFonts w:eastAsia="Times New Roman" w:cs="Arial"/>
        </w:rPr>
        <w:t>:</w:t>
      </w:r>
    </w:p>
    <w:p w:rsidR="00AA612D" w:rsidP="00506657" w:rsidRDefault="00AA612D" w14:paraId="37E4F9D1" w14:textId="77777777">
      <w:pPr>
        <w:widowControl w:val="0"/>
        <w:adjustRightInd w:val="0"/>
        <w:spacing w:before="0" w:after="0"/>
        <w:jc w:val="left"/>
        <w:textAlignment w:val="baseline"/>
        <w:rPr>
          <w:rFonts w:eastAsia="Times New Roman" w:cs="Arial"/>
        </w:rPr>
      </w:pPr>
    </w:p>
    <w:tbl>
      <w:tblPr>
        <w:tblW w:w="5040" w:type="dxa"/>
        <w:tblLayout w:type="fixed"/>
        <w:tblCellMar>
          <w:left w:w="29" w:type="dxa"/>
          <w:right w:w="29" w:type="dxa"/>
        </w:tblCellMar>
        <w:tblLook w:val="01E0" w:firstRow="1" w:lastRow="1" w:firstColumn="1" w:lastColumn="1" w:noHBand="0" w:noVBand="0"/>
      </w:tblPr>
      <w:tblGrid>
        <w:gridCol w:w="900"/>
        <w:gridCol w:w="4140"/>
      </w:tblGrid>
      <w:tr w:rsidR="00454ED5" w:rsidTr="00454ED5" w14:paraId="3E53DD15" w14:textId="77777777">
        <w:trPr>
          <w:cantSplit/>
          <w:trHeight w:val="432"/>
        </w:trPr>
        <w:tc>
          <w:tcPr>
            <w:tcW w:w="5040" w:type="dxa"/>
            <w:gridSpan w:val="2"/>
            <w:hideMark/>
          </w:tcPr>
          <w:p w:rsidR="00454ED5" w:rsidRDefault="00454ED5" w14:paraId="59C38F0D" w14:textId="25FA8A56">
            <w:pPr>
              <w:pStyle w:val="zGTableSig12"/>
              <w:spacing w:line="256" w:lineRule="auto"/>
            </w:pPr>
            <w:r>
              <w:rPr>
                <w:highlight w:val="yellow"/>
              </w:rPr>
              <w:t>#SellerLegalName#</w:t>
            </w:r>
          </w:p>
        </w:tc>
      </w:tr>
      <w:tr w:rsidR="00454ED5" w:rsidTr="00454ED5" w14:paraId="329BE94E" w14:textId="77777777">
        <w:trPr>
          <w:cantSplit/>
          <w:trHeight w:val="504"/>
        </w:trPr>
        <w:tc>
          <w:tcPr>
            <w:tcW w:w="900" w:type="dxa"/>
            <w:vAlign w:val="bottom"/>
            <w:hideMark/>
          </w:tcPr>
          <w:p w:rsidR="00454ED5" w:rsidRDefault="00454ED5" w14:paraId="32555608" w14:textId="77777777">
            <w:pPr>
              <w:pStyle w:val="zGNormal"/>
              <w:spacing w:line="256" w:lineRule="auto"/>
              <w:rPr>
                <w:sz w:val="18"/>
                <w:szCs w:val="18"/>
              </w:rPr>
            </w:pPr>
            <w:r>
              <w:rPr>
                <w:sz w:val="18"/>
                <w:szCs w:val="18"/>
              </w:rPr>
              <w:t>By:</w:t>
            </w:r>
          </w:p>
        </w:tc>
        <w:tc>
          <w:tcPr>
            <w:tcW w:w="4140" w:type="dxa"/>
            <w:tcBorders>
              <w:top w:val="nil"/>
              <w:left w:val="nil"/>
              <w:bottom w:val="single" w:color="auto" w:sz="8" w:space="0"/>
              <w:right w:val="nil"/>
            </w:tcBorders>
            <w:vAlign w:val="bottom"/>
          </w:tcPr>
          <w:p w:rsidR="00454ED5" w:rsidRDefault="00454ED5" w14:paraId="0ED23DDC" w14:textId="77777777">
            <w:pPr>
              <w:keepLines/>
              <w:spacing w:line="256" w:lineRule="auto"/>
              <w:rPr>
                <w:rFonts w:cs="Arial"/>
                <w:sz w:val="22"/>
                <w:szCs w:val="22"/>
              </w:rPr>
            </w:pPr>
          </w:p>
        </w:tc>
      </w:tr>
      <w:tr w:rsidR="00454ED5" w:rsidTr="00454ED5" w14:paraId="2D0C77EC" w14:textId="77777777">
        <w:trPr>
          <w:cantSplit/>
          <w:trHeight w:val="504"/>
        </w:trPr>
        <w:tc>
          <w:tcPr>
            <w:tcW w:w="900" w:type="dxa"/>
            <w:vAlign w:val="bottom"/>
            <w:hideMark/>
          </w:tcPr>
          <w:p w:rsidR="00454ED5" w:rsidRDefault="00454ED5" w14:paraId="22521AA6" w14:textId="77777777">
            <w:pPr>
              <w:pStyle w:val="zGNormal"/>
              <w:spacing w:line="256" w:lineRule="auto"/>
              <w:rPr>
                <w:sz w:val="18"/>
                <w:szCs w:val="18"/>
              </w:rPr>
            </w:pPr>
            <w:r>
              <w:rPr>
                <w:sz w:val="18"/>
                <w:szCs w:val="18"/>
              </w:rPr>
              <w:t>Name</w:t>
            </w:r>
          </w:p>
          <w:p w:rsidR="00454ED5" w:rsidRDefault="00454ED5" w14:paraId="42D50674" w14:textId="77777777">
            <w:pPr>
              <w:pStyle w:val="zGNormal"/>
              <w:spacing w:line="256" w:lineRule="auto"/>
              <w:rPr>
                <w:sz w:val="18"/>
                <w:szCs w:val="18"/>
              </w:rPr>
            </w:pPr>
            <w:r>
              <w:rPr>
                <w:sz w:val="18"/>
                <w:szCs w:val="18"/>
              </w:rPr>
              <w:t>Printed:</w:t>
            </w:r>
          </w:p>
        </w:tc>
        <w:tc>
          <w:tcPr>
            <w:tcW w:w="4140" w:type="dxa"/>
            <w:tcBorders>
              <w:top w:val="single" w:color="auto" w:sz="8" w:space="0"/>
              <w:left w:val="nil"/>
              <w:bottom w:val="single" w:color="auto" w:sz="4" w:space="0"/>
              <w:right w:val="nil"/>
            </w:tcBorders>
          </w:tcPr>
          <w:p w:rsidR="00454ED5" w:rsidRDefault="00454ED5" w14:paraId="01657A2B" w14:textId="77777777">
            <w:pPr>
              <w:keepLines/>
              <w:spacing w:line="256" w:lineRule="auto"/>
              <w:rPr>
                <w:rFonts w:cs="Arial"/>
              </w:rPr>
            </w:pPr>
          </w:p>
        </w:tc>
      </w:tr>
      <w:tr w:rsidR="00454ED5" w:rsidTr="00454ED5" w14:paraId="7012C56D" w14:textId="77777777">
        <w:trPr>
          <w:cantSplit/>
          <w:trHeight w:val="504"/>
        </w:trPr>
        <w:tc>
          <w:tcPr>
            <w:tcW w:w="900" w:type="dxa"/>
            <w:vAlign w:val="bottom"/>
            <w:hideMark/>
          </w:tcPr>
          <w:p w:rsidR="00454ED5" w:rsidRDefault="00454ED5" w14:paraId="52616A55" w14:textId="77777777">
            <w:pPr>
              <w:pStyle w:val="zGNormal"/>
              <w:spacing w:line="256" w:lineRule="auto"/>
              <w:rPr>
                <w:sz w:val="18"/>
                <w:szCs w:val="18"/>
              </w:rPr>
            </w:pPr>
            <w:r>
              <w:rPr>
                <w:sz w:val="18"/>
                <w:szCs w:val="18"/>
              </w:rPr>
              <w:t>Title:</w:t>
            </w:r>
          </w:p>
        </w:tc>
        <w:tc>
          <w:tcPr>
            <w:tcW w:w="4140" w:type="dxa"/>
            <w:tcBorders>
              <w:top w:val="single" w:color="auto" w:sz="4" w:space="0"/>
              <w:left w:val="nil"/>
              <w:bottom w:val="single" w:color="auto" w:sz="4" w:space="0"/>
              <w:right w:val="nil"/>
            </w:tcBorders>
          </w:tcPr>
          <w:p w:rsidR="00454ED5" w:rsidRDefault="00454ED5" w14:paraId="7E391CCC" w14:textId="77777777">
            <w:pPr>
              <w:keepLines/>
              <w:spacing w:line="256" w:lineRule="auto"/>
              <w:rPr>
                <w:rFonts w:cs="Arial"/>
              </w:rPr>
            </w:pPr>
          </w:p>
        </w:tc>
      </w:tr>
      <w:tr w:rsidR="00454ED5" w:rsidTr="00454ED5" w14:paraId="5D0AEA13" w14:textId="77777777">
        <w:trPr>
          <w:cantSplit/>
          <w:trHeight w:val="504"/>
        </w:trPr>
        <w:tc>
          <w:tcPr>
            <w:tcW w:w="900" w:type="dxa"/>
            <w:vAlign w:val="bottom"/>
            <w:hideMark/>
          </w:tcPr>
          <w:p w:rsidR="00454ED5" w:rsidRDefault="00454ED5" w14:paraId="1B2CE89A" w14:textId="77777777">
            <w:pPr>
              <w:pStyle w:val="zGNormal"/>
              <w:spacing w:line="256" w:lineRule="auto"/>
              <w:rPr>
                <w:sz w:val="18"/>
                <w:szCs w:val="18"/>
              </w:rPr>
            </w:pPr>
            <w:r>
              <w:rPr>
                <w:sz w:val="18"/>
                <w:szCs w:val="18"/>
              </w:rPr>
              <w:t>Date:</w:t>
            </w:r>
          </w:p>
        </w:tc>
        <w:tc>
          <w:tcPr>
            <w:tcW w:w="4140" w:type="dxa"/>
            <w:tcBorders>
              <w:top w:val="single" w:color="auto" w:sz="4" w:space="0"/>
              <w:left w:val="nil"/>
              <w:bottom w:val="single" w:color="auto" w:sz="4" w:space="0"/>
              <w:right w:val="nil"/>
            </w:tcBorders>
            <w:vAlign w:val="bottom"/>
          </w:tcPr>
          <w:p w:rsidR="00454ED5" w:rsidRDefault="00454ED5" w14:paraId="24E4151E" w14:textId="77777777">
            <w:pPr>
              <w:keepLines/>
              <w:spacing w:line="256" w:lineRule="auto"/>
              <w:rPr>
                <w:rFonts w:cs="Arial"/>
                <w:sz w:val="22"/>
                <w:szCs w:val="22"/>
              </w:rPr>
            </w:pPr>
          </w:p>
        </w:tc>
      </w:tr>
    </w:tbl>
    <w:p w:rsidR="00783CCB" w:rsidRDefault="00783CCB" w14:paraId="17A422DA" w14:textId="77777777">
      <w:pPr>
        <w:pStyle w:val="zGNormal6"/>
      </w:pPr>
    </w:p>
    <w:p w:rsidR="00F406D5" w:rsidRDefault="00F406D5" w14:paraId="6D70F97D" w14:textId="77777777">
      <w:pPr>
        <w:pStyle w:val="zGNormal6"/>
      </w:pPr>
    </w:p>
    <w:p w:rsidR="00FA0C51" w:rsidRDefault="00FA0C51" w14:paraId="2B68338A" w14:textId="77777777">
      <w:pPr>
        <w:pStyle w:val="zGNormal6"/>
        <w:sectPr w:rsidR="00FA0C51" w:rsidSect="005B310E">
          <w:headerReference w:type="default" r:id="rId58"/>
          <w:footerReference w:type="default" r:id="rId59"/>
          <w:pgSz w:w="12240" w:h="15840" w:code="1"/>
          <w:pgMar w:top="1440" w:right="1440" w:bottom="1440" w:left="1440" w:header="720" w:footer="720" w:gutter="0"/>
          <w:paperSrc w:first="15" w:other="15"/>
          <w:cols w:space="1440"/>
        </w:sectPr>
      </w:pPr>
    </w:p>
    <w:p w:rsidRPr="009D7FCA" w:rsidR="00F27D20" w:rsidP="00F27D20" w:rsidRDefault="00F27D20" w14:paraId="285415A6" w14:textId="5D0A87E9">
      <w:pPr>
        <w:pStyle w:val="zGTitleExhibit"/>
      </w:pPr>
      <w:bookmarkStart w:name="_Toc212473103" w:id="635"/>
      <w:bookmarkStart w:name="_Toc227840799" w:id="636"/>
      <w:r>
        <w:lastRenderedPageBreak/>
        <w:t>Exhibit L – Environmental Compliance Certification</w:t>
      </w:r>
      <w:bookmarkEnd w:id="635"/>
      <w:bookmarkEnd w:id="636"/>
    </w:p>
    <w:p w:rsidRPr="0012275A" w:rsidR="00F27D20" w:rsidP="00F27D20" w:rsidRDefault="00F27D20" w14:paraId="3CCF3AB3" w14:textId="77777777">
      <w:pPr>
        <w:spacing w:before="0" w:after="0"/>
        <w:jc w:val="center"/>
        <w:textAlignment w:val="baseline"/>
        <w:rPr>
          <w:rFonts w:ascii="Segoe UI" w:hAnsi="Segoe UI" w:eastAsia="Times New Roman" w:cs="Segoe UI"/>
          <w:sz w:val="18"/>
          <w:szCs w:val="18"/>
        </w:rPr>
      </w:pPr>
      <w:r>
        <w:rPr>
          <w:rFonts w:eastAsia="Times New Roman" w:cs="Arial"/>
          <w:b/>
          <w:bCs/>
        </w:rPr>
        <w:t>CERTIFICATION OF ENVIRONMENTAL COMPLIANCE </w:t>
      </w:r>
      <w:r>
        <w:rPr>
          <w:rFonts w:eastAsia="Times New Roman" w:cs="Arial"/>
        </w:rPr>
        <w:t> </w:t>
      </w:r>
    </w:p>
    <w:p w:rsidRPr="0012275A" w:rsidR="00F27D20" w:rsidP="00F27D20" w:rsidRDefault="00F27D20" w14:paraId="750BC41C" w14:textId="77777777">
      <w:pPr>
        <w:spacing w:before="0" w:after="0"/>
        <w:jc w:val="center"/>
        <w:textAlignment w:val="baseline"/>
        <w:rPr>
          <w:rFonts w:ascii="Segoe UI" w:hAnsi="Segoe UI" w:eastAsia="Times New Roman" w:cs="Segoe UI"/>
          <w:sz w:val="18"/>
          <w:szCs w:val="18"/>
        </w:rPr>
      </w:pPr>
      <w:r>
        <w:rPr>
          <w:rFonts w:eastAsia="Times New Roman" w:cs="Arial"/>
        </w:rPr>
        <w:t> </w:t>
      </w:r>
    </w:p>
    <w:p w:rsidRPr="0012275A" w:rsidR="00F27D20" w:rsidP="00F27D20" w:rsidRDefault="00F27D20" w14:paraId="5F6F5344" w14:textId="4926B3A3">
      <w:pPr>
        <w:spacing w:before="0" w:after="0"/>
        <w:textAlignment w:val="baseline"/>
        <w:rPr>
          <w:rFonts w:ascii="Segoe UI" w:hAnsi="Segoe UI" w:eastAsia="Times New Roman" w:cs="Segoe UI"/>
          <w:sz w:val="18"/>
          <w:szCs w:val="18"/>
        </w:rPr>
      </w:pPr>
      <w:r>
        <w:rPr>
          <w:rFonts w:eastAsia="Times New Roman" w:cs="Arial"/>
          <w:b/>
          <w:bCs/>
        </w:rPr>
        <w:t xml:space="preserve">AGREEMENT – </w:t>
      </w:r>
      <w:r>
        <w:rPr>
          <w:rStyle w:val="eop"/>
          <w:rFonts w:cs="Arial"/>
          <w:b/>
          <w:shd w:val="clear" w:color="auto" w:fill="FFFFFF"/>
        </w:rPr>
        <w:t>Power Purchase Agreement for Firm Capacity, Firm Energy, and Ancillary Services from a Combined Cycle Facility</w:t>
      </w:r>
      <w:r>
        <w:rPr>
          <w:rFonts w:eastAsia="Times New Roman" w:cs="Arial"/>
          <w:b/>
        </w:rPr>
        <w:t xml:space="preserve"> for 2026 All-Source Capacity Request for Proposals for Need Years 2032</w:t>
      </w:r>
      <w:r>
        <w:rPr>
          <w:rFonts w:cs="Arial"/>
          <w:b/>
        </w:rPr>
        <w:t>–</w:t>
      </w:r>
      <w:r>
        <w:rPr>
          <w:rFonts w:eastAsia="Times New Roman" w:cs="Arial"/>
          <w:b/>
        </w:rPr>
        <w:t xml:space="preserve">2033 </w:t>
      </w:r>
      <w:r>
        <w:rPr>
          <w:rFonts w:eastAsia="Times New Roman" w:cs="Arial"/>
          <w:b/>
          <w:bCs/>
        </w:rPr>
        <w:t>at (</w:t>
      </w:r>
      <w:r>
        <w:rPr>
          <w:rFonts w:eastAsia="Times New Roman" w:cs="Arial"/>
          <w:b/>
          <w:bCs/>
          <w:highlight w:val="yellow"/>
        </w:rPr>
        <w:t>#</w:t>
      </w:r>
      <w:r>
        <w:rPr>
          <w:rFonts w:eastAsia="Times New Roman" w:cs="Arial"/>
          <w:b/>
          <w:highlight w:val="yellow"/>
        </w:rPr>
        <w:t>FacilityName</w:t>
      </w:r>
      <w:r>
        <w:rPr>
          <w:rFonts w:eastAsia="Times New Roman" w:cs="Arial"/>
          <w:b/>
          <w:bCs/>
          <w:highlight w:val="yellow"/>
        </w:rPr>
        <w:t>#</w:t>
      </w:r>
      <w:r>
        <w:rPr>
          <w:rFonts w:eastAsia="Times New Roman" w:cs="Arial"/>
          <w:b/>
          <w:bCs/>
        </w:rPr>
        <w:t xml:space="preserve">) </w:t>
      </w:r>
      <w:r>
        <w:rPr>
          <w:rFonts w:eastAsia="Times New Roman" w:cs="Arial"/>
        </w:rPr>
        <w:t>dated as of ______ ___, 20__ between</w:t>
      </w:r>
      <w:r>
        <w:rPr>
          <w:rFonts w:eastAsia="Times New Roman" w:cs="Arial"/>
          <w:b/>
          <w:bCs/>
        </w:rPr>
        <w:t xml:space="preserve"> Georgia Power Company</w:t>
      </w:r>
      <w:r>
        <w:rPr>
          <w:rFonts w:eastAsia="Times New Roman" w:cs="Arial"/>
        </w:rPr>
        <w:t xml:space="preserve"> (“</w:t>
      </w:r>
      <w:r>
        <w:rPr>
          <w:rFonts w:eastAsia="Times New Roman" w:cs="Arial"/>
          <w:b/>
          <w:bCs/>
        </w:rPr>
        <w:t>GPC</w:t>
      </w:r>
      <w:r>
        <w:rPr>
          <w:rFonts w:eastAsia="Times New Roman" w:cs="Arial"/>
        </w:rPr>
        <w:t xml:space="preserve">”), and </w:t>
      </w:r>
      <w:r>
        <w:rPr>
          <w:rFonts w:eastAsia="Times New Roman" w:cs="Arial"/>
          <w:b/>
          <w:bCs/>
          <w:shd w:val="clear" w:color="auto" w:fill="FFFF00"/>
        </w:rPr>
        <w:t>#SellerLegalName#</w:t>
      </w:r>
      <w:r>
        <w:rPr>
          <w:rFonts w:eastAsia="Times New Roman" w:cs="Arial"/>
        </w:rPr>
        <w:t xml:space="preserve"> (“</w:t>
      </w:r>
      <w:r>
        <w:rPr>
          <w:rFonts w:eastAsia="Times New Roman" w:cs="Arial"/>
          <w:b/>
          <w:bCs/>
        </w:rPr>
        <w:t>Seller</w:t>
      </w:r>
      <w:r>
        <w:rPr>
          <w:rFonts w:eastAsia="Times New Roman" w:cs="Arial"/>
        </w:rPr>
        <w:t>”) (“</w:t>
      </w:r>
      <w:r>
        <w:rPr>
          <w:rFonts w:eastAsia="Times New Roman" w:cs="Arial"/>
          <w:b/>
          <w:bCs/>
        </w:rPr>
        <w:t>PPA</w:t>
      </w:r>
      <w:r>
        <w:rPr>
          <w:rFonts w:eastAsia="Times New Roman" w:cs="Arial"/>
        </w:rPr>
        <w:t>”). Capitalized terms used herein will have the meaning assigned in the PPA. </w:t>
      </w:r>
    </w:p>
    <w:p w:rsidRPr="00E66E28" w:rsidR="00965398" w:rsidP="00965398" w:rsidRDefault="00965398" w14:paraId="6662DAA1" w14:textId="7188A976">
      <w:pPr>
        <w:spacing w:before="0" w:after="0"/>
        <w:textAlignment w:val="baseline"/>
        <w:rPr>
          <w:rFonts w:eastAsia="Times New Roman" w:cs="Arial"/>
        </w:rPr>
      </w:pPr>
      <w:r>
        <w:rPr>
          <w:rFonts w:eastAsia="Times New Roman" w:cs="Arial"/>
        </w:rPr>
        <w:t xml:space="preserve">The undersigned individual, being the </w:t>
      </w:r>
      <w:r>
        <w:rPr>
          <w:rFonts w:eastAsia="Times New Roman" w:cs="Arial"/>
          <w:highlight w:val="yellow"/>
        </w:rPr>
        <w:t>[●]</w:t>
      </w:r>
      <w:r>
        <w:rPr>
          <w:rFonts w:eastAsia="Times New Roman" w:cs="Arial"/>
        </w:rPr>
        <w:t xml:space="preserve"> of Seller and having responsibilities for [</w:t>
      </w:r>
      <w:r>
        <w:rPr>
          <w:rFonts w:eastAsia="Times New Roman" w:cs="Arial"/>
          <w:i/>
          <w:iCs/>
        </w:rPr>
        <w:t>environmental compliance and reporting</w:t>
      </w:r>
      <w:r>
        <w:rPr>
          <w:rFonts w:eastAsia="Times New Roman" w:cs="Arial"/>
        </w:rPr>
        <w:t>] matters associated with the PPA, certifies the following: </w:t>
      </w:r>
    </w:p>
    <w:p w:rsidRPr="00E66E28" w:rsidR="00965398" w:rsidP="004206E0" w:rsidRDefault="00965398" w14:paraId="796A44E7" w14:textId="4D31F659">
      <w:pPr>
        <w:numPr>
          <w:ilvl w:val="0"/>
          <w:numId w:val="17"/>
        </w:numPr>
        <w:spacing w:before="0" w:after="0"/>
        <w:ind w:left="360" w:firstLine="0"/>
        <w:textAlignment w:val="baseline"/>
        <w:rPr>
          <w:rFonts w:eastAsia="Times New Roman" w:cs="Arial"/>
        </w:rPr>
      </w:pPr>
      <w:r>
        <w:rPr>
          <w:rFonts w:eastAsia="Times New Roman" w:cs="Arial"/>
        </w:rPr>
        <w:t xml:space="preserve">Since the date of Seller’s prior Certification of Environmental Compliance delivered in accordance with the PPA, there have been no changes in the design </w:t>
      </w:r>
      <w:r w:rsidR="00C73B13">
        <w:rPr>
          <w:rFonts w:eastAsia="Times New Roman" w:cs="Arial"/>
        </w:rPr>
        <w:t xml:space="preserve">or construction </w:t>
      </w:r>
      <w:r>
        <w:rPr>
          <w:rFonts w:eastAsia="Times New Roman" w:cs="Arial"/>
        </w:rPr>
        <w:t>of the Facility that resulted in or, to the best of the knowledge of the undersigned after reasonable inquiry, are expected to result in, additional impacts to the environment that have not been previously disclosed in writing to GPC.  </w:t>
      </w:r>
    </w:p>
    <w:p w:rsidRPr="00E66E28" w:rsidR="00965398" w:rsidP="00965398" w:rsidRDefault="00965398" w14:paraId="7CE239C4" w14:textId="77777777">
      <w:pPr>
        <w:spacing w:before="0" w:after="0"/>
        <w:ind w:left="360"/>
        <w:textAlignment w:val="baseline"/>
        <w:rPr>
          <w:rFonts w:eastAsia="Times New Roman" w:cs="Arial"/>
        </w:rPr>
      </w:pPr>
      <w:r>
        <w:rPr>
          <w:rFonts w:eastAsia="Times New Roman" w:cs="Arial"/>
        </w:rPr>
        <w:t>________Yes </w:t>
      </w:r>
    </w:p>
    <w:p w:rsidRPr="00E66E28" w:rsidR="00965398" w:rsidP="00965398" w:rsidRDefault="00965398" w14:paraId="0DCF0B1E" w14:textId="77777777">
      <w:pPr>
        <w:spacing w:before="0" w:after="0"/>
        <w:ind w:left="360"/>
        <w:textAlignment w:val="baseline"/>
        <w:rPr>
          <w:rFonts w:eastAsia="Times New Roman" w:cs="Arial"/>
        </w:rPr>
      </w:pPr>
      <w:r>
        <w:rPr>
          <w:rFonts w:eastAsia="Times New Roman" w:cs="Arial"/>
        </w:rPr>
        <w:t>________No (please explain) </w:t>
      </w:r>
    </w:p>
    <w:p w:rsidRPr="00E66E28" w:rsidR="00965398" w:rsidP="00965398" w:rsidRDefault="00965398" w14:paraId="5AEA3B90" w14:textId="77777777">
      <w:pPr>
        <w:spacing w:before="0" w:after="0"/>
        <w:ind w:left="360"/>
        <w:textAlignment w:val="baseline"/>
        <w:rPr>
          <w:rFonts w:eastAsia="Times New Roman" w:cs="Arial"/>
        </w:rPr>
      </w:pPr>
      <w:r>
        <w:rPr>
          <w:rFonts w:eastAsia="Times New Roman" w:cs="Arial"/>
        </w:rPr>
        <w:t>Explain:_______________________________________________________________________ </w:t>
      </w:r>
    </w:p>
    <w:p w:rsidRPr="00E66E28" w:rsidR="00965398" w:rsidP="00965398" w:rsidRDefault="00965398" w14:paraId="66FBEFF5" w14:textId="77777777">
      <w:pPr>
        <w:spacing w:before="0" w:after="0"/>
        <w:ind w:left="360"/>
        <w:textAlignment w:val="baseline"/>
        <w:rPr>
          <w:rFonts w:eastAsia="Times New Roman" w:cs="Arial"/>
        </w:rPr>
      </w:pPr>
      <w:r>
        <w:rPr>
          <w:rFonts w:eastAsia="Times New Roman" w:cs="Arial"/>
        </w:rPr>
        <w:t>(a)</w:t>
      </w:r>
      <w:r>
        <w:rPr>
          <w:rFonts w:eastAsia="Times New Roman" w:cs="Arial"/>
        </w:rPr>
        <w:tab/>
        <w:t>If “no,” a figure set or plan sheets that highlights such changes is attached. </w:t>
      </w:r>
    </w:p>
    <w:p w:rsidRPr="00E66E28" w:rsidR="00965398" w:rsidP="00965398" w:rsidRDefault="00965398" w14:paraId="6A317260" w14:textId="77777777">
      <w:pPr>
        <w:spacing w:before="0" w:after="0"/>
        <w:ind w:left="360"/>
        <w:textAlignment w:val="baseline"/>
        <w:rPr>
          <w:rFonts w:eastAsia="Times New Roman" w:cs="Arial"/>
        </w:rPr>
      </w:pPr>
      <w:r>
        <w:rPr>
          <w:rFonts w:eastAsia="Times New Roman" w:cs="Arial"/>
        </w:rPr>
        <w:t>(b)</w:t>
      </w:r>
      <w:r>
        <w:rPr>
          <w:rFonts w:eastAsia="Times New Roman" w:cs="Arial"/>
        </w:rPr>
        <w:tab/>
        <w:t>If “no,” copies of all documentation that all necessary Permits have been obtained and/or that the appropriate Governmental Authority coordination has occurred to legally allow for such impacts is attached. </w:t>
      </w:r>
    </w:p>
    <w:p w:rsidRPr="00E66E28" w:rsidR="00965398" w:rsidP="004206E0" w:rsidRDefault="00965398" w14:paraId="05FDCE0E" w14:textId="49F3A275">
      <w:pPr>
        <w:pStyle w:val="ListParagraph"/>
        <w:numPr>
          <w:ilvl w:val="0"/>
          <w:numId w:val="19"/>
        </w:numPr>
        <w:spacing w:after="0"/>
        <w:textAlignment w:val="baseline"/>
        <w:rPr>
          <w:rFonts w:ascii="Arial" w:hAnsi="Arial" w:eastAsia="Times New Roman" w:cs="Arial"/>
          <w:sz w:val="20"/>
          <w:szCs w:val="20"/>
        </w:rPr>
      </w:pPr>
      <w:r>
        <w:rPr>
          <w:rFonts w:ascii="Arial" w:hAnsi="Arial" w:eastAsia="Times New Roman" w:cs="Arial"/>
          <w:sz w:val="20"/>
          <w:szCs w:val="20"/>
        </w:rPr>
        <w:t>A list of Permits for the Facility that were obtained (opened) or Governmental Authority prescriptions that were issued since the previous Certification is attached. </w:t>
      </w:r>
    </w:p>
    <w:p w:rsidRPr="00E66E28" w:rsidR="00965398" w:rsidP="004206E0" w:rsidRDefault="00965398" w14:paraId="74D6A841" w14:textId="77777777">
      <w:pPr>
        <w:numPr>
          <w:ilvl w:val="0"/>
          <w:numId w:val="19"/>
        </w:numPr>
        <w:spacing w:before="0" w:after="0"/>
        <w:ind w:left="360" w:firstLine="0"/>
        <w:textAlignment w:val="baseline"/>
        <w:rPr>
          <w:rFonts w:eastAsia="Times New Roman" w:cs="Arial"/>
        </w:rPr>
      </w:pPr>
      <w:r>
        <w:rPr>
          <w:rFonts w:eastAsia="Times New Roman" w:cs="Arial"/>
        </w:rPr>
        <w:t>A list of Permits for the Facility that were applied for but have not yet been obtained (opened) since the previous Certification is attached. </w:t>
      </w:r>
    </w:p>
    <w:p w:rsidRPr="00E66E28" w:rsidR="00965398" w:rsidP="004206E0" w:rsidRDefault="00965398" w14:paraId="6A01B627" w14:textId="22D9FB0C">
      <w:pPr>
        <w:numPr>
          <w:ilvl w:val="0"/>
          <w:numId w:val="20"/>
        </w:numPr>
        <w:spacing w:before="0" w:after="0"/>
        <w:ind w:left="360" w:firstLine="0"/>
        <w:textAlignment w:val="baseline"/>
        <w:rPr>
          <w:rFonts w:eastAsia="Times New Roman" w:cs="Arial"/>
        </w:rPr>
      </w:pPr>
      <w:r>
        <w:rPr>
          <w:rFonts w:eastAsia="Times New Roman" w:cs="Arial"/>
        </w:rPr>
        <w:t>A list of any notices of violation (NOV) that were issued</w:t>
      </w:r>
      <w:r w:rsidR="00420D87">
        <w:rPr>
          <w:rFonts w:eastAsia="Times New Roman" w:cs="Arial"/>
        </w:rPr>
        <w:t xml:space="preserve"> since the previous certification</w:t>
      </w:r>
      <w:r>
        <w:rPr>
          <w:rFonts w:eastAsia="Times New Roman" w:cs="Arial"/>
        </w:rPr>
        <w:t xml:space="preserve"> with respect to Seller [or in connection with the Facility], including: (i) the Governmental Authority that issued the NOV, (ii) the status of remediation of the violation; and (iii) if remediation has not been completed, the duration anticipated for resolution is attached. Copies of any NOVs are also attached. </w:t>
      </w:r>
    </w:p>
    <w:p w:rsidRPr="00E66E28" w:rsidR="00965398" w:rsidP="004206E0" w:rsidRDefault="00965398" w14:paraId="5EB5EFC6" w14:textId="53514B59">
      <w:pPr>
        <w:numPr>
          <w:ilvl w:val="0"/>
          <w:numId w:val="21"/>
        </w:numPr>
        <w:spacing w:before="0" w:after="0"/>
        <w:ind w:left="360" w:firstLine="0"/>
        <w:textAlignment w:val="baseline"/>
        <w:rPr>
          <w:rFonts w:eastAsia="Times New Roman" w:cs="Arial"/>
        </w:rPr>
      </w:pPr>
      <w:r>
        <w:rPr>
          <w:rFonts w:eastAsia="Times New Roman" w:cs="Arial"/>
        </w:rPr>
        <w:t>Attached is a list identifying (by name and address) any adjacent landowner, lessee or neighbor complaints against Seller or the Facility</w:t>
      </w:r>
      <w:r w:rsidR="0095663D">
        <w:rPr>
          <w:rFonts w:eastAsia="Times New Roman" w:cs="Arial"/>
        </w:rPr>
        <w:t xml:space="preserve"> since the previous certification</w:t>
      </w:r>
      <w:r>
        <w:rPr>
          <w:rFonts w:eastAsia="Times New Roman" w:cs="Arial"/>
        </w:rPr>
        <w:t>, as well as: (i) a general description of the complaint; and (ii) plans that Seller took to resolve the complaint or, if not yet resolved, what actions Seller has taken to date, or intends to take, to resolve the complaint, along with a timeline for completing such actions. </w:t>
      </w:r>
    </w:p>
    <w:p w:rsidRPr="00E66E28" w:rsidR="00965398" w:rsidP="004206E0" w:rsidRDefault="00965398" w14:paraId="04BC7791" w14:textId="77777777">
      <w:pPr>
        <w:numPr>
          <w:ilvl w:val="0"/>
          <w:numId w:val="22"/>
        </w:numPr>
        <w:spacing w:before="0" w:after="0"/>
        <w:ind w:left="360" w:firstLine="0"/>
        <w:textAlignment w:val="baseline"/>
        <w:rPr>
          <w:rFonts w:eastAsia="Times New Roman" w:cs="Arial"/>
        </w:rPr>
      </w:pPr>
      <w:r>
        <w:rPr>
          <w:rFonts w:eastAsia="Times New Roman" w:cs="Arial"/>
        </w:rPr>
        <w:t>A list of any Permits and/or other Governmental Authority prescribed actions that have been fulfilled and/or closed since the previous Certification is attached. </w:t>
      </w:r>
    </w:p>
    <w:p w:rsidRPr="00E66E28" w:rsidR="00965398" w:rsidP="004206E0" w:rsidRDefault="00965398" w14:paraId="4D43BA16" w14:textId="77777777">
      <w:pPr>
        <w:numPr>
          <w:ilvl w:val="0"/>
          <w:numId w:val="23"/>
        </w:numPr>
        <w:spacing w:before="0" w:after="0"/>
        <w:ind w:left="360" w:firstLine="0"/>
        <w:textAlignment w:val="baseline"/>
        <w:rPr>
          <w:rFonts w:eastAsia="Times New Roman" w:cs="Arial"/>
        </w:rPr>
      </w:pPr>
      <w:r>
        <w:rPr>
          <w:rFonts w:eastAsia="Times New Roman" w:cs="Arial"/>
        </w:rPr>
        <w:t>Except as already referenced or included in an attachment to this Certification, there are no other documents, notices or correspondence from any Governmental Authority indicating that the Facility and the Site is not in compliance with or is not in good standing under, and Environmental Laws, Permit or other Governmental Authority prescribed actions. </w:t>
      </w:r>
    </w:p>
    <w:p w:rsidRPr="0012275A" w:rsidR="00F27D20" w:rsidP="00F27D20" w:rsidRDefault="00F27D20" w14:paraId="77245DA0" w14:textId="77777777">
      <w:pPr>
        <w:spacing w:before="0" w:after="0"/>
        <w:textAlignment w:val="baseline"/>
        <w:rPr>
          <w:rFonts w:ascii="Segoe UI" w:hAnsi="Segoe UI" w:eastAsia="Times New Roman" w:cs="Segoe UI"/>
          <w:sz w:val="18"/>
          <w:szCs w:val="18"/>
        </w:rPr>
      </w:pPr>
      <w:r>
        <w:rPr>
          <w:rFonts w:eastAsia="Times New Roman" w:cs="Arial"/>
          <w:b/>
          <w:bCs/>
          <w:u w:val="single"/>
        </w:rPr>
        <w:t>Confirmation</w:t>
      </w:r>
      <w:r>
        <w:rPr>
          <w:rFonts w:eastAsia="Times New Roman" w:cs="Arial"/>
        </w:rPr>
        <w:t> </w:t>
      </w:r>
    </w:p>
    <w:p w:rsidRPr="0012275A" w:rsidR="00F27D20" w:rsidP="00F27D20" w:rsidRDefault="00F27D20" w14:paraId="4928B970" w14:textId="77777777">
      <w:pPr>
        <w:spacing w:before="0" w:after="0"/>
        <w:textAlignment w:val="baseline"/>
        <w:rPr>
          <w:rFonts w:ascii="Segoe UI" w:hAnsi="Segoe UI" w:eastAsia="Times New Roman" w:cs="Segoe UI"/>
          <w:sz w:val="18"/>
          <w:szCs w:val="18"/>
        </w:rPr>
      </w:pPr>
      <w:r>
        <w:rPr>
          <w:rFonts w:eastAsia="Times New Roman" w:cs="Arial"/>
          <w:b/>
          <w:bCs/>
        </w:rPr>
        <w:t>The above information (and any attachments) has been completed in full and agrees with our records as of the date of this Certification.</w:t>
      </w:r>
      <w:r>
        <w:rPr>
          <w:rFonts w:eastAsia="Times New Roman" w:cs="Arial"/>
        </w:rPr>
        <w:t> </w:t>
      </w:r>
    </w:p>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1005"/>
        <w:gridCol w:w="4080"/>
        <w:gridCol w:w="30"/>
      </w:tblGrid>
      <w:tr w:rsidRPr="0012275A" w:rsidR="00F27D20" w:rsidTr="00680AC5" w14:paraId="626B3421" w14:textId="77777777">
        <w:trPr>
          <w:trHeight w:val="360"/>
        </w:trPr>
        <w:tc>
          <w:tcPr>
            <w:tcW w:w="5115" w:type="dxa"/>
            <w:gridSpan w:val="3"/>
            <w:tcBorders>
              <w:top w:val="nil"/>
              <w:left w:val="nil"/>
              <w:bottom w:val="nil"/>
              <w:right w:val="nil"/>
            </w:tcBorders>
            <w:hideMark/>
          </w:tcPr>
          <w:p w:rsidRPr="0012275A" w:rsidR="00F27D20" w:rsidP="00680AC5" w:rsidRDefault="00F27D20" w14:paraId="3A5ED056" w14:textId="77777777">
            <w:pPr>
              <w:spacing w:before="0" w:after="0"/>
              <w:textAlignment w:val="baseline"/>
              <w:rPr>
                <w:rFonts w:ascii="Times New Roman" w:hAnsi="Times New Roman" w:eastAsia="Times New Roman"/>
                <w:sz w:val="24"/>
                <w:szCs w:val="24"/>
              </w:rPr>
            </w:pPr>
            <w:r>
              <w:rPr>
                <w:rFonts w:eastAsia="Times New Roman" w:cs="Arial"/>
                <w:b/>
                <w:bCs/>
                <w:shd w:val="clear" w:color="auto" w:fill="FFFF00"/>
              </w:rPr>
              <w:t>#SellerLegalName#</w:t>
            </w:r>
            <w:r>
              <w:rPr>
                <w:rFonts w:eastAsia="Times New Roman" w:cs="Arial"/>
              </w:rPr>
              <w:t> </w:t>
            </w:r>
          </w:p>
        </w:tc>
      </w:tr>
      <w:tr w:rsidRPr="0012275A" w:rsidR="00F27D20" w:rsidTr="00680AC5" w14:paraId="2BD989F8" w14:textId="77777777">
        <w:trPr>
          <w:trHeight w:val="360"/>
        </w:trPr>
        <w:tc>
          <w:tcPr>
            <w:tcW w:w="1005" w:type="dxa"/>
            <w:tcBorders>
              <w:top w:val="nil"/>
              <w:left w:val="nil"/>
              <w:bottom w:val="nil"/>
              <w:right w:val="nil"/>
            </w:tcBorders>
            <w:vAlign w:val="bottom"/>
            <w:hideMark/>
          </w:tcPr>
          <w:p w:rsidRPr="0012275A" w:rsidR="00F27D20" w:rsidP="00680AC5" w:rsidRDefault="00F27D20" w14:paraId="45BBBB5E" w14:textId="77777777">
            <w:pPr>
              <w:spacing w:before="0" w:after="0"/>
              <w:textAlignment w:val="baseline"/>
              <w:rPr>
                <w:rFonts w:ascii="Times New Roman" w:hAnsi="Times New Roman" w:eastAsia="Times New Roman"/>
                <w:sz w:val="24"/>
                <w:szCs w:val="24"/>
              </w:rPr>
            </w:pPr>
            <w:r>
              <w:rPr>
                <w:rFonts w:eastAsia="Times New Roman" w:cs="Arial"/>
                <w:sz w:val="18"/>
                <w:szCs w:val="18"/>
              </w:rPr>
              <w:t>By: </w:t>
            </w:r>
          </w:p>
        </w:tc>
        <w:tc>
          <w:tcPr>
            <w:tcW w:w="4080" w:type="dxa"/>
            <w:tcBorders>
              <w:top w:val="nil"/>
              <w:left w:val="nil"/>
              <w:bottom w:val="single" w:color="auto" w:sz="6" w:space="0"/>
              <w:right w:val="nil"/>
            </w:tcBorders>
            <w:vAlign w:val="bottom"/>
            <w:hideMark/>
          </w:tcPr>
          <w:p w:rsidRPr="0012275A" w:rsidR="00F27D20" w:rsidP="00680AC5" w:rsidRDefault="00F27D20" w14:paraId="4E0FD5C5" w14:textId="77777777">
            <w:pPr>
              <w:spacing w:before="0" w:after="0"/>
              <w:jc w:val="left"/>
              <w:textAlignment w:val="baseline"/>
              <w:rPr>
                <w:rFonts w:ascii="Times New Roman" w:hAnsi="Times New Roman" w:eastAsia="Times New Roman"/>
                <w:sz w:val="24"/>
                <w:szCs w:val="24"/>
              </w:rPr>
            </w:pPr>
            <w:r>
              <w:rPr>
                <w:rFonts w:eastAsia="Times New Roman" w:cs="Arial"/>
              </w:rPr>
              <w:t> </w:t>
            </w:r>
          </w:p>
        </w:tc>
        <w:tc>
          <w:tcPr>
            <w:tcW w:w="0" w:type="auto"/>
            <w:vAlign w:val="center"/>
            <w:hideMark/>
          </w:tcPr>
          <w:p w:rsidRPr="0012275A" w:rsidR="00F27D20" w:rsidP="00680AC5" w:rsidRDefault="00F27D20" w14:paraId="5088D17D" w14:textId="77777777">
            <w:pPr>
              <w:spacing w:before="0" w:after="0"/>
              <w:jc w:val="left"/>
              <w:rPr>
                <w:rFonts w:ascii="Times New Roman" w:hAnsi="Times New Roman" w:eastAsia="Times New Roman"/>
              </w:rPr>
            </w:pPr>
          </w:p>
        </w:tc>
      </w:tr>
      <w:tr w:rsidRPr="0012275A" w:rsidR="00F27D20" w:rsidTr="00680AC5" w14:paraId="1A05759F" w14:textId="77777777">
        <w:trPr>
          <w:trHeight w:val="360"/>
        </w:trPr>
        <w:tc>
          <w:tcPr>
            <w:tcW w:w="1005" w:type="dxa"/>
            <w:tcBorders>
              <w:top w:val="nil"/>
              <w:left w:val="nil"/>
              <w:bottom w:val="nil"/>
              <w:right w:val="nil"/>
            </w:tcBorders>
            <w:vAlign w:val="bottom"/>
            <w:hideMark/>
          </w:tcPr>
          <w:p w:rsidRPr="0012275A" w:rsidR="00F27D20" w:rsidP="00680AC5" w:rsidRDefault="00F27D20" w14:paraId="538EB59A" w14:textId="77777777">
            <w:pPr>
              <w:spacing w:before="0" w:after="0"/>
              <w:textAlignment w:val="baseline"/>
              <w:rPr>
                <w:rFonts w:ascii="Times New Roman" w:hAnsi="Times New Roman" w:eastAsia="Times New Roman"/>
                <w:sz w:val="24"/>
                <w:szCs w:val="24"/>
              </w:rPr>
            </w:pPr>
            <w:r>
              <w:rPr>
                <w:rFonts w:eastAsia="Times New Roman" w:cs="Arial"/>
                <w:sz w:val="18"/>
                <w:szCs w:val="18"/>
              </w:rPr>
              <w:t>Name </w:t>
            </w:r>
          </w:p>
          <w:p w:rsidRPr="0012275A" w:rsidR="00F27D20" w:rsidP="00680AC5" w:rsidRDefault="00F27D20" w14:paraId="24D9ABDD" w14:textId="77777777">
            <w:pPr>
              <w:spacing w:before="0" w:after="0"/>
              <w:textAlignment w:val="baseline"/>
              <w:rPr>
                <w:rFonts w:ascii="Times New Roman" w:hAnsi="Times New Roman" w:eastAsia="Times New Roman"/>
                <w:sz w:val="24"/>
                <w:szCs w:val="24"/>
              </w:rPr>
            </w:pPr>
            <w:r>
              <w:rPr>
                <w:rFonts w:eastAsia="Times New Roman" w:cs="Arial"/>
                <w:sz w:val="18"/>
                <w:szCs w:val="18"/>
              </w:rPr>
              <w:t>Printed: </w:t>
            </w:r>
          </w:p>
        </w:tc>
        <w:tc>
          <w:tcPr>
            <w:tcW w:w="4080" w:type="dxa"/>
            <w:tcBorders>
              <w:top w:val="single" w:color="auto" w:sz="6" w:space="0"/>
              <w:left w:val="nil"/>
              <w:bottom w:val="single" w:color="auto" w:sz="6" w:space="0"/>
              <w:right w:val="nil"/>
            </w:tcBorders>
            <w:vAlign w:val="bottom"/>
            <w:hideMark/>
          </w:tcPr>
          <w:p w:rsidRPr="0012275A" w:rsidR="00F27D20" w:rsidP="00680AC5" w:rsidRDefault="00F27D20" w14:paraId="4DA30BBC" w14:textId="77777777">
            <w:pPr>
              <w:spacing w:before="0" w:after="0"/>
              <w:jc w:val="left"/>
              <w:textAlignment w:val="baseline"/>
              <w:rPr>
                <w:rFonts w:ascii="Times New Roman" w:hAnsi="Times New Roman" w:eastAsia="Times New Roman"/>
                <w:sz w:val="24"/>
                <w:szCs w:val="24"/>
              </w:rPr>
            </w:pPr>
            <w:r>
              <w:rPr>
                <w:rFonts w:eastAsia="Times New Roman" w:cs="Arial"/>
              </w:rPr>
              <w:t> </w:t>
            </w:r>
          </w:p>
        </w:tc>
        <w:tc>
          <w:tcPr>
            <w:tcW w:w="0" w:type="auto"/>
            <w:vAlign w:val="center"/>
            <w:hideMark/>
          </w:tcPr>
          <w:p w:rsidRPr="0012275A" w:rsidR="00F27D20" w:rsidP="00680AC5" w:rsidRDefault="00F27D20" w14:paraId="03060BF5" w14:textId="77777777">
            <w:pPr>
              <w:spacing w:before="0" w:after="0"/>
              <w:jc w:val="left"/>
              <w:rPr>
                <w:rFonts w:ascii="Times New Roman" w:hAnsi="Times New Roman" w:eastAsia="Times New Roman"/>
              </w:rPr>
            </w:pPr>
          </w:p>
        </w:tc>
      </w:tr>
      <w:tr w:rsidRPr="0012275A" w:rsidR="00F27D20" w:rsidTr="00680AC5" w14:paraId="71492F53" w14:textId="77777777">
        <w:trPr>
          <w:trHeight w:val="495"/>
        </w:trPr>
        <w:tc>
          <w:tcPr>
            <w:tcW w:w="1005" w:type="dxa"/>
            <w:tcBorders>
              <w:top w:val="nil"/>
              <w:left w:val="nil"/>
              <w:bottom w:val="nil"/>
              <w:right w:val="nil"/>
            </w:tcBorders>
            <w:vAlign w:val="bottom"/>
            <w:hideMark/>
          </w:tcPr>
          <w:p w:rsidRPr="0012275A" w:rsidR="00F27D20" w:rsidP="00680AC5" w:rsidRDefault="00F27D20" w14:paraId="5E7E1068" w14:textId="77777777">
            <w:pPr>
              <w:spacing w:before="0" w:after="0"/>
              <w:textAlignment w:val="baseline"/>
              <w:rPr>
                <w:rFonts w:ascii="Times New Roman" w:hAnsi="Times New Roman" w:eastAsia="Times New Roman"/>
                <w:sz w:val="24"/>
                <w:szCs w:val="24"/>
              </w:rPr>
            </w:pPr>
            <w:r>
              <w:rPr>
                <w:rFonts w:eastAsia="Times New Roman" w:cs="Arial"/>
                <w:sz w:val="18"/>
                <w:szCs w:val="18"/>
              </w:rPr>
              <w:t>Title: </w:t>
            </w:r>
          </w:p>
        </w:tc>
        <w:tc>
          <w:tcPr>
            <w:tcW w:w="4080" w:type="dxa"/>
            <w:tcBorders>
              <w:top w:val="single" w:color="auto" w:sz="6" w:space="0"/>
              <w:left w:val="nil"/>
              <w:bottom w:val="single" w:color="auto" w:sz="6" w:space="0"/>
              <w:right w:val="nil"/>
            </w:tcBorders>
            <w:vAlign w:val="bottom"/>
            <w:hideMark/>
          </w:tcPr>
          <w:p w:rsidRPr="0012275A" w:rsidR="00F27D20" w:rsidP="00680AC5" w:rsidRDefault="00F27D20" w14:paraId="254846BE" w14:textId="77777777">
            <w:pPr>
              <w:spacing w:before="0" w:after="0"/>
              <w:jc w:val="left"/>
              <w:textAlignment w:val="baseline"/>
              <w:rPr>
                <w:rFonts w:ascii="Times New Roman" w:hAnsi="Times New Roman" w:eastAsia="Times New Roman"/>
                <w:sz w:val="24"/>
                <w:szCs w:val="24"/>
              </w:rPr>
            </w:pPr>
            <w:r>
              <w:rPr>
                <w:rFonts w:eastAsia="Times New Roman" w:cs="Arial"/>
              </w:rPr>
              <w:t> </w:t>
            </w:r>
          </w:p>
        </w:tc>
        <w:tc>
          <w:tcPr>
            <w:tcW w:w="0" w:type="auto"/>
            <w:vAlign w:val="center"/>
            <w:hideMark/>
          </w:tcPr>
          <w:p w:rsidRPr="0012275A" w:rsidR="00F27D20" w:rsidP="00680AC5" w:rsidRDefault="00F27D20" w14:paraId="60CE9C25" w14:textId="77777777">
            <w:pPr>
              <w:spacing w:before="0" w:after="0"/>
              <w:jc w:val="left"/>
              <w:rPr>
                <w:rFonts w:ascii="Times New Roman" w:hAnsi="Times New Roman" w:eastAsia="Times New Roman"/>
              </w:rPr>
            </w:pPr>
          </w:p>
        </w:tc>
      </w:tr>
      <w:tr w:rsidRPr="0012275A" w:rsidR="00F27D20" w:rsidTr="00680AC5" w14:paraId="60272756" w14:textId="77777777">
        <w:trPr>
          <w:trHeight w:val="495"/>
        </w:trPr>
        <w:tc>
          <w:tcPr>
            <w:tcW w:w="1005" w:type="dxa"/>
            <w:tcBorders>
              <w:top w:val="nil"/>
              <w:left w:val="nil"/>
              <w:bottom w:val="nil"/>
              <w:right w:val="nil"/>
            </w:tcBorders>
            <w:vAlign w:val="bottom"/>
            <w:hideMark/>
          </w:tcPr>
          <w:p w:rsidRPr="0012275A" w:rsidR="00F27D20" w:rsidP="00680AC5" w:rsidRDefault="00F27D20" w14:paraId="1FA974F9" w14:textId="77777777">
            <w:pPr>
              <w:spacing w:before="0" w:after="0"/>
              <w:textAlignment w:val="baseline"/>
              <w:rPr>
                <w:rFonts w:ascii="Times New Roman" w:hAnsi="Times New Roman" w:eastAsia="Times New Roman"/>
                <w:sz w:val="24"/>
                <w:szCs w:val="24"/>
              </w:rPr>
            </w:pPr>
            <w:r>
              <w:rPr>
                <w:rFonts w:eastAsia="Times New Roman" w:cs="Arial"/>
                <w:sz w:val="18"/>
                <w:szCs w:val="18"/>
              </w:rPr>
              <w:t>Date: </w:t>
            </w:r>
          </w:p>
        </w:tc>
        <w:tc>
          <w:tcPr>
            <w:tcW w:w="4080" w:type="dxa"/>
            <w:tcBorders>
              <w:top w:val="single" w:color="auto" w:sz="6" w:space="0"/>
              <w:left w:val="nil"/>
              <w:bottom w:val="single" w:color="auto" w:sz="6" w:space="0"/>
              <w:right w:val="nil"/>
            </w:tcBorders>
            <w:vAlign w:val="bottom"/>
            <w:hideMark/>
          </w:tcPr>
          <w:p w:rsidRPr="0012275A" w:rsidR="00F27D20" w:rsidP="00680AC5" w:rsidRDefault="00F27D20" w14:paraId="42F924A3" w14:textId="77777777">
            <w:pPr>
              <w:spacing w:before="0" w:after="0"/>
              <w:jc w:val="left"/>
              <w:textAlignment w:val="baseline"/>
              <w:rPr>
                <w:rFonts w:ascii="Times New Roman" w:hAnsi="Times New Roman" w:eastAsia="Times New Roman"/>
                <w:sz w:val="24"/>
                <w:szCs w:val="24"/>
              </w:rPr>
            </w:pPr>
            <w:r>
              <w:rPr>
                <w:rFonts w:eastAsia="Times New Roman" w:cs="Arial"/>
              </w:rPr>
              <w:t> </w:t>
            </w:r>
          </w:p>
        </w:tc>
        <w:tc>
          <w:tcPr>
            <w:tcW w:w="0" w:type="auto"/>
            <w:vAlign w:val="center"/>
            <w:hideMark/>
          </w:tcPr>
          <w:p w:rsidRPr="0012275A" w:rsidR="00F27D20" w:rsidP="00680AC5" w:rsidRDefault="00F27D20" w14:paraId="6AFF532F" w14:textId="77777777">
            <w:pPr>
              <w:spacing w:before="0" w:after="0"/>
              <w:jc w:val="left"/>
              <w:rPr>
                <w:rFonts w:ascii="Times New Roman" w:hAnsi="Times New Roman" w:eastAsia="Times New Roman"/>
              </w:rPr>
            </w:pPr>
          </w:p>
        </w:tc>
      </w:tr>
    </w:tbl>
    <w:p w:rsidRPr="00D245F9" w:rsidR="009576B3" w:rsidP="009576B3" w:rsidRDefault="009576B3" w14:paraId="14B7C28B" w14:textId="61620D04">
      <w:pPr>
        <w:pStyle w:val="zGTitleExhibit"/>
        <w:spacing w:after="360"/>
      </w:pPr>
      <w:r>
        <w:br w:type="page"/>
      </w:r>
      <w:bookmarkStart w:name="_Toc143692424" w:id="637"/>
      <w:bookmarkStart w:name="_Toc212473104" w:id="638"/>
      <w:bookmarkStart w:name="_Toc227840800" w:id="639"/>
      <w:r>
        <w:lastRenderedPageBreak/>
        <w:t>Exhibit M – Notices</w:t>
      </w:r>
      <w:bookmarkEnd w:id="637"/>
      <w:bookmarkEnd w:id="638"/>
      <w:bookmarkEnd w:id="639"/>
    </w:p>
    <w:p w:rsidRPr="00D245F9" w:rsidR="009576B3" w:rsidP="009576B3" w:rsidRDefault="00684724" w14:paraId="68AF0D5C" w14:textId="1F80B37C">
      <w:pPr>
        <w:widowControl w:val="0"/>
        <w:spacing w:after="240"/>
        <w:rPr>
          <w:rFonts w:cs="Arial"/>
          <w:b/>
          <w:bCs/>
        </w:rPr>
      </w:pPr>
      <w:r>
        <w:rPr>
          <w:rFonts w:cs="Arial"/>
          <w:b/>
          <w:bCs/>
        </w:rPr>
        <w:t>Address for delivery of Eligible Collateral for Performance Security in accordance with PPA Section 6.</w:t>
      </w:r>
      <w:r w:rsidR="00EB32AD">
        <w:rPr>
          <w:rFonts w:cs="Arial"/>
          <w:b/>
          <w:bCs/>
        </w:rPr>
        <w:t>6</w:t>
      </w:r>
      <w:r>
        <w:rPr>
          <w:rFonts w:cs="Arial"/>
          <w:b/>
          <w:bCs/>
        </w:rPr>
        <w:t xml:space="preserve"> (</w:t>
      </w:r>
      <w:r>
        <w:rPr>
          <w:rFonts w:cs="Arial"/>
          <w:b/>
          <w:bCs/>
          <w:i/>
          <w:iCs/>
        </w:rPr>
        <w:t>Delivery of Eligible Collateral for Performance Security</w:t>
      </w:r>
      <w:r>
        <w:rPr>
          <w:rFonts w:cs="Arial"/>
          <w:b/>
          <w:bCs/>
        </w:rPr>
        <w:t>):</w:t>
      </w:r>
    </w:p>
    <w:p w:rsidR="00A176CF" w:rsidP="002070CB" w:rsidRDefault="007E30BA" w14:paraId="6DECBF9B" w14:textId="70987681">
      <w:pPr>
        <w:pStyle w:val="ArticleL2"/>
        <w:widowControl w:val="0"/>
        <w:spacing w:after="0"/>
        <w:rPr>
          <w:rFonts w:ascii="Arial" w:hAnsi="Arial" w:cs="Arial"/>
        </w:rPr>
      </w:pPr>
      <w:r>
        <w:rPr>
          <w:rFonts w:ascii="Arial" w:hAnsi="Arial" w:cs="Arial"/>
        </w:rPr>
        <w:t>For</w:t>
      </w:r>
      <w:r w:rsidRPr="006A48A4" w:rsidR="00FA2C50">
        <w:rPr>
          <w:rFonts w:ascii="Arial" w:hAnsi="Arial" w:cs="Arial"/>
        </w:rPr>
        <w:t xml:space="preserve"> </w:t>
      </w:r>
      <w:r w:rsidR="00FA2C50">
        <w:rPr>
          <w:rFonts w:ascii="Arial" w:hAnsi="Arial" w:cs="Arial"/>
        </w:rPr>
        <w:t>any</w:t>
      </w:r>
      <w:r w:rsidRPr="006A48A4" w:rsidR="00FA2C50">
        <w:rPr>
          <w:rFonts w:ascii="Arial" w:hAnsi="Arial" w:cs="Arial"/>
        </w:rPr>
        <w:t xml:space="preserve"> Eligible Collateral in the form of a Letter of Credit or Seller Guaranty</w:t>
      </w:r>
      <w:r>
        <w:rPr>
          <w:rFonts w:ascii="Arial" w:hAnsi="Arial" w:cs="Arial"/>
        </w:rPr>
        <w:t>, the following address</w:t>
      </w:r>
      <w:r w:rsidR="00FA2C50">
        <w:rPr>
          <w:rFonts w:ascii="Arial" w:hAnsi="Arial" w:cs="Arial"/>
        </w:rPr>
        <w:t>:</w:t>
      </w:r>
    </w:p>
    <w:p w:rsidR="00FA2C50" w:rsidP="009576B3" w:rsidRDefault="00FA2C50" w14:paraId="687DF922" w14:textId="77777777">
      <w:pPr>
        <w:pStyle w:val="ArticleL2"/>
        <w:widowControl w:val="0"/>
        <w:spacing w:after="0"/>
        <w:jc w:val="left"/>
        <w:rPr>
          <w:rFonts w:ascii="Arial" w:hAnsi="Arial" w:cs="Arial"/>
        </w:rPr>
      </w:pPr>
    </w:p>
    <w:p w:rsidRPr="00D245F9" w:rsidR="009576B3" w:rsidP="009576B3" w:rsidRDefault="009576B3" w14:paraId="1EA06B79" w14:textId="0069736E">
      <w:pPr>
        <w:pStyle w:val="ArticleL2"/>
        <w:widowControl w:val="0"/>
        <w:spacing w:after="0"/>
        <w:jc w:val="left"/>
        <w:rPr>
          <w:rFonts w:ascii="Arial" w:hAnsi="Arial" w:cs="Arial"/>
        </w:rPr>
      </w:pPr>
      <w:r>
        <w:rPr>
          <w:rFonts w:ascii="Arial" w:hAnsi="Arial" w:cs="Arial"/>
        </w:rPr>
        <w:t xml:space="preserve">Georgia Power Company </w:t>
      </w:r>
    </w:p>
    <w:p w:rsidRPr="00D245F9" w:rsidR="009576B3" w:rsidP="009576B3" w:rsidRDefault="009576B3" w14:paraId="0B47CDC3" w14:textId="77777777">
      <w:pPr>
        <w:pStyle w:val="ArticleL2"/>
        <w:widowControl w:val="0"/>
        <w:spacing w:after="0"/>
        <w:jc w:val="left"/>
        <w:rPr>
          <w:rFonts w:ascii="Arial" w:hAnsi="Arial" w:cs="Arial"/>
        </w:rPr>
      </w:pPr>
      <w:r>
        <w:rPr>
          <w:rFonts w:ascii="Arial" w:hAnsi="Arial" w:cs="Arial"/>
        </w:rPr>
        <w:t>c/o Southern Company Services Inc.</w:t>
      </w:r>
    </w:p>
    <w:p w:rsidRPr="00D245F9" w:rsidR="009576B3" w:rsidP="009576B3" w:rsidRDefault="009576B3" w14:paraId="5CAD6C48" w14:textId="77777777">
      <w:pPr>
        <w:pStyle w:val="ArticleL2"/>
        <w:widowControl w:val="0"/>
        <w:spacing w:after="0"/>
        <w:jc w:val="left"/>
        <w:rPr>
          <w:rFonts w:ascii="Arial" w:hAnsi="Arial" w:cs="Arial"/>
        </w:rPr>
      </w:pPr>
      <w:r>
        <w:rPr>
          <w:rFonts w:ascii="Arial" w:hAnsi="Arial" w:cs="Arial"/>
        </w:rPr>
        <w:t>Attn: Assistant Treasurer, BIN SC1407</w:t>
      </w:r>
    </w:p>
    <w:p w:rsidRPr="00D245F9" w:rsidR="009576B3" w:rsidP="009576B3" w:rsidRDefault="009576B3" w14:paraId="041FFA13" w14:textId="77777777">
      <w:pPr>
        <w:pStyle w:val="ArticleL2"/>
        <w:widowControl w:val="0"/>
        <w:spacing w:after="0"/>
        <w:jc w:val="left"/>
        <w:rPr>
          <w:rFonts w:ascii="Arial" w:hAnsi="Arial" w:cs="Arial"/>
        </w:rPr>
      </w:pPr>
      <w:r>
        <w:rPr>
          <w:rFonts w:ascii="Arial" w:hAnsi="Arial" w:cs="Arial"/>
        </w:rPr>
        <w:t>30 Ivan Allen Jr. Blvd.</w:t>
      </w:r>
    </w:p>
    <w:p w:rsidRPr="00D245F9" w:rsidR="009576B3" w:rsidP="009576B3" w:rsidRDefault="009576B3" w14:paraId="59C95E4D" w14:textId="77777777">
      <w:pPr>
        <w:pStyle w:val="ArticleL2"/>
        <w:widowControl w:val="0"/>
        <w:jc w:val="left"/>
        <w:rPr>
          <w:rFonts w:ascii="Arial" w:hAnsi="Arial" w:cs="Arial"/>
        </w:rPr>
      </w:pPr>
      <w:r>
        <w:rPr>
          <w:rFonts w:ascii="Arial" w:hAnsi="Arial" w:cs="Arial"/>
        </w:rPr>
        <w:t>Atlanta, Georgia 30308</w:t>
      </w:r>
    </w:p>
    <w:p w:rsidRPr="006A48A4" w:rsidR="00685BA1" w:rsidP="002070CB" w:rsidRDefault="007E30BA" w14:paraId="417024EF" w14:textId="7DF4DCEE">
      <w:pPr>
        <w:widowControl w:val="0"/>
        <w:spacing w:after="240"/>
        <w:rPr>
          <w:rFonts w:cs="Arial"/>
        </w:rPr>
      </w:pPr>
      <w:r>
        <w:rPr>
          <w:rFonts w:cs="Arial"/>
        </w:rPr>
        <w:t xml:space="preserve">For any Eligible Collateral in the form of cash, </w:t>
      </w:r>
      <w:r w:rsidR="00862621">
        <w:rPr>
          <w:rFonts w:cs="Arial"/>
        </w:rPr>
        <w:t xml:space="preserve">GPC will provide </w:t>
      </w:r>
      <w:r>
        <w:rPr>
          <w:rFonts w:cs="Arial"/>
        </w:rPr>
        <w:t>the GPC Security Account</w:t>
      </w:r>
      <w:r w:rsidR="00171322">
        <w:rPr>
          <w:rFonts w:cs="Arial"/>
        </w:rPr>
        <w:t xml:space="preserve"> information, including</w:t>
      </w:r>
      <w:r>
        <w:rPr>
          <w:rFonts w:cs="Arial"/>
        </w:rPr>
        <w:t xml:space="preserve"> wiring instructions</w:t>
      </w:r>
      <w:r w:rsidR="00171322">
        <w:rPr>
          <w:rFonts w:cs="Arial"/>
        </w:rPr>
        <w:t>,</w:t>
      </w:r>
      <w:r>
        <w:rPr>
          <w:rFonts w:cs="Arial"/>
        </w:rPr>
        <w:t xml:space="preserve"> </w:t>
      </w:r>
      <w:r w:rsidR="00862621">
        <w:rPr>
          <w:rFonts w:cs="Arial"/>
        </w:rPr>
        <w:t>within</w:t>
      </w:r>
      <w:r w:rsidR="00A67FFE">
        <w:rPr>
          <w:rFonts w:cs="Arial"/>
        </w:rPr>
        <w:t xml:space="preserve"> a reasonable time after</w:t>
      </w:r>
      <w:r w:rsidR="00862621">
        <w:rPr>
          <w:rFonts w:cs="Arial"/>
        </w:rPr>
        <w:t xml:space="preserve"> receipt of</w:t>
      </w:r>
      <w:r>
        <w:rPr>
          <w:rFonts w:cs="Arial"/>
        </w:rPr>
        <w:t xml:space="preserve"> Seller’s written request</w:t>
      </w:r>
      <w:r w:rsidR="00473D98">
        <w:rPr>
          <w:rFonts w:cs="Arial"/>
        </w:rPr>
        <w:t xml:space="preserve"> for the information</w:t>
      </w:r>
      <w:r>
        <w:rPr>
          <w:rFonts w:cs="Arial"/>
        </w:rPr>
        <w:t xml:space="preserve">. </w:t>
      </w:r>
    </w:p>
    <w:p w:rsidRPr="00D245F9" w:rsidR="009576B3" w:rsidP="009576B3" w:rsidRDefault="009576B3" w14:paraId="1D33A10B" w14:textId="27725166">
      <w:pPr>
        <w:widowControl w:val="0"/>
        <w:spacing w:after="240"/>
        <w:jc w:val="left"/>
        <w:rPr>
          <w:rFonts w:cs="Arial"/>
          <w:b/>
          <w:bCs/>
        </w:rPr>
      </w:pPr>
      <w:r>
        <w:rPr>
          <w:rFonts w:cs="Arial"/>
          <w:b/>
          <w:bCs/>
        </w:rPr>
        <w:t xml:space="preserve">Addresses for delivery of </w:t>
      </w:r>
      <w:r w:rsidR="00650575">
        <w:rPr>
          <w:rFonts w:cs="Arial"/>
          <w:b/>
          <w:bCs/>
        </w:rPr>
        <w:t>n</w:t>
      </w:r>
      <w:r>
        <w:rPr>
          <w:rFonts w:cs="Arial"/>
          <w:b/>
          <w:bCs/>
        </w:rPr>
        <w:t>otices to the Parties in accordance with PPA Section 20.4 (</w:t>
      </w:r>
      <w:r>
        <w:rPr>
          <w:rFonts w:cs="Arial"/>
          <w:b/>
          <w:bCs/>
          <w:i/>
          <w:iCs/>
        </w:rPr>
        <w:t>Notice</w:t>
      </w:r>
      <w:r>
        <w:rPr>
          <w:rFonts w:cs="Arial"/>
          <w:b/>
          <w:bCs/>
        </w:rPr>
        <w:t>):</w:t>
      </w:r>
    </w:p>
    <w:p w:rsidRPr="005F7DD9" w:rsidR="009576B3" w:rsidP="009576B3" w:rsidRDefault="009576B3" w14:paraId="60B5DA24" w14:textId="048B576B">
      <w:pPr>
        <w:jc w:val="left"/>
        <w:rPr>
          <w:rFonts w:cs="Arial"/>
        </w:rPr>
      </w:pPr>
      <w:r>
        <w:rPr>
          <w:rFonts w:cs="Arial"/>
          <w:b/>
          <w:bCs/>
          <w:i/>
          <w:iCs/>
        </w:rPr>
        <w:t xml:space="preserve">In accordance with </w:t>
      </w:r>
      <w:r>
        <w:rPr>
          <w:rFonts w:eastAsia="MS Gothic" w:cs="Arial"/>
          <w:b/>
          <w:i/>
        </w:rPr>
        <w:t>PPA</w:t>
      </w:r>
      <w:r>
        <w:rPr>
          <w:rFonts w:cs="Arial"/>
          <w:b/>
          <w:bCs/>
          <w:i/>
          <w:iCs/>
        </w:rPr>
        <w:t xml:space="preserve"> Section 20.4, all notices must include the </w:t>
      </w:r>
      <w:r>
        <w:rPr>
          <w:rFonts w:eastAsia="MS Gothic" w:cs="Arial"/>
          <w:b/>
          <w:i/>
        </w:rPr>
        <w:t>PPA</w:t>
      </w:r>
      <w:r>
        <w:rPr>
          <w:rFonts w:cs="Arial"/>
          <w:b/>
          <w:bCs/>
          <w:i/>
          <w:iCs/>
        </w:rPr>
        <w:t>’s title and the Facility name.</w:t>
      </w:r>
    </w:p>
    <w:p w:rsidR="009576B3" w:rsidP="009576B3" w:rsidRDefault="009576B3" w14:paraId="3B7E8B4B" w14:textId="77777777">
      <w:pPr>
        <w:widowControl w:val="0"/>
        <w:spacing w:before="0" w:after="0"/>
        <w:ind w:left="720"/>
        <w:jc w:val="left"/>
        <w:rPr>
          <w:rFonts w:cs="Arial"/>
        </w:rPr>
      </w:pPr>
    </w:p>
    <w:tbl>
      <w:tblPr>
        <w:tblStyle w:val="TableGrid"/>
        <w:tblW w:w="0" w:type="auto"/>
        <w:tblLook w:val="04A0" w:firstRow="1" w:lastRow="0" w:firstColumn="1" w:lastColumn="0" w:noHBand="0" w:noVBand="1"/>
      </w:tblPr>
      <w:tblGrid>
        <w:gridCol w:w="4675"/>
        <w:gridCol w:w="4675"/>
      </w:tblGrid>
      <w:tr w:rsidR="009576B3" w14:paraId="6C6AB54C" w14:textId="77777777">
        <w:tc>
          <w:tcPr>
            <w:tcW w:w="4675" w:type="dxa"/>
          </w:tcPr>
          <w:p w:rsidR="009576B3" w:rsidRDefault="009576B3" w14:paraId="00B28B86" w14:textId="77777777">
            <w:pPr>
              <w:widowControl w:val="0"/>
              <w:spacing w:before="0"/>
              <w:jc w:val="left"/>
              <w:rPr>
                <w:rFonts w:cs="Arial"/>
                <w:b/>
                <w:bCs/>
              </w:rPr>
            </w:pPr>
            <w:r>
              <w:rPr>
                <w:rFonts w:cs="Arial"/>
                <w:b/>
                <w:bCs/>
              </w:rPr>
              <w:t>Notice to GPC:</w:t>
            </w:r>
          </w:p>
          <w:p w:rsidRPr="0012622C" w:rsidR="009576B3" w:rsidRDefault="009576B3" w14:paraId="5C9F4DE6" w14:textId="77777777">
            <w:pPr>
              <w:widowControl w:val="0"/>
              <w:spacing w:before="0"/>
              <w:jc w:val="left"/>
              <w:rPr>
                <w:rFonts w:cs="Arial"/>
                <w:b/>
                <w:bCs/>
              </w:rPr>
            </w:pPr>
          </w:p>
          <w:p w:rsidR="009576B3" w:rsidRDefault="009576B3" w14:paraId="667C4F90" w14:textId="77777777">
            <w:pPr>
              <w:widowControl w:val="0"/>
              <w:spacing w:before="0"/>
              <w:jc w:val="left"/>
              <w:rPr>
                <w:rFonts w:cs="Arial"/>
              </w:rPr>
            </w:pPr>
            <w:r>
              <w:rPr>
                <w:rFonts w:cs="Arial"/>
              </w:rPr>
              <w:t>Georgia Power Company</w:t>
            </w:r>
          </w:p>
          <w:p w:rsidR="009576B3" w:rsidRDefault="009576B3" w14:paraId="4A0538E7" w14:textId="77777777">
            <w:pPr>
              <w:widowControl w:val="0"/>
              <w:spacing w:before="0"/>
              <w:jc w:val="left"/>
              <w:rPr>
                <w:rFonts w:cs="Arial"/>
              </w:rPr>
            </w:pPr>
            <w:r>
              <w:rPr>
                <w:rFonts w:cs="Arial"/>
              </w:rPr>
              <w:t xml:space="preserve">Attention: </w:t>
            </w:r>
            <w:r>
              <w:rPr>
                <w:rFonts w:cs="Arial"/>
                <w:highlight w:val="yellow"/>
              </w:rPr>
              <w:t>#GPCContact Name</w:t>
            </w:r>
          </w:p>
          <w:p w:rsidR="009576B3" w:rsidRDefault="009576B3" w14:paraId="4564DDD8" w14:textId="77777777">
            <w:pPr>
              <w:widowControl w:val="0"/>
              <w:spacing w:before="0"/>
              <w:jc w:val="left"/>
              <w:rPr>
                <w:rFonts w:cs="Arial"/>
              </w:rPr>
            </w:pPr>
            <w:r>
              <w:rPr>
                <w:rFonts w:cs="Arial"/>
              </w:rPr>
              <w:t>241 Ralph McGill Boulevard N.E.</w:t>
            </w:r>
          </w:p>
          <w:p w:rsidR="009576B3" w:rsidRDefault="009576B3" w14:paraId="499F7ED6" w14:textId="77777777">
            <w:pPr>
              <w:widowControl w:val="0"/>
              <w:spacing w:before="0"/>
              <w:jc w:val="left"/>
              <w:rPr>
                <w:rFonts w:cs="Arial"/>
              </w:rPr>
            </w:pPr>
            <w:r>
              <w:rPr>
                <w:rFonts w:cs="Arial"/>
              </w:rPr>
              <w:t xml:space="preserve">BIN </w:t>
            </w:r>
            <w:r>
              <w:rPr>
                <w:rFonts w:cs="Arial"/>
                <w:highlight w:val="yellow"/>
              </w:rPr>
              <w:t>#BinNumber#</w:t>
            </w:r>
          </w:p>
          <w:p w:rsidR="009576B3" w:rsidRDefault="009576B3" w14:paraId="06D1A9A5" w14:textId="77777777">
            <w:pPr>
              <w:widowControl w:val="0"/>
              <w:spacing w:before="0"/>
              <w:jc w:val="left"/>
              <w:rPr>
                <w:rFonts w:cs="Arial"/>
              </w:rPr>
            </w:pPr>
            <w:r>
              <w:rPr>
                <w:rFonts w:cs="Arial"/>
              </w:rPr>
              <w:t>Atlanta, Georgia 30308</w:t>
            </w:r>
          </w:p>
          <w:p w:rsidR="009576B3" w:rsidRDefault="009576B3" w14:paraId="3465C083" w14:textId="77777777">
            <w:pPr>
              <w:widowControl w:val="0"/>
              <w:spacing w:before="0"/>
              <w:jc w:val="left"/>
              <w:rPr>
                <w:rFonts w:cs="Arial"/>
              </w:rPr>
            </w:pPr>
            <w:r>
              <w:rPr>
                <w:rFonts w:cs="Arial"/>
              </w:rPr>
              <w:t xml:space="preserve">Email: </w:t>
            </w:r>
            <w:r>
              <w:rPr>
                <w:rFonts w:cs="Arial"/>
                <w:highlight w:val="yellow"/>
              </w:rPr>
              <w:t>#GPCNoticeEmail</w:t>
            </w:r>
          </w:p>
          <w:p w:rsidR="009576B3" w:rsidRDefault="009576B3" w14:paraId="3E972374" w14:textId="77777777">
            <w:pPr>
              <w:widowControl w:val="0"/>
              <w:spacing w:before="0"/>
              <w:jc w:val="left"/>
              <w:rPr>
                <w:rFonts w:cs="Arial"/>
              </w:rPr>
            </w:pPr>
          </w:p>
        </w:tc>
        <w:tc>
          <w:tcPr>
            <w:tcW w:w="4675" w:type="dxa"/>
          </w:tcPr>
          <w:p w:rsidRPr="003D5C70" w:rsidR="009576B3" w:rsidRDefault="009576B3" w14:paraId="4737E604" w14:textId="77777777">
            <w:pPr>
              <w:widowControl w:val="0"/>
              <w:spacing w:before="0"/>
              <w:jc w:val="left"/>
              <w:rPr>
                <w:rFonts w:cs="Arial"/>
                <w:b/>
                <w:bCs/>
              </w:rPr>
            </w:pPr>
            <w:r>
              <w:rPr>
                <w:rFonts w:cs="Arial"/>
                <w:b/>
                <w:bCs/>
              </w:rPr>
              <w:t>With Copy To:</w:t>
            </w:r>
          </w:p>
          <w:p w:rsidR="009576B3" w:rsidRDefault="009576B3" w14:paraId="46800F3B" w14:textId="77777777">
            <w:pPr>
              <w:widowControl w:val="0"/>
              <w:spacing w:before="0"/>
              <w:jc w:val="left"/>
              <w:rPr>
                <w:rFonts w:cs="Arial"/>
              </w:rPr>
            </w:pPr>
          </w:p>
          <w:p w:rsidR="009576B3" w:rsidRDefault="009576B3" w14:paraId="39D513DD" w14:textId="77777777">
            <w:pPr>
              <w:widowControl w:val="0"/>
              <w:spacing w:before="0"/>
              <w:jc w:val="left"/>
              <w:rPr>
                <w:rFonts w:cs="Arial"/>
              </w:rPr>
            </w:pPr>
            <w:r>
              <w:rPr>
                <w:rFonts w:cs="Arial"/>
              </w:rPr>
              <w:t>Georgia Power Company Legal Dept.</w:t>
            </w:r>
          </w:p>
          <w:p w:rsidR="009576B3" w:rsidRDefault="009576B3" w14:paraId="3E67DF6D" w14:textId="77777777">
            <w:pPr>
              <w:widowControl w:val="0"/>
              <w:spacing w:before="0"/>
              <w:jc w:val="left"/>
              <w:rPr>
                <w:rFonts w:cs="Arial"/>
              </w:rPr>
            </w:pPr>
            <w:r>
              <w:rPr>
                <w:rFonts w:cs="Arial"/>
              </w:rPr>
              <w:t>Attn: Commercial &amp; Transactional Counsel</w:t>
            </w:r>
          </w:p>
          <w:p w:rsidR="009576B3" w:rsidRDefault="009576B3" w14:paraId="31F31FC8" w14:textId="77777777">
            <w:pPr>
              <w:widowControl w:val="0"/>
              <w:spacing w:before="0"/>
              <w:jc w:val="left"/>
              <w:rPr>
                <w:rFonts w:cs="Arial"/>
              </w:rPr>
            </w:pPr>
            <w:r>
              <w:rPr>
                <w:rFonts w:cs="Arial"/>
              </w:rPr>
              <w:t>Bin 10180</w:t>
            </w:r>
          </w:p>
          <w:p w:rsidR="009576B3" w:rsidRDefault="009576B3" w14:paraId="5717048F" w14:textId="77777777">
            <w:pPr>
              <w:widowControl w:val="0"/>
              <w:spacing w:before="0"/>
              <w:jc w:val="left"/>
              <w:rPr>
                <w:rFonts w:cs="Arial"/>
              </w:rPr>
            </w:pPr>
            <w:r>
              <w:rPr>
                <w:rFonts w:cs="Arial"/>
              </w:rPr>
              <w:t>241 Ralph McGill Blvd., N.E.</w:t>
            </w:r>
          </w:p>
          <w:p w:rsidR="009576B3" w:rsidRDefault="009576B3" w14:paraId="2916D80A" w14:textId="77777777">
            <w:pPr>
              <w:widowControl w:val="0"/>
              <w:spacing w:before="0"/>
              <w:jc w:val="left"/>
              <w:rPr>
                <w:rFonts w:cs="Arial"/>
              </w:rPr>
            </w:pPr>
            <w:r>
              <w:rPr>
                <w:rFonts w:cs="Arial"/>
              </w:rPr>
              <w:t>Atlanta, GA 30308</w:t>
            </w:r>
          </w:p>
        </w:tc>
      </w:tr>
    </w:tbl>
    <w:p w:rsidR="009576B3" w:rsidP="009576B3" w:rsidRDefault="009576B3" w14:paraId="54BA1141" w14:textId="77777777">
      <w:pPr>
        <w:widowControl w:val="0"/>
        <w:spacing w:before="0" w:after="0"/>
        <w:ind w:left="720"/>
        <w:jc w:val="left"/>
        <w:rPr>
          <w:rFonts w:cs="Arial"/>
        </w:rPr>
      </w:pPr>
    </w:p>
    <w:p w:rsidR="009576B3" w:rsidP="009576B3" w:rsidRDefault="009576B3" w14:paraId="0134D324" w14:textId="77777777">
      <w:pPr>
        <w:widowControl w:val="0"/>
        <w:spacing w:before="0" w:after="0"/>
        <w:ind w:left="720"/>
        <w:jc w:val="left"/>
        <w:rPr>
          <w:rFonts w:cs="Arial"/>
        </w:rPr>
      </w:pPr>
    </w:p>
    <w:p w:rsidR="009576B3" w:rsidP="009576B3" w:rsidRDefault="009576B3" w14:paraId="6294CE76" w14:textId="77777777">
      <w:pPr>
        <w:widowControl w:val="0"/>
        <w:spacing w:before="0" w:after="0"/>
        <w:ind w:left="720"/>
        <w:jc w:val="left"/>
        <w:rPr>
          <w:rFonts w:cs="Arial"/>
        </w:rPr>
      </w:pPr>
    </w:p>
    <w:tbl>
      <w:tblPr>
        <w:tblStyle w:val="TableGrid"/>
        <w:tblW w:w="0" w:type="auto"/>
        <w:tblLook w:val="04A0" w:firstRow="1" w:lastRow="0" w:firstColumn="1" w:lastColumn="0" w:noHBand="0" w:noVBand="1"/>
      </w:tblPr>
      <w:tblGrid>
        <w:gridCol w:w="4675"/>
        <w:gridCol w:w="4675"/>
      </w:tblGrid>
      <w:tr w:rsidR="009576B3" w14:paraId="1DB0CE1B" w14:textId="77777777">
        <w:tc>
          <w:tcPr>
            <w:tcW w:w="4675" w:type="dxa"/>
          </w:tcPr>
          <w:p w:rsidR="009576B3" w:rsidRDefault="009576B3" w14:paraId="01C18287" w14:textId="77777777">
            <w:pPr>
              <w:widowControl w:val="0"/>
              <w:spacing w:before="0"/>
              <w:jc w:val="left"/>
              <w:rPr>
                <w:rFonts w:cs="Arial"/>
                <w:b/>
                <w:bCs/>
              </w:rPr>
            </w:pPr>
            <w:r>
              <w:rPr>
                <w:rFonts w:cs="Arial"/>
                <w:b/>
                <w:bCs/>
              </w:rPr>
              <w:t>Notice to Seller:</w:t>
            </w:r>
          </w:p>
          <w:p w:rsidRPr="0012622C" w:rsidR="009576B3" w:rsidRDefault="009576B3" w14:paraId="77B92512" w14:textId="77777777">
            <w:pPr>
              <w:widowControl w:val="0"/>
              <w:spacing w:before="0"/>
              <w:jc w:val="left"/>
              <w:rPr>
                <w:rFonts w:cs="Arial"/>
                <w:b/>
                <w:bCs/>
              </w:rPr>
            </w:pPr>
          </w:p>
          <w:p w:rsidR="009576B3" w:rsidRDefault="009576B3" w14:paraId="14D00DF1" w14:textId="77777777">
            <w:pPr>
              <w:widowControl w:val="0"/>
              <w:spacing w:before="0"/>
              <w:jc w:val="left"/>
              <w:rPr>
                <w:rFonts w:cs="Arial"/>
              </w:rPr>
            </w:pPr>
            <w:r>
              <w:rPr>
                <w:rFonts w:cs="Arial"/>
                <w:highlight w:val="yellow"/>
              </w:rPr>
              <w:t>#SellerLegalName#</w:t>
            </w:r>
          </w:p>
          <w:p w:rsidR="009576B3" w:rsidRDefault="009576B3" w14:paraId="0CB39E69" w14:textId="77777777">
            <w:pPr>
              <w:widowControl w:val="0"/>
              <w:spacing w:before="0"/>
              <w:jc w:val="left"/>
              <w:rPr>
                <w:rFonts w:cs="Arial"/>
              </w:rPr>
            </w:pPr>
            <w:r>
              <w:rPr>
                <w:rFonts w:cs="Arial"/>
              </w:rPr>
              <w:t xml:space="preserve">Attention: </w:t>
            </w:r>
            <w:r>
              <w:rPr>
                <w:rFonts w:cs="Arial"/>
                <w:highlight w:val="yellow"/>
              </w:rPr>
              <w:t>#SellerContactIndividualName#</w:t>
            </w:r>
          </w:p>
          <w:p w:rsidR="009576B3" w:rsidRDefault="009576B3" w14:paraId="61D0DD09" w14:textId="77777777">
            <w:pPr>
              <w:widowControl w:val="0"/>
              <w:spacing w:before="0"/>
              <w:jc w:val="left"/>
              <w:rPr>
                <w:rFonts w:cs="Arial"/>
                <w:highlight w:val="yellow"/>
              </w:rPr>
            </w:pPr>
            <w:r>
              <w:rPr>
                <w:rFonts w:cs="Arial"/>
                <w:highlight w:val="yellow"/>
              </w:rPr>
              <w:t>#Title</w:t>
            </w:r>
          </w:p>
          <w:p w:rsidR="009576B3" w:rsidRDefault="009576B3" w14:paraId="24BC99A2" w14:textId="77777777">
            <w:pPr>
              <w:widowControl w:val="0"/>
              <w:spacing w:before="0"/>
              <w:jc w:val="left"/>
              <w:rPr>
                <w:rFonts w:cs="Arial"/>
              </w:rPr>
            </w:pPr>
            <w:r>
              <w:rPr>
                <w:rFonts w:cs="Arial"/>
                <w:highlight w:val="yellow"/>
              </w:rPr>
              <w:t>#SellerAddress</w:t>
            </w:r>
          </w:p>
          <w:p w:rsidR="009576B3" w:rsidRDefault="009576B3" w14:paraId="725E9CE3" w14:textId="77777777">
            <w:pPr>
              <w:widowControl w:val="0"/>
              <w:spacing w:before="0"/>
              <w:jc w:val="left"/>
              <w:rPr>
                <w:rFonts w:cs="Arial"/>
              </w:rPr>
            </w:pPr>
            <w:r>
              <w:rPr>
                <w:rFonts w:cs="Arial"/>
                <w:highlight w:val="yellow"/>
              </w:rPr>
              <w:t>#City</w:t>
            </w:r>
            <w:r>
              <w:rPr>
                <w:rFonts w:cs="Arial"/>
              </w:rPr>
              <w:t xml:space="preserve">, </w:t>
            </w:r>
            <w:r>
              <w:rPr>
                <w:rFonts w:cs="Arial"/>
                <w:highlight w:val="yellow"/>
              </w:rPr>
              <w:t>#State</w:t>
            </w:r>
            <w:r>
              <w:rPr>
                <w:rFonts w:cs="Arial"/>
              </w:rPr>
              <w:t xml:space="preserve"> </w:t>
            </w:r>
            <w:r>
              <w:rPr>
                <w:rFonts w:cs="Arial"/>
                <w:highlight w:val="yellow"/>
              </w:rPr>
              <w:t>#Zip</w:t>
            </w:r>
          </w:p>
          <w:p w:rsidR="009576B3" w:rsidRDefault="009576B3" w14:paraId="32B5A3C8" w14:textId="050DBFE0">
            <w:pPr>
              <w:widowControl w:val="0"/>
              <w:spacing w:before="0"/>
              <w:jc w:val="left"/>
              <w:rPr>
                <w:rFonts w:cs="Arial"/>
              </w:rPr>
            </w:pPr>
            <w:r>
              <w:rPr>
                <w:rFonts w:cs="Arial"/>
              </w:rPr>
              <w:t xml:space="preserve">Email: </w:t>
            </w:r>
            <w:r>
              <w:rPr>
                <w:rFonts w:cs="Arial"/>
                <w:highlight w:val="yellow"/>
              </w:rPr>
              <w:t>#SellerNoticeEmail#</w:t>
            </w:r>
          </w:p>
          <w:p w:rsidR="009576B3" w:rsidRDefault="009576B3" w14:paraId="7D58F81C" w14:textId="77777777">
            <w:pPr>
              <w:widowControl w:val="0"/>
              <w:spacing w:before="0"/>
              <w:jc w:val="left"/>
              <w:rPr>
                <w:rFonts w:cs="Arial"/>
              </w:rPr>
            </w:pPr>
          </w:p>
        </w:tc>
        <w:tc>
          <w:tcPr>
            <w:tcW w:w="4675" w:type="dxa"/>
          </w:tcPr>
          <w:p w:rsidR="009576B3" w:rsidRDefault="009576B3" w14:paraId="59333CD0" w14:textId="77777777">
            <w:pPr>
              <w:widowControl w:val="0"/>
              <w:spacing w:before="0"/>
              <w:jc w:val="left"/>
              <w:rPr>
                <w:rFonts w:cs="Arial"/>
              </w:rPr>
            </w:pPr>
          </w:p>
        </w:tc>
      </w:tr>
    </w:tbl>
    <w:p w:rsidR="009576B3" w:rsidP="009576B3" w:rsidRDefault="009576B3" w14:paraId="22DFB3C8" w14:textId="77777777">
      <w:pPr>
        <w:widowControl w:val="0"/>
        <w:spacing w:before="0" w:after="0"/>
        <w:jc w:val="left"/>
        <w:rPr>
          <w:rFonts w:cs="Arial"/>
        </w:rPr>
      </w:pPr>
    </w:p>
    <w:p w:rsidR="009576B3" w:rsidRDefault="009576B3" w14:paraId="37839226" w14:textId="77777777">
      <w:pPr>
        <w:pStyle w:val="zGNormal6"/>
      </w:pPr>
    </w:p>
    <w:p w:rsidR="00270D64" w:rsidRDefault="00270D64" w14:paraId="44607B82" w14:textId="77777777">
      <w:pPr>
        <w:pStyle w:val="zGNormal6"/>
      </w:pPr>
    </w:p>
    <w:p w:rsidR="006D0802" w:rsidRDefault="006D0802" w14:paraId="19B5F9E6" w14:textId="77777777">
      <w:pPr>
        <w:rPr>
          <w:sz w:val="24"/>
        </w:rPr>
      </w:pPr>
    </w:p>
    <w:p w:rsidR="006D0802" w:rsidRDefault="006D0802" w14:paraId="22872884" w14:textId="77777777">
      <w:pPr>
        <w:rPr>
          <w:sz w:val="24"/>
        </w:rPr>
      </w:pPr>
    </w:p>
    <w:sectPr w:rsidR="006D0802">
      <w:headerReference w:type="default" r:id="rId60"/>
      <w:footerReference w:type="default" r:id="rId61"/>
      <w:pgSz w:w="12240" w:h="15840" w:code="1"/>
      <w:pgMar w:top="1440" w:right="1440" w:bottom="1440" w:left="1440" w:header="720" w:footer="720" w:gutter="0"/>
      <w:cols w:space="720"/>
    </w:sectPr>
  </w:body>
</w:document>
</file>

<file path=word/customizations.xml><?xml version="1.0" encoding="utf-8"?>
<wne:tcg xmlns:r="http://schemas.openxmlformats.org/officeDocument/2006/relationships" xmlns:wne="http://schemas.microsoft.com/office/word/2006/wordml">
  <wne:keymaps>
    <wne:keymap wne:kcmPrimary="0631">
      <wne:acd wne:acdName="acd0"/>
    </wne:keymap>
    <wne:keymap wne:kcmPrimary="0632">
      <wne:acd wne:acdName="acd1"/>
    </wne:keymap>
    <wne:keymap wne:kcmPrimary="0633">
      <wne:acd wne:acdName="acd2"/>
    </wne:keymap>
    <wne:keymap wne:kcmPrimary="0634">
      <wne:acd wne:acdName="acd3"/>
    </wne:keymap>
    <wne:keymap wne:kcmPrimary="0635">
      <wne:acd wne:acdName="acd4"/>
    </wne:keymap>
    <wne:keymap wne:kcmPrimary="0636">
      <wne:acd wne:acdName="acd5"/>
    </wne:keymap>
    <wne:keymap wne:kcmPrimary="0637">
      <wne:acd wne:acdName="acd6"/>
    </wne:keymap>
    <wne:keymap wne:kcmPrimary="0638">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Manifest>
  </wne:toolbars>
  <wne:acds>
    <wne:acd wne:argValue="AgBBAHIAdABpAGMAbABlADUAXwBMADEA" wne:fciIndexBasedOn="0065" wne:acdName="acd0"/>
    <wne:acd wne:argValue="AgBBAHIAdABpAGMAbABlADUAXwBMADIA" wne:fciIndexBasedOn="0065" wne:acdName="acd1"/>
    <wne:acd wne:argValue="AgBBAHIAdABpAGMAbABlADUAXwBMADMA" wne:fciIndexBasedOn="0065" wne:acdName="acd2"/>
    <wne:acd wne:argValue="AgBBAHIAdABpAGMAbABlADUAXwBMADQA" wne:fciIndexBasedOn="0065" wne:acdName="acd3"/>
    <wne:acd wne:argValue="AgBBAHIAdABpAGMAbABlADUAXwBMADUA" wne:fciIndexBasedOn="0065" wne:acdName="acd4"/>
    <wne:acd wne:argValue="AgBBAHIAdABpAGMAbABlADUAXwBMADYA" wne:fciIndexBasedOn="0065" wne:acdName="acd5"/>
    <wne:acd wne:argValue="AgBBAHIAdABpAGMAbABlADUAXwBMADcA" wne:fciIndexBasedOn="0065" wne:acdName="acd6"/>
    <wne:acd wne:argValue="AgBBAHIAdABpAGMAbABlADUAXwBMADgA" wne:fciIndexBasedOn="0065" wne:acdName="acd7"/>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307BA" w:rsidRDefault="006307BA" w14:paraId="3AF37DFB" w14:textId="77777777">
      <w:r>
        <w:separator/>
      </w:r>
    </w:p>
    <w:p w:rsidR="006307BA" w:rsidRDefault="006307BA" w14:paraId="2A34DEFA" w14:textId="77777777"/>
  </w:endnote>
  <w:endnote w:type="continuationSeparator" w:id="0">
    <w:p w:rsidR="006307BA" w:rsidRDefault="006307BA" w14:paraId="3D5D151E" w14:textId="77777777">
      <w:r>
        <w:continuationSeparator/>
      </w:r>
    </w:p>
    <w:p w:rsidR="006307BA" w:rsidRDefault="006307BA" w14:paraId="36FFE8E1" w14:textId="77777777"/>
  </w:endnote>
  <w:endnote w:type="continuationNotice" w:id="1">
    <w:p w:rsidR="006307BA" w:rsidRDefault="006307BA" w14:paraId="195019DF" w14:textId="77777777"/>
    <w:p w:rsidR="006307BA" w:rsidRDefault="006307BA" w14:paraId="30FD46AC"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80EFD" w:rsidP="00441786" w:rsidRDefault="00E80EFD" w14:paraId="7AFC709D" w14:textId="77777777">
    <w:pPr>
      <w:pStyle w:val="Footer"/>
      <w:framePr w:wrap="around" w:hAnchor="margin" w:vAnchor="text" w:xAlign="right" w:y="1"/>
      <w:rPr>
        <w:rStyle w:val="PageNumber"/>
      </w:rPr>
    </w:pPr>
    <w:r>
      <w:rPr>
        <w:rStyle w:val="PageNumber"/>
      </w:rPr>
      <w:fldChar w:fldCharType="begin"/>
    </w:r>
    <w:r>
      <w:rPr>
        <w:rStyle w:val="PageNumber"/>
      </w:rPr>
      <w:instrText xml:space="preserve"> PAGE </w:instrText>
    </w:r>
    <w:r>
      <w:rPr>
        <w:rStyle w:val="PageNumber"/>
      </w:rPr>
      <w:fldChar w:fldCharType="end"/>
    </w:r>
  </w:p>
  <w:p w:rsidR="00E80EFD" w:rsidP="00441786" w:rsidRDefault="00E80EFD" w14:paraId="7AFC709E" w14:textId="77777777">
    <w:pPr>
      <w:tabs>
        <w:tab w:val="right" w:pos="9360"/>
      </w:tabs>
      <w:ind w:right="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0A1282" w:rsidR="00E80EFD" w:rsidP="008A7DB1" w:rsidRDefault="00084FB7" w14:paraId="6D82E619" w14:textId="77777777">
    <w:pPr>
      <w:pStyle w:val="zGFooter"/>
      <w:tabs>
        <w:tab w:val="clear" w:pos="5040"/>
        <w:tab w:val="clear" w:pos="8630"/>
        <w:tab w:val="left" w:pos="4140"/>
        <w:tab w:val="center" w:pos="4590"/>
        <w:tab w:val="right" w:pos="9630"/>
      </w:tabs>
      <w:jc w:val="center"/>
      <w:rPr>
        <w:noProof/>
      </w:rPr>
    </w:pPr>
    <w:r>
      <w:t xml:space="preserve">32–33 All-Source RFP </w:t>
    </w:r>
    <w:sdt>
      <w:sdtPr>
        <w:id w:val="-1551677534"/>
        <w:docPartObj>
          <w:docPartGallery w:val="Page Numbers (Bottom of Page)"/>
          <w:docPartUnique/>
        </w:docPartObj>
      </w:sdtPr>
      <w:sdtEndPr>
        <w:rPr>
          <w:noProof/>
        </w:rPr>
      </w:sdtEndPr>
      <w:sdtContent>
        <w:r>
          <w:t>Pro Forma CC PPA</w:t>
        </w:r>
        <w:r>
          <w:tab/>
        </w:r>
        <w:r>
          <w:tab/>
          <w:t xml:space="preserve">Page </w:t>
        </w:r>
        <w:r>
          <w:fldChar w:fldCharType="begin"/>
        </w:r>
        <w:r>
          <w:instrText xml:space="preserve"> PAGE </w:instrText>
        </w:r>
        <w:r>
          <w:fldChar w:fldCharType="separate"/>
        </w:r>
        <w:r>
          <w:rPr>
            <w:noProof/>
          </w:rPr>
          <w:t>1</w:t>
        </w:r>
        <w:r>
          <w:fldChar w:fldCharType="end"/>
        </w:r>
        <w:r>
          <w:t xml:space="preserve"> of </w:t>
        </w:r>
        <w:r>
          <w:rPr>
            <w:noProof/>
          </w:rPr>
          <w:t>114</w:t>
        </w:r>
      </w:sdtContent>
    </w:sdt>
    <w:r>
      <w:rPr>
        <w:noProof/>
      </w:rPr>
      <w:tab/>
    </w:r>
    <w:r>
      <w:rPr>
        <w:noProof/>
        <w:szCs w:val="16"/>
      </w:rPr>
      <w:t xml:space="preserve"> </w:t>
    </w:r>
    <w:r>
      <w:rPr>
        <w:noProof/>
        <w:szCs w:val="16"/>
        <w:highlight w:val="yellow"/>
      </w:rPr>
      <w:t>(#FacilityName#)</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0A1282" w:rsidR="00E80EFD" w:rsidP="008A7DB1" w:rsidRDefault="00084FB7" w14:paraId="2ECC2E5C" w14:textId="77777777">
    <w:pPr>
      <w:pStyle w:val="zGFooter"/>
      <w:tabs>
        <w:tab w:val="clear" w:pos="5040"/>
        <w:tab w:val="clear" w:pos="8630"/>
        <w:tab w:val="left" w:pos="4140"/>
        <w:tab w:val="center" w:pos="4590"/>
        <w:tab w:val="right" w:pos="9630"/>
      </w:tabs>
      <w:jc w:val="center"/>
      <w:rPr>
        <w:noProof/>
      </w:rPr>
    </w:pPr>
    <w:r>
      <w:t xml:space="preserve">32–33 All-Source RFP </w:t>
    </w:r>
    <w:sdt>
      <w:sdtPr>
        <w:id w:val="-734697639"/>
        <w:docPartObj>
          <w:docPartGallery w:val="Page Numbers (Bottom of Page)"/>
          <w:docPartUnique/>
        </w:docPartObj>
      </w:sdtPr>
      <w:sdtEndPr>
        <w:rPr>
          <w:noProof/>
        </w:rPr>
      </w:sdtEndPr>
      <w:sdtContent>
        <w:r>
          <w:t>Pro Forma CC PPA</w:t>
        </w:r>
        <w:r>
          <w:tab/>
        </w:r>
        <w:r>
          <w:tab/>
          <w:t xml:space="preserve">Page </w:t>
        </w:r>
        <w:r>
          <w:fldChar w:fldCharType="begin"/>
        </w:r>
        <w:r>
          <w:instrText xml:space="preserve"> PAGE </w:instrText>
        </w:r>
        <w:r>
          <w:fldChar w:fldCharType="separate"/>
        </w:r>
        <w:r>
          <w:rPr>
            <w:noProof/>
          </w:rPr>
          <w:t>1</w:t>
        </w:r>
        <w:r>
          <w:fldChar w:fldCharType="end"/>
        </w:r>
        <w:r>
          <w:t xml:space="preserve"> of </w:t>
        </w:r>
        <w:r>
          <w:rPr>
            <w:noProof/>
          </w:rPr>
          <w:t>114</w:t>
        </w:r>
      </w:sdtContent>
    </w:sdt>
    <w:r>
      <w:rPr>
        <w:noProof/>
      </w:rPr>
      <w:tab/>
    </w:r>
    <w:r>
      <w:rPr>
        <w:noProof/>
        <w:szCs w:val="16"/>
      </w:rPr>
      <w:t xml:space="preserve"> </w:t>
    </w:r>
    <w:r>
      <w:rPr>
        <w:noProof/>
        <w:szCs w:val="16"/>
        <w:highlight w:val="yellow"/>
      </w:rPr>
      <w:t>(#FacilityName#)</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0A1282" w:rsidR="00E80EFD" w:rsidP="008A7DB1" w:rsidRDefault="00084FB7" w14:paraId="0BA99971" w14:textId="77777777">
    <w:pPr>
      <w:pStyle w:val="zGFooter"/>
      <w:tabs>
        <w:tab w:val="clear" w:pos="5040"/>
        <w:tab w:val="clear" w:pos="8630"/>
        <w:tab w:val="left" w:pos="4140"/>
        <w:tab w:val="center" w:pos="4590"/>
        <w:tab w:val="right" w:pos="9630"/>
      </w:tabs>
      <w:jc w:val="center"/>
      <w:rPr>
        <w:noProof/>
      </w:rPr>
    </w:pPr>
    <w:r>
      <w:t xml:space="preserve">32–33 All-Source RFP </w:t>
    </w:r>
    <w:sdt>
      <w:sdtPr>
        <w:id w:val="148946887"/>
        <w:docPartObj>
          <w:docPartGallery w:val="Page Numbers (Bottom of Page)"/>
          <w:docPartUnique/>
        </w:docPartObj>
      </w:sdtPr>
      <w:sdtEndPr>
        <w:rPr>
          <w:noProof/>
        </w:rPr>
      </w:sdtEndPr>
      <w:sdtContent>
        <w:r>
          <w:t>Pro Forma CC PPA</w:t>
        </w:r>
        <w:r>
          <w:tab/>
        </w:r>
        <w:r>
          <w:tab/>
          <w:t xml:space="preserve">Page </w:t>
        </w:r>
        <w:r>
          <w:fldChar w:fldCharType="begin"/>
        </w:r>
        <w:r>
          <w:instrText xml:space="preserve"> PAGE </w:instrText>
        </w:r>
        <w:r>
          <w:fldChar w:fldCharType="separate"/>
        </w:r>
        <w:r>
          <w:rPr>
            <w:noProof/>
          </w:rPr>
          <w:t>1</w:t>
        </w:r>
        <w:r>
          <w:fldChar w:fldCharType="end"/>
        </w:r>
        <w:r>
          <w:t xml:space="preserve"> of </w:t>
        </w:r>
        <w:r>
          <w:rPr>
            <w:noProof/>
          </w:rPr>
          <w:t>114</w:t>
        </w:r>
      </w:sdtContent>
    </w:sdt>
    <w:r>
      <w:rPr>
        <w:noProof/>
      </w:rPr>
      <w:tab/>
    </w:r>
    <w:r>
      <w:rPr>
        <w:noProof/>
        <w:szCs w:val="16"/>
      </w:rPr>
      <w:t xml:space="preserve"> </w:t>
    </w:r>
    <w:r>
      <w:rPr>
        <w:noProof/>
        <w:szCs w:val="16"/>
        <w:highlight w:val="yellow"/>
      </w:rPr>
      <w:t>(#FacilityName#)</w: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0A1282" w:rsidR="00E80EFD" w:rsidP="008A7DB1" w:rsidRDefault="00084FB7" w14:paraId="3EAB0F79" w14:textId="77777777">
    <w:pPr>
      <w:pStyle w:val="zGFooter"/>
      <w:tabs>
        <w:tab w:val="clear" w:pos="5040"/>
        <w:tab w:val="clear" w:pos="8630"/>
        <w:tab w:val="left" w:pos="4140"/>
        <w:tab w:val="center" w:pos="4590"/>
        <w:tab w:val="right" w:pos="9630"/>
      </w:tabs>
      <w:jc w:val="center"/>
      <w:rPr>
        <w:noProof/>
      </w:rPr>
    </w:pPr>
    <w:r>
      <w:t xml:space="preserve">32–33 All-Source RFP </w:t>
    </w:r>
    <w:sdt>
      <w:sdtPr>
        <w:id w:val="-2030404312"/>
        <w:docPartObj>
          <w:docPartGallery w:val="Page Numbers (Bottom of Page)"/>
          <w:docPartUnique/>
        </w:docPartObj>
      </w:sdtPr>
      <w:sdtEndPr>
        <w:rPr>
          <w:noProof/>
        </w:rPr>
      </w:sdtEndPr>
      <w:sdtContent>
        <w:r>
          <w:t>Pro Forma CC PPA</w:t>
        </w:r>
        <w:r>
          <w:tab/>
        </w:r>
        <w:r>
          <w:tab/>
          <w:t xml:space="preserve">Page </w:t>
        </w:r>
        <w:r>
          <w:fldChar w:fldCharType="begin"/>
        </w:r>
        <w:r>
          <w:instrText xml:space="preserve"> PAGE </w:instrText>
        </w:r>
        <w:r>
          <w:fldChar w:fldCharType="separate"/>
        </w:r>
        <w:r>
          <w:rPr>
            <w:noProof/>
          </w:rPr>
          <w:t>1</w:t>
        </w:r>
        <w:r>
          <w:fldChar w:fldCharType="end"/>
        </w:r>
        <w:r>
          <w:t xml:space="preserve"> of </w:t>
        </w:r>
        <w:r>
          <w:rPr>
            <w:noProof/>
          </w:rPr>
          <w:t>114</w:t>
        </w:r>
      </w:sdtContent>
    </w:sdt>
    <w:r>
      <w:rPr>
        <w:noProof/>
      </w:rPr>
      <w:tab/>
    </w:r>
    <w:r>
      <w:rPr>
        <w:noProof/>
        <w:szCs w:val="16"/>
      </w:rPr>
      <w:t xml:space="preserve"> </w:t>
    </w:r>
    <w:r>
      <w:rPr>
        <w:noProof/>
        <w:szCs w:val="16"/>
        <w:highlight w:val="yellow"/>
      </w:rPr>
      <w:t>(#FacilityName#)</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0A1282" w:rsidR="00E80EFD" w:rsidP="008A7DB1" w:rsidRDefault="00084FB7" w14:paraId="4F06DD92" w14:textId="77777777">
    <w:pPr>
      <w:pStyle w:val="zGFooter"/>
      <w:tabs>
        <w:tab w:val="clear" w:pos="5040"/>
        <w:tab w:val="clear" w:pos="8630"/>
        <w:tab w:val="left" w:pos="4140"/>
        <w:tab w:val="center" w:pos="4590"/>
        <w:tab w:val="right" w:pos="9630"/>
      </w:tabs>
      <w:jc w:val="center"/>
      <w:rPr>
        <w:noProof/>
      </w:rPr>
    </w:pPr>
    <w:r>
      <w:t xml:space="preserve">32–33 All-Source RFP </w:t>
    </w:r>
    <w:sdt>
      <w:sdtPr>
        <w:id w:val="-1428340656"/>
        <w:docPartObj>
          <w:docPartGallery w:val="Page Numbers (Bottom of Page)"/>
          <w:docPartUnique/>
        </w:docPartObj>
      </w:sdtPr>
      <w:sdtEndPr>
        <w:rPr>
          <w:noProof/>
        </w:rPr>
      </w:sdtEndPr>
      <w:sdtContent>
        <w:r>
          <w:t>Pro Forma CC PPA</w:t>
        </w:r>
        <w:r>
          <w:tab/>
        </w:r>
        <w:r>
          <w:tab/>
          <w:t xml:space="preserve">Page </w:t>
        </w:r>
        <w:r>
          <w:fldChar w:fldCharType="begin"/>
        </w:r>
        <w:r>
          <w:instrText xml:space="preserve"> PAGE </w:instrText>
        </w:r>
        <w:r>
          <w:fldChar w:fldCharType="separate"/>
        </w:r>
        <w:r>
          <w:rPr>
            <w:noProof/>
          </w:rPr>
          <w:t>1</w:t>
        </w:r>
        <w:r>
          <w:fldChar w:fldCharType="end"/>
        </w:r>
        <w:r>
          <w:t xml:space="preserve"> of </w:t>
        </w:r>
        <w:r>
          <w:rPr>
            <w:noProof/>
          </w:rPr>
          <w:t>114</w:t>
        </w:r>
      </w:sdtContent>
    </w:sdt>
    <w:r>
      <w:rPr>
        <w:noProof/>
      </w:rPr>
      <w:tab/>
    </w:r>
    <w:r>
      <w:rPr>
        <w:noProof/>
        <w:szCs w:val="16"/>
      </w:rPr>
      <w:t xml:space="preserve"> </w:t>
    </w:r>
    <w:r>
      <w:rPr>
        <w:noProof/>
        <w:szCs w:val="16"/>
        <w:highlight w:val="yellow"/>
      </w:rPr>
      <w:t>(#FacilityName#)</w: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0A1282" w:rsidR="00E80EFD" w:rsidP="008A7DB1" w:rsidRDefault="00084FB7" w14:paraId="1B2F304D" w14:textId="77777777">
    <w:pPr>
      <w:pStyle w:val="zGFooter"/>
      <w:tabs>
        <w:tab w:val="clear" w:pos="5040"/>
        <w:tab w:val="clear" w:pos="8630"/>
        <w:tab w:val="left" w:pos="4140"/>
        <w:tab w:val="center" w:pos="4590"/>
        <w:tab w:val="right" w:pos="9630"/>
      </w:tabs>
      <w:jc w:val="center"/>
      <w:rPr>
        <w:noProof/>
      </w:rPr>
    </w:pPr>
    <w:r>
      <w:t xml:space="preserve">32–33 All-Source RFP </w:t>
    </w:r>
    <w:sdt>
      <w:sdtPr>
        <w:id w:val="-122152264"/>
        <w:docPartObj>
          <w:docPartGallery w:val="Page Numbers (Bottom of Page)"/>
          <w:docPartUnique/>
        </w:docPartObj>
      </w:sdtPr>
      <w:sdtEndPr>
        <w:rPr>
          <w:noProof/>
        </w:rPr>
      </w:sdtEndPr>
      <w:sdtContent>
        <w:r>
          <w:t>Pro Forma CC PPA</w:t>
        </w:r>
        <w:r>
          <w:tab/>
        </w:r>
        <w:r>
          <w:tab/>
          <w:t xml:space="preserve">Page </w:t>
        </w:r>
        <w:r>
          <w:fldChar w:fldCharType="begin"/>
        </w:r>
        <w:r>
          <w:instrText xml:space="preserve"> PAGE </w:instrText>
        </w:r>
        <w:r>
          <w:fldChar w:fldCharType="separate"/>
        </w:r>
        <w:r>
          <w:rPr>
            <w:noProof/>
          </w:rPr>
          <w:t>1</w:t>
        </w:r>
        <w:r>
          <w:fldChar w:fldCharType="end"/>
        </w:r>
        <w:r>
          <w:t xml:space="preserve"> of </w:t>
        </w:r>
        <w:r>
          <w:rPr>
            <w:noProof/>
          </w:rPr>
          <w:t>114</w:t>
        </w:r>
      </w:sdtContent>
    </w:sdt>
    <w:r>
      <w:rPr>
        <w:noProof/>
      </w:rPr>
      <w:tab/>
    </w:r>
    <w:r>
      <w:rPr>
        <w:noProof/>
        <w:szCs w:val="16"/>
      </w:rPr>
      <w:t xml:space="preserve"> </w:t>
    </w:r>
    <w:r>
      <w:rPr>
        <w:noProof/>
        <w:szCs w:val="16"/>
        <w:highlight w:val="yellow"/>
      </w:rPr>
      <w:t>(#FacilityName#)</w: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0A1282" w:rsidR="00E80EFD" w:rsidP="008A7DB1" w:rsidRDefault="00084FB7" w14:paraId="1E477997" w14:textId="77777777">
    <w:pPr>
      <w:pStyle w:val="zGFooter"/>
      <w:tabs>
        <w:tab w:val="clear" w:pos="5040"/>
        <w:tab w:val="clear" w:pos="8630"/>
        <w:tab w:val="left" w:pos="4140"/>
        <w:tab w:val="center" w:pos="4590"/>
        <w:tab w:val="right" w:pos="9630"/>
      </w:tabs>
      <w:jc w:val="center"/>
      <w:rPr>
        <w:noProof/>
      </w:rPr>
    </w:pPr>
    <w:r>
      <w:t xml:space="preserve">32–33 All-Source RFP </w:t>
    </w:r>
    <w:sdt>
      <w:sdtPr>
        <w:id w:val="1847596202"/>
        <w:docPartObj>
          <w:docPartGallery w:val="Page Numbers (Bottom of Page)"/>
          <w:docPartUnique/>
        </w:docPartObj>
      </w:sdtPr>
      <w:sdtEndPr>
        <w:rPr>
          <w:noProof/>
        </w:rPr>
      </w:sdtEndPr>
      <w:sdtContent>
        <w:r>
          <w:t>Pro Forma CC PPA</w:t>
        </w:r>
        <w:r>
          <w:tab/>
        </w:r>
        <w:r>
          <w:tab/>
          <w:t xml:space="preserve">Page </w:t>
        </w:r>
        <w:r>
          <w:fldChar w:fldCharType="begin"/>
        </w:r>
        <w:r>
          <w:instrText xml:space="preserve"> PAGE </w:instrText>
        </w:r>
        <w:r>
          <w:fldChar w:fldCharType="separate"/>
        </w:r>
        <w:r>
          <w:rPr>
            <w:noProof/>
          </w:rPr>
          <w:t>1</w:t>
        </w:r>
        <w:r>
          <w:fldChar w:fldCharType="end"/>
        </w:r>
        <w:r>
          <w:t xml:space="preserve"> of </w:t>
        </w:r>
        <w:r>
          <w:rPr>
            <w:noProof/>
          </w:rPr>
          <w:t>114</w:t>
        </w:r>
      </w:sdtContent>
    </w:sdt>
    <w:r>
      <w:rPr>
        <w:noProof/>
      </w:rPr>
      <w:tab/>
    </w:r>
    <w:r>
      <w:rPr>
        <w:noProof/>
        <w:szCs w:val="16"/>
      </w:rPr>
      <w:t xml:space="preserve"> </w:t>
    </w:r>
    <w:r>
      <w:rPr>
        <w:noProof/>
        <w:szCs w:val="16"/>
        <w:highlight w:val="yellow"/>
      </w:rPr>
      <w:t>(#FacilityName#)</w:t>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0A1282" w:rsidR="00E80EFD" w:rsidP="008A7DB1" w:rsidRDefault="00084FB7" w14:paraId="08992C48" w14:textId="77777777">
    <w:pPr>
      <w:pStyle w:val="zGFooter"/>
      <w:tabs>
        <w:tab w:val="clear" w:pos="5040"/>
        <w:tab w:val="clear" w:pos="8630"/>
        <w:tab w:val="left" w:pos="4140"/>
        <w:tab w:val="center" w:pos="4590"/>
        <w:tab w:val="right" w:pos="9630"/>
      </w:tabs>
      <w:jc w:val="center"/>
      <w:rPr>
        <w:noProof/>
      </w:rPr>
    </w:pPr>
    <w:r>
      <w:t xml:space="preserve">32–33 All-Source RFP </w:t>
    </w:r>
    <w:sdt>
      <w:sdtPr>
        <w:id w:val="-293063576"/>
        <w:docPartObj>
          <w:docPartGallery w:val="Page Numbers (Bottom of Page)"/>
          <w:docPartUnique/>
        </w:docPartObj>
      </w:sdtPr>
      <w:sdtEndPr>
        <w:rPr>
          <w:noProof/>
        </w:rPr>
      </w:sdtEndPr>
      <w:sdtContent>
        <w:r>
          <w:t>Pro Forma CC PPA</w:t>
        </w:r>
        <w:r>
          <w:tab/>
        </w:r>
        <w:r>
          <w:tab/>
          <w:t xml:space="preserve">Page </w:t>
        </w:r>
        <w:r>
          <w:fldChar w:fldCharType="begin"/>
        </w:r>
        <w:r>
          <w:instrText xml:space="preserve"> PAGE </w:instrText>
        </w:r>
        <w:r>
          <w:fldChar w:fldCharType="separate"/>
        </w:r>
        <w:r>
          <w:rPr>
            <w:noProof/>
          </w:rPr>
          <w:t>1</w:t>
        </w:r>
        <w:r>
          <w:fldChar w:fldCharType="end"/>
        </w:r>
        <w:r>
          <w:t xml:space="preserve"> of </w:t>
        </w:r>
        <w:r>
          <w:rPr>
            <w:noProof/>
          </w:rPr>
          <w:t>114</w:t>
        </w:r>
      </w:sdtContent>
    </w:sdt>
    <w:r>
      <w:rPr>
        <w:noProof/>
      </w:rPr>
      <w:tab/>
    </w:r>
    <w:r>
      <w:rPr>
        <w:noProof/>
        <w:szCs w:val="16"/>
      </w:rPr>
      <w:t xml:space="preserve"> </w:t>
    </w:r>
    <w:r>
      <w:rPr>
        <w:noProof/>
        <w:szCs w:val="16"/>
        <w:highlight w:val="yellow"/>
      </w:rPr>
      <w:t>(#FacilityName#)</w:t>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0A1282" w:rsidR="00E80EFD" w:rsidP="008A7DB1" w:rsidRDefault="00084FB7" w14:paraId="7C2303B8" w14:textId="77777777">
    <w:pPr>
      <w:pStyle w:val="zGFooter"/>
      <w:tabs>
        <w:tab w:val="clear" w:pos="5040"/>
        <w:tab w:val="clear" w:pos="8630"/>
        <w:tab w:val="left" w:pos="4140"/>
        <w:tab w:val="center" w:pos="4590"/>
        <w:tab w:val="right" w:pos="9630"/>
      </w:tabs>
      <w:jc w:val="center"/>
      <w:rPr>
        <w:noProof/>
      </w:rPr>
    </w:pPr>
    <w:r>
      <w:t xml:space="preserve">32–33 All-Source RFP </w:t>
    </w:r>
    <w:sdt>
      <w:sdtPr>
        <w:id w:val="-861661641"/>
        <w:docPartObj>
          <w:docPartGallery w:val="Page Numbers (Bottom of Page)"/>
          <w:docPartUnique/>
        </w:docPartObj>
      </w:sdtPr>
      <w:sdtEndPr>
        <w:rPr>
          <w:noProof/>
        </w:rPr>
      </w:sdtEndPr>
      <w:sdtContent>
        <w:r>
          <w:t>Pro Forma CC PPA</w:t>
        </w:r>
        <w:r>
          <w:tab/>
        </w:r>
        <w:r>
          <w:tab/>
          <w:t xml:space="preserve">Page </w:t>
        </w:r>
        <w:r>
          <w:fldChar w:fldCharType="begin"/>
        </w:r>
        <w:r>
          <w:instrText xml:space="preserve"> PAGE </w:instrText>
        </w:r>
        <w:r>
          <w:fldChar w:fldCharType="separate"/>
        </w:r>
        <w:r>
          <w:rPr>
            <w:noProof/>
          </w:rPr>
          <w:t>1</w:t>
        </w:r>
        <w:r>
          <w:fldChar w:fldCharType="end"/>
        </w:r>
        <w:r>
          <w:t xml:space="preserve"> of </w:t>
        </w:r>
        <w:r>
          <w:rPr>
            <w:noProof/>
          </w:rPr>
          <w:t>114</w:t>
        </w:r>
      </w:sdtContent>
    </w:sdt>
    <w:r>
      <w:rPr>
        <w:noProof/>
      </w:rPr>
      <w:tab/>
    </w:r>
    <w:r>
      <w:rPr>
        <w:noProof/>
        <w:szCs w:val="16"/>
      </w:rPr>
      <w:t xml:space="preserve"> </w:t>
    </w:r>
    <w:r>
      <w:rPr>
        <w:noProof/>
        <w:szCs w:val="16"/>
        <w:highlight w:val="yellow"/>
      </w:rPr>
      <w:t>(#FacilityName#)</w:t>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0A1282" w:rsidR="00E80EFD" w:rsidP="008A7DB1" w:rsidRDefault="00084FB7" w14:paraId="1D8C90BB" w14:textId="77777777">
    <w:pPr>
      <w:pStyle w:val="zGFooter"/>
      <w:tabs>
        <w:tab w:val="clear" w:pos="5040"/>
        <w:tab w:val="clear" w:pos="8630"/>
        <w:tab w:val="left" w:pos="4140"/>
        <w:tab w:val="center" w:pos="4590"/>
        <w:tab w:val="right" w:pos="9630"/>
      </w:tabs>
      <w:jc w:val="center"/>
      <w:rPr>
        <w:noProof/>
      </w:rPr>
    </w:pPr>
    <w:r>
      <w:t xml:space="preserve">32–33 All-Source RFP </w:t>
    </w:r>
    <w:sdt>
      <w:sdtPr>
        <w:id w:val="1764876940"/>
        <w:docPartObj>
          <w:docPartGallery w:val="Page Numbers (Bottom of Page)"/>
          <w:docPartUnique/>
        </w:docPartObj>
      </w:sdtPr>
      <w:sdtEndPr>
        <w:rPr>
          <w:noProof/>
        </w:rPr>
      </w:sdtEndPr>
      <w:sdtContent>
        <w:r>
          <w:t>Pro Forma CC PPA</w:t>
        </w:r>
        <w:r>
          <w:tab/>
        </w:r>
        <w:r>
          <w:tab/>
          <w:t xml:space="preserve">Page </w:t>
        </w:r>
        <w:r>
          <w:fldChar w:fldCharType="begin"/>
        </w:r>
        <w:r>
          <w:instrText xml:space="preserve"> PAGE </w:instrText>
        </w:r>
        <w:r>
          <w:fldChar w:fldCharType="separate"/>
        </w:r>
        <w:r>
          <w:rPr>
            <w:noProof/>
          </w:rPr>
          <w:t>1</w:t>
        </w:r>
        <w:r>
          <w:fldChar w:fldCharType="end"/>
        </w:r>
        <w:r>
          <w:t xml:space="preserve"> of </w:t>
        </w:r>
        <w:r>
          <w:rPr>
            <w:noProof/>
          </w:rPr>
          <w:t>114</w:t>
        </w:r>
      </w:sdtContent>
    </w:sdt>
    <w:r>
      <w:rPr>
        <w:noProof/>
      </w:rPr>
      <w:tab/>
    </w:r>
    <w:r>
      <w:rPr>
        <w:noProof/>
        <w:szCs w:val="16"/>
      </w:rPr>
      <w:t xml:space="preserve"> </w:t>
    </w:r>
    <w:r>
      <w:rPr>
        <w:noProof/>
        <w:szCs w:val="16"/>
        <w:highlight w:val="yellow"/>
      </w:rPr>
      <w:t>(#FacilityName#)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0A1282" w:rsidR="00E80EFD" w:rsidP="008A7DB1" w:rsidRDefault="00084FB7" w14:paraId="7AFC709F" w14:textId="7A38E78B">
    <w:pPr>
      <w:pStyle w:val="zGFooter"/>
      <w:tabs>
        <w:tab w:val="clear" w:pos="5040"/>
        <w:tab w:val="clear" w:pos="8630"/>
        <w:tab w:val="left" w:pos="4140"/>
        <w:tab w:val="center" w:pos="4590"/>
        <w:tab w:val="right" w:pos="9630"/>
      </w:tabs>
      <w:jc w:val="center"/>
      <w:rPr>
        <w:noProof/>
      </w:rPr>
    </w:pPr>
    <w:r>
      <w:t xml:space="preserve">32–33 All-Source RFP </w:t>
    </w:r>
    <w:sdt>
      <w:sdtPr>
        <w:id w:val="-228003686"/>
        <w:docPartObj>
          <w:docPartGallery w:val="Page Numbers (Bottom of Page)"/>
          <w:docPartUnique/>
        </w:docPartObj>
      </w:sdtPr>
      <w:sdtEndPr>
        <w:rPr>
          <w:noProof/>
        </w:rPr>
      </w:sdtEndPr>
      <w:sdtContent>
        <w:r>
          <w:t>Pro Forma CC PPA</w:t>
        </w:r>
        <w:r>
          <w:tab/>
        </w:r>
        <w:r>
          <w:tab/>
          <w:t xml:space="preserve">Page </w:t>
        </w:r>
        <w:r>
          <w:fldChar w:fldCharType="begin"/>
        </w:r>
        <w:r>
          <w:instrText xml:space="preserve"> PAGE </w:instrText>
        </w:r>
        <w:r>
          <w:fldChar w:fldCharType="separate"/>
        </w:r>
        <w:r>
          <w:rPr>
            <w:noProof/>
          </w:rPr>
          <w:t>1</w:t>
        </w:r>
        <w:r>
          <w:fldChar w:fldCharType="end"/>
        </w:r>
        <w:r>
          <w:t xml:space="preserve"> of </w:t>
        </w:r>
        <w:r>
          <w:rPr>
            <w:noProof/>
          </w:rPr>
          <w:t>114</w:t>
        </w:r>
      </w:sdtContent>
    </w:sdt>
    <w:r>
      <w:rPr>
        <w:noProof/>
      </w:rPr>
      <w:tab/>
    </w:r>
    <w:r>
      <w:rPr>
        <w:noProof/>
        <w:szCs w:val="16"/>
      </w:rPr>
      <w:t xml:space="preserve"> </w:t>
    </w:r>
    <w:r>
      <w:rPr>
        <w:noProof/>
        <w:szCs w:val="16"/>
        <w:highlight w:val="yellow"/>
      </w:rPr>
      <w:t>(#FacilityName#)</w:t>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0A1282" w:rsidR="00E80EFD" w:rsidP="008A7DB1" w:rsidRDefault="00084FB7" w14:paraId="416935B0" w14:textId="77777777">
    <w:pPr>
      <w:pStyle w:val="zGFooter"/>
      <w:tabs>
        <w:tab w:val="clear" w:pos="5040"/>
        <w:tab w:val="clear" w:pos="8630"/>
        <w:tab w:val="left" w:pos="4140"/>
        <w:tab w:val="center" w:pos="4590"/>
        <w:tab w:val="right" w:pos="9630"/>
      </w:tabs>
      <w:jc w:val="center"/>
      <w:rPr>
        <w:noProof/>
      </w:rPr>
    </w:pPr>
    <w:r>
      <w:t xml:space="preserve">32–33 All-Source RFP </w:t>
    </w:r>
    <w:sdt>
      <w:sdtPr>
        <w:id w:val="-126241130"/>
        <w:docPartObj>
          <w:docPartGallery w:val="Page Numbers (Bottom of Page)"/>
          <w:docPartUnique/>
        </w:docPartObj>
      </w:sdtPr>
      <w:sdtEndPr>
        <w:rPr>
          <w:noProof/>
        </w:rPr>
      </w:sdtEndPr>
      <w:sdtContent>
        <w:r>
          <w:t>Pro Forma CC PPA</w:t>
        </w:r>
        <w:r>
          <w:tab/>
        </w:r>
        <w:r>
          <w:tab/>
          <w:t xml:space="preserve">Page </w:t>
        </w:r>
        <w:r>
          <w:fldChar w:fldCharType="begin"/>
        </w:r>
        <w:r>
          <w:instrText xml:space="preserve"> PAGE </w:instrText>
        </w:r>
        <w:r>
          <w:fldChar w:fldCharType="separate"/>
        </w:r>
        <w:r>
          <w:rPr>
            <w:noProof/>
          </w:rPr>
          <w:t>1</w:t>
        </w:r>
        <w:r>
          <w:fldChar w:fldCharType="end"/>
        </w:r>
        <w:r>
          <w:t xml:space="preserve"> of </w:t>
        </w:r>
        <w:r>
          <w:rPr>
            <w:noProof/>
          </w:rPr>
          <w:t>114</w:t>
        </w:r>
      </w:sdtContent>
    </w:sdt>
    <w:r>
      <w:rPr>
        <w:noProof/>
      </w:rPr>
      <w:tab/>
    </w:r>
    <w:r>
      <w:rPr>
        <w:noProof/>
        <w:szCs w:val="16"/>
      </w:rPr>
      <w:t xml:space="preserve"> </w:t>
    </w:r>
    <w:r>
      <w:rPr>
        <w:noProof/>
        <w:szCs w:val="16"/>
        <w:highlight w:val="yellow"/>
      </w:rPr>
      <w:t>(#FacilityName#)</w:t>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0A1282" w:rsidR="00E80EFD" w:rsidP="008A7DB1" w:rsidRDefault="00084FB7" w14:paraId="1DBAF93A" w14:textId="77777777">
    <w:pPr>
      <w:pStyle w:val="zGFooter"/>
      <w:tabs>
        <w:tab w:val="clear" w:pos="5040"/>
        <w:tab w:val="clear" w:pos="8630"/>
        <w:tab w:val="left" w:pos="4140"/>
        <w:tab w:val="center" w:pos="4590"/>
        <w:tab w:val="right" w:pos="9630"/>
      </w:tabs>
      <w:jc w:val="center"/>
      <w:rPr>
        <w:noProof/>
      </w:rPr>
    </w:pPr>
    <w:r>
      <w:t xml:space="preserve">32–33 All-Source RFP </w:t>
    </w:r>
    <w:sdt>
      <w:sdtPr>
        <w:id w:val="1374655095"/>
        <w:docPartObj>
          <w:docPartGallery w:val="Page Numbers (Bottom of Page)"/>
          <w:docPartUnique/>
        </w:docPartObj>
      </w:sdtPr>
      <w:sdtEndPr>
        <w:rPr>
          <w:noProof/>
        </w:rPr>
      </w:sdtEndPr>
      <w:sdtContent>
        <w:r>
          <w:t>Pro Forma CC PPA</w:t>
        </w:r>
        <w:r>
          <w:tab/>
        </w:r>
        <w:r>
          <w:tab/>
          <w:t xml:space="preserve">Page </w:t>
        </w:r>
        <w:r>
          <w:fldChar w:fldCharType="begin"/>
        </w:r>
        <w:r>
          <w:instrText xml:space="preserve"> PAGE </w:instrText>
        </w:r>
        <w:r>
          <w:fldChar w:fldCharType="separate"/>
        </w:r>
        <w:r>
          <w:rPr>
            <w:noProof/>
          </w:rPr>
          <w:t>1</w:t>
        </w:r>
        <w:r>
          <w:fldChar w:fldCharType="end"/>
        </w:r>
        <w:r>
          <w:t xml:space="preserve"> of </w:t>
        </w:r>
        <w:r>
          <w:rPr>
            <w:noProof/>
          </w:rPr>
          <w:t>114</w:t>
        </w:r>
      </w:sdtContent>
    </w:sdt>
    <w:r>
      <w:rPr>
        <w:noProof/>
      </w:rPr>
      <w:tab/>
    </w:r>
    <w:r>
      <w:rPr>
        <w:noProof/>
        <w:szCs w:val="16"/>
      </w:rPr>
      <w:t xml:space="preserve"> </w:t>
    </w:r>
    <w:r>
      <w:rPr>
        <w:noProof/>
        <w:szCs w:val="16"/>
        <w:highlight w:val="yellow"/>
      </w:rPr>
      <w:t>(#FacilityName#)</w:t>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0A1282" w:rsidR="00E80EFD" w:rsidP="008A7DB1" w:rsidRDefault="00084FB7" w14:paraId="1B04D231" w14:textId="77777777">
    <w:pPr>
      <w:pStyle w:val="zGFooter"/>
      <w:tabs>
        <w:tab w:val="clear" w:pos="5040"/>
        <w:tab w:val="clear" w:pos="8630"/>
        <w:tab w:val="left" w:pos="4140"/>
        <w:tab w:val="center" w:pos="4590"/>
        <w:tab w:val="right" w:pos="9630"/>
      </w:tabs>
      <w:jc w:val="center"/>
      <w:rPr>
        <w:noProof/>
      </w:rPr>
    </w:pPr>
    <w:r>
      <w:t xml:space="preserve">32–33 All-Source RFP </w:t>
    </w:r>
    <w:sdt>
      <w:sdtPr>
        <w:id w:val="1174453907"/>
        <w:docPartObj>
          <w:docPartGallery w:val="Page Numbers (Bottom of Page)"/>
          <w:docPartUnique/>
        </w:docPartObj>
      </w:sdtPr>
      <w:sdtEndPr>
        <w:rPr>
          <w:noProof/>
        </w:rPr>
      </w:sdtEndPr>
      <w:sdtContent>
        <w:r>
          <w:t>Pro Forma CC PPA</w:t>
        </w:r>
        <w:r>
          <w:tab/>
        </w:r>
        <w:r>
          <w:tab/>
          <w:t xml:space="preserve">Page </w:t>
        </w:r>
        <w:r>
          <w:fldChar w:fldCharType="begin"/>
        </w:r>
        <w:r>
          <w:instrText xml:space="preserve"> PAGE </w:instrText>
        </w:r>
        <w:r>
          <w:fldChar w:fldCharType="separate"/>
        </w:r>
        <w:r>
          <w:rPr>
            <w:noProof/>
          </w:rPr>
          <w:t>1</w:t>
        </w:r>
        <w:r>
          <w:fldChar w:fldCharType="end"/>
        </w:r>
        <w:r>
          <w:t xml:space="preserve"> of </w:t>
        </w:r>
        <w:r>
          <w:rPr>
            <w:noProof/>
          </w:rPr>
          <w:t>114</w:t>
        </w:r>
      </w:sdtContent>
    </w:sdt>
    <w:r>
      <w:rPr>
        <w:noProof/>
      </w:rPr>
      <w:tab/>
    </w:r>
    <w:r>
      <w:rPr>
        <w:noProof/>
        <w:szCs w:val="16"/>
      </w:rPr>
      <w:t xml:space="preserve"> </w:t>
    </w:r>
    <w:r>
      <w:rPr>
        <w:noProof/>
        <w:szCs w:val="16"/>
        <w:highlight w:val="yellow"/>
      </w:rPr>
      <w:t>(#FacilityName#)</w:t>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0A1282" w:rsidR="00E80EFD" w:rsidP="008A7DB1" w:rsidRDefault="00084FB7" w14:paraId="246DBFB5" w14:textId="77777777">
    <w:pPr>
      <w:pStyle w:val="zGFooter"/>
      <w:tabs>
        <w:tab w:val="clear" w:pos="5040"/>
        <w:tab w:val="clear" w:pos="8630"/>
        <w:tab w:val="left" w:pos="4140"/>
        <w:tab w:val="center" w:pos="4590"/>
        <w:tab w:val="right" w:pos="9630"/>
      </w:tabs>
      <w:jc w:val="center"/>
      <w:rPr>
        <w:noProof/>
      </w:rPr>
    </w:pPr>
    <w:r>
      <w:t xml:space="preserve">32–33 All-Source RFP </w:t>
    </w:r>
    <w:sdt>
      <w:sdtPr>
        <w:id w:val="1119883099"/>
        <w:docPartObj>
          <w:docPartGallery w:val="Page Numbers (Bottom of Page)"/>
          <w:docPartUnique/>
        </w:docPartObj>
      </w:sdtPr>
      <w:sdtEndPr>
        <w:rPr>
          <w:noProof/>
        </w:rPr>
      </w:sdtEndPr>
      <w:sdtContent>
        <w:r>
          <w:t>Pro Forma CC PPA</w:t>
        </w:r>
        <w:r>
          <w:tab/>
        </w:r>
        <w:r>
          <w:tab/>
          <w:t xml:space="preserve">Page </w:t>
        </w:r>
        <w:r>
          <w:fldChar w:fldCharType="begin"/>
        </w:r>
        <w:r>
          <w:instrText xml:space="preserve"> PAGE </w:instrText>
        </w:r>
        <w:r>
          <w:fldChar w:fldCharType="separate"/>
        </w:r>
        <w:r>
          <w:rPr>
            <w:noProof/>
          </w:rPr>
          <w:t>1</w:t>
        </w:r>
        <w:r>
          <w:fldChar w:fldCharType="end"/>
        </w:r>
        <w:r>
          <w:t xml:space="preserve"> of </w:t>
        </w:r>
        <w:r>
          <w:rPr>
            <w:noProof/>
          </w:rPr>
          <w:t>114</w:t>
        </w:r>
      </w:sdtContent>
    </w:sdt>
    <w:r>
      <w:rPr>
        <w:noProof/>
      </w:rPr>
      <w:tab/>
    </w:r>
    <w:r>
      <w:rPr>
        <w:noProof/>
        <w:szCs w:val="16"/>
      </w:rPr>
      <w:t xml:space="preserve"> </w:t>
    </w:r>
    <w:r>
      <w:rPr>
        <w:noProof/>
        <w:szCs w:val="16"/>
        <w:highlight w:val="yellow"/>
      </w:rPr>
      <w:t>(#FacilityName#)</w:t>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0A1282" w:rsidR="00E80EFD" w:rsidP="008A7DB1" w:rsidRDefault="00084FB7" w14:paraId="519FCC70" w14:textId="77777777">
    <w:pPr>
      <w:pStyle w:val="zGFooter"/>
      <w:tabs>
        <w:tab w:val="clear" w:pos="5040"/>
        <w:tab w:val="clear" w:pos="8630"/>
        <w:tab w:val="left" w:pos="4140"/>
        <w:tab w:val="center" w:pos="4590"/>
        <w:tab w:val="right" w:pos="9630"/>
      </w:tabs>
      <w:jc w:val="center"/>
      <w:rPr>
        <w:noProof/>
      </w:rPr>
    </w:pPr>
    <w:r>
      <w:t xml:space="preserve">32–33 All-Source RFP </w:t>
    </w:r>
    <w:sdt>
      <w:sdtPr>
        <w:id w:val="-186368183"/>
        <w:docPartObj>
          <w:docPartGallery w:val="Page Numbers (Bottom of Page)"/>
          <w:docPartUnique/>
        </w:docPartObj>
      </w:sdtPr>
      <w:sdtEndPr>
        <w:rPr>
          <w:noProof/>
        </w:rPr>
      </w:sdtEndPr>
      <w:sdtContent>
        <w:r>
          <w:t>Pro Forma CC PPA</w:t>
        </w:r>
        <w:r>
          <w:tab/>
        </w:r>
        <w:r>
          <w:tab/>
          <w:t xml:space="preserve">Page </w:t>
        </w:r>
        <w:r>
          <w:fldChar w:fldCharType="begin"/>
        </w:r>
        <w:r>
          <w:instrText xml:space="preserve"> PAGE </w:instrText>
        </w:r>
        <w:r>
          <w:fldChar w:fldCharType="separate"/>
        </w:r>
        <w:r>
          <w:rPr>
            <w:noProof/>
          </w:rPr>
          <w:t>1</w:t>
        </w:r>
        <w:r>
          <w:fldChar w:fldCharType="end"/>
        </w:r>
        <w:r>
          <w:t xml:space="preserve"> of </w:t>
        </w:r>
        <w:r>
          <w:rPr>
            <w:noProof/>
          </w:rPr>
          <w:t>114</w:t>
        </w:r>
      </w:sdtContent>
    </w:sdt>
    <w:r>
      <w:rPr>
        <w:noProof/>
      </w:rPr>
      <w:tab/>
    </w:r>
    <w:r>
      <w:rPr>
        <w:noProof/>
        <w:szCs w:val="16"/>
      </w:rPr>
      <w:t xml:space="preserve"> </w:t>
    </w:r>
    <w:r>
      <w:rPr>
        <w:noProof/>
        <w:szCs w:val="16"/>
        <w:highlight w:val="yellow"/>
      </w:rPr>
      <w:t>(#FacilityName#)</w:t>
    </w: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D0802" w:rsidRDefault="006D0802" w14:paraId="05FD5730" w14:textId="77777777">
    <w:pPr>
      <w:rPr>
        <w:sz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0A1282" w:rsidR="00E80EFD" w:rsidP="008A7DB1" w:rsidRDefault="00084FB7" w14:paraId="037E277B" w14:textId="77777777">
    <w:pPr>
      <w:pStyle w:val="zGFooter"/>
      <w:tabs>
        <w:tab w:val="clear" w:pos="5040"/>
        <w:tab w:val="clear" w:pos="8630"/>
        <w:tab w:val="left" w:pos="4140"/>
        <w:tab w:val="center" w:pos="4590"/>
        <w:tab w:val="right" w:pos="9630"/>
      </w:tabs>
      <w:jc w:val="center"/>
      <w:rPr>
        <w:noProof/>
      </w:rPr>
    </w:pPr>
    <w:r>
      <w:t xml:space="preserve">32–33 All-Source RFP </w:t>
    </w:r>
    <w:sdt>
      <w:sdtPr>
        <w:id w:val="-1776086839"/>
        <w:docPartObj>
          <w:docPartGallery w:val="Page Numbers (Bottom of Page)"/>
          <w:docPartUnique/>
        </w:docPartObj>
      </w:sdtPr>
      <w:sdtEndPr>
        <w:rPr>
          <w:noProof/>
        </w:rPr>
      </w:sdtEndPr>
      <w:sdtContent>
        <w:r>
          <w:t>Pro Forma CC PPA</w:t>
        </w:r>
        <w:r>
          <w:tab/>
        </w:r>
        <w:r>
          <w:tab/>
          <w:t xml:space="preserve">Page </w:t>
        </w:r>
        <w:r>
          <w:fldChar w:fldCharType="begin"/>
        </w:r>
        <w:r>
          <w:instrText xml:space="preserve"> PAGE </w:instrText>
        </w:r>
        <w:r>
          <w:fldChar w:fldCharType="separate"/>
        </w:r>
        <w:r>
          <w:rPr>
            <w:noProof/>
          </w:rPr>
          <w:t>1</w:t>
        </w:r>
        <w:r>
          <w:fldChar w:fldCharType="end"/>
        </w:r>
        <w:r>
          <w:t xml:space="preserve"> of </w:t>
        </w:r>
        <w:r>
          <w:rPr>
            <w:noProof/>
          </w:rPr>
          <w:t>114</w:t>
        </w:r>
      </w:sdtContent>
    </w:sdt>
    <w:r>
      <w:rPr>
        <w:noProof/>
      </w:rPr>
      <w:tab/>
    </w:r>
    <w:r>
      <w:rPr>
        <w:noProof/>
        <w:szCs w:val="16"/>
      </w:rPr>
      <w:t xml:space="preserve"> </w:t>
    </w:r>
    <w:r>
      <w:rPr>
        <w:noProof/>
        <w:szCs w:val="16"/>
        <w:highlight w:val="yellow"/>
      </w:rPr>
      <w:t>(#FacilityName#)</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80EFD" w:rsidRDefault="00E80EFD" w14:paraId="0788A1E4"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0A1282" w:rsidR="00E80EFD" w:rsidP="008A7DB1" w:rsidRDefault="00084FB7" w14:paraId="1E04181F" w14:textId="77777777">
    <w:pPr>
      <w:pStyle w:val="zGFooter"/>
      <w:tabs>
        <w:tab w:val="clear" w:pos="5040"/>
        <w:tab w:val="clear" w:pos="8630"/>
        <w:tab w:val="left" w:pos="4140"/>
        <w:tab w:val="center" w:pos="4590"/>
        <w:tab w:val="right" w:pos="9630"/>
      </w:tabs>
      <w:jc w:val="center"/>
      <w:rPr>
        <w:noProof/>
      </w:rPr>
    </w:pPr>
    <w:r>
      <w:t xml:space="preserve">32–33 All-Source RFP </w:t>
    </w:r>
    <w:sdt>
      <w:sdtPr>
        <w:id w:val="1010568815"/>
        <w:docPartObj>
          <w:docPartGallery w:val="Page Numbers (Bottom of Page)"/>
          <w:docPartUnique/>
        </w:docPartObj>
      </w:sdtPr>
      <w:sdtEndPr>
        <w:rPr>
          <w:noProof/>
        </w:rPr>
      </w:sdtEndPr>
      <w:sdtContent>
        <w:r>
          <w:t>Pro Forma CC PPA</w:t>
        </w:r>
        <w:r>
          <w:tab/>
        </w:r>
        <w:r>
          <w:tab/>
          <w:t xml:space="preserve">Page </w:t>
        </w:r>
        <w:r>
          <w:fldChar w:fldCharType="begin"/>
        </w:r>
        <w:r>
          <w:instrText xml:space="preserve"> PAGE </w:instrText>
        </w:r>
        <w:r>
          <w:fldChar w:fldCharType="separate"/>
        </w:r>
        <w:r>
          <w:rPr>
            <w:noProof/>
          </w:rPr>
          <w:t>1</w:t>
        </w:r>
        <w:r>
          <w:fldChar w:fldCharType="end"/>
        </w:r>
        <w:r>
          <w:t xml:space="preserve"> of </w:t>
        </w:r>
        <w:r>
          <w:rPr>
            <w:noProof/>
          </w:rPr>
          <w:t>114</w:t>
        </w:r>
      </w:sdtContent>
    </w:sdt>
    <w:r>
      <w:rPr>
        <w:noProof/>
      </w:rPr>
      <w:tab/>
    </w:r>
    <w:r>
      <w:rPr>
        <w:noProof/>
        <w:szCs w:val="16"/>
      </w:rPr>
      <w:t xml:space="preserve"> </w:t>
    </w:r>
    <w:r>
      <w:rPr>
        <w:noProof/>
        <w:szCs w:val="16"/>
        <w:highlight w:val="yellow"/>
      </w:rPr>
      <w:t>(#FacilityName#)</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0A1282" w:rsidR="00E80EFD" w:rsidP="008A7DB1" w:rsidRDefault="00084FB7" w14:paraId="72080804" w14:textId="77777777">
    <w:pPr>
      <w:pStyle w:val="zGFooter"/>
      <w:tabs>
        <w:tab w:val="clear" w:pos="5040"/>
        <w:tab w:val="clear" w:pos="8630"/>
        <w:tab w:val="left" w:pos="4140"/>
        <w:tab w:val="center" w:pos="4590"/>
        <w:tab w:val="right" w:pos="9630"/>
      </w:tabs>
      <w:jc w:val="center"/>
      <w:rPr>
        <w:noProof/>
      </w:rPr>
    </w:pPr>
    <w:r>
      <w:t xml:space="preserve">32–33 All-Source RFP </w:t>
    </w:r>
    <w:sdt>
      <w:sdtPr>
        <w:id w:val="1917894316"/>
        <w:docPartObj>
          <w:docPartGallery w:val="Page Numbers (Bottom of Page)"/>
          <w:docPartUnique/>
        </w:docPartObj>
      </w:sdtPr>
      <w:sdtEndPr>
        <w:rPr>
          <w:noProof/>
        </w:rPr>
      </w:sdtEndPr>
      <w:sdtContent>
        <w:r>
          <w:t>Pro Forma CC PPA</w:t>
        </w:r>
        <w:r>
          <w:tab/>
        </w:r>
        <w:r>
          <w:tab/>
          <w:t xml:space="preserve">Page </w:t>
        </w:r>
        <w:r>
          <w:fldChar w:fldCharType="begin"/>
        </w:r>
        <w:r>
          <w:instrText xml:space="preserve"> PAGE </w:instrText>
        </w:r>
        <w:r>
          <w:fldChar w:fldCharType="separate"/>
        </w:r>
        <w:r>
          <w:rPr>
            <w:noProof/>
          </w:rPr>
          <w:t>1</w:t>
        </w:r>
        <w:r>
          <w:fldChar w:fldCharType="end"/>
        </w:r>
        <w:r>
          <w:t xml:space="preserve"> of </w:t>
        </w:r>
        <w:r>
          <w:rPr>
            <w:noProof/>
          </w:rPr>
          <w:t>114</w:t>
        </w:r>
      </w:sdtContent>
    </w:sdt>
    <w:r>
      <w:rPr>
        <w:noProof/>
      </w:rPr>
      <w:tab/>
    </w:r>
    <w:r>
      <w:rPr>
        <w:noProof/>
        <w:szCs w:val="16"/>
      </w:rPr>
      <w:t xml:space="preserve"> </w:t>
    </w:r>
    <w:r>
      <w:rPr>
        <w:noProof/>
        <w:szCs w:val="16"/>
        <w:highlight w:val="yellow"/>
      </w:rPr>
      <w:t>(#FacilityName#)</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0A1282" w:rsidR="00E80EFD" w:rsidP="008A7DB1" w:rsidRDefault="00084FB7" w14:paraId="129AC19E" w14:textId="77777777">
    <w:pPr>
      <w:pStyle w:val="zGFooter"/>
      <w:tabs>
        <w:tab w:val="clear" w:pos="5040"/>
        <w:tab w:val="clear" w:pos="8630"/>
        <w:tab w:val="left" w:pos="4140"/>
        <w:tab w:val="center" w:pos="4590"/>
        <w:tab w:val="right" w:pos="9630"/>
      </w:tabs>
      <w:jc w:val="center"/>
      <w:rPr>
        <w:noProof/>
      </w:rPr>
    </w:pPr>
    <w:r>
      <w:t xml:space="preserve">32–33 All-Source RFP </w:t>
    </w:r>
    <w:sdt>
      <w:sdtPr>
        <w:id w:val="-1408994162"/>
        <w:docPartObj>
          <w:docPartGallery w:val="Page Numbers (Bottom of Page)"/>
          <w:docPartUnique/>
        </w:docPartObj>
      </w:sdtPr>
      <w:sdtEndPr>
        <w:rPr>
          <w:noProof/>
        </w:rPr>
      </w:sdtEndPr>
      <w:sdtContent>
        <w:r>
          <w:t>Pro Forma CC PPA</w:t>
        </w:r>
        <w:r>
          <w:tab/>
        </w:r>
        <w:r>
          <w:tab/>
          <w:t xml:space="preserve">Page </w:t>
        </w:r>
        <w:r>
          <w:fldChar w:fldCharType="begin"/>
        </w:r>
        <w:r>
          <w:instrText xml:space="preserve"> PAGE </w:instrText>
        </w:r>
        <w:r>
          <w:fldChar w:fldCharType="separate"/>
        </w:r>
        <w:r>
          <w:rPr>
            <w:noProof/>
          </w:rPr>
          <w:t>1</w:t>
        </w:r>
        <w:r>
          <w:fldChar w:fldCharType="end"/>
        </w:r>
        <w:r>
          <w:t xml:space="preserve"> of </w:t>
        </w:r>
        <w:r>
          <w:rPr>
            <w:noProof/>
          </w:rPr>
          <w:t>114</w:t>
        </w:r>
      </w:sdtContent>
    </w:sdt>
    <w:r>
      <w:rPr>
        <w:noProof/>
      </w:rPr>
      <w:tab/>
    </w:r>
    <w:r>
      <w:rPr>
        <w:noProof/>
        <w:szCs w:val="16"/>
      </w:rPr>
      <w:t xml:space="preserve"> </w:t>
    </w:r>
    <w:r>
      <w:rPr>
        <w:noProof/>
        <w:szCs w:val="16"/>
        <w:highlight w:val="yellow"/>
      </w:rPr>
      <w:t>(#FacilityName#)</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0A1282" w:rsidR="00E80EFD" w:rsidP="008A7DB1" w:rsidRDefault="00084FB7" w14:paraId="67ABFCC8" w14:textId="77777777">
    <w:pPr>
      <w:pStyle w:val="zGFooter"/>
      <w:tabs>
        <w:tab w:val="clear" w:pos="5040"/>
        <w:tab w:val="clear" w:pos="8630"/>
        <w:tab w:val="left" w:pos="4140"/>
        <w:tab w:val="center" w:pos="4590"/>
        <w:tab w:val="right" w:pos="9630"/>
      </w:tabs>
      <w:jc w:val="center"/>
      <w:rPr>
        <w:noProof/>
      </w:rPr>
    </w:pPr>
    <w:r>
      <w:t xml:space="preserve">32–33 All-Source RFP </w:t>
    </w:r>
    <w:sdt>
      <w:sdtPr>
        <w:id w:val="-1743097126"/>
        <w:docPartObj>
          <w:docPartGallery w:val="Page Numbers (Bottom of Page)"/>
          <w:docPartUnique/>
        </w:docPartObj>
      </w:sdtPr>
      <w:sdtEndPr>
        <w:rPr>
          <w:noProof/>
        </w:rPr>
      </w:sdtEndPr>
      <w:sdtContent>
        <w:r>
          <w:t>Pro Forma CC PPA</w:t>
        </w:r>
        <w:r>
          <w:tab/>
        </w:r>
        <w:r>
          <w:tab/>
          <w:t xml:space="preserve">Page </w:t>
        </w:r>
        <w:r>
          <w:fldChar w:fldCharType="begin"/>
        </w:r>
        <w:r>
          <w:instrText xml:space="preserve"> PAGE </w:instrText>
        </w:r>
        <w:r>
          <w:fldChar w:fldCharType="separate"/>
        </w:r>
        <w:r>
          <w:rPr>
            <w:noProof/>
          </w:rPr>
          <w:t>1</w:t>
        </w:r>
        <w:r>
          <w:fldChar w:fldCharType="end"/>
        </w:r>
        <w:r>
          <w:t xml:space="preserve"> of </w:t>
        </w:r>
        <w:r>
          <w:rPr>
            <w:noProof/>
          </w:rPr>
          <w:t>114</w:t>
        </w:r>
      </w:sdtContent>
    </w:sdt>
    <w:r>
      <w:rPr>
        <w:noProof/>
      </w:rPr>
      <w:tab/>
    </w:r>
    <w:r>
      <w:rPr>
        <w:noProof/>
        <w:szCs w:val="16"/>
      </w:rPr>
      <w:t xml:space="preserve"> </w:t>
    </w:r>
    <w:r>
      <w:rPr>
        <w:noProof/>
        <w:szCs w:val="16"/>
        <w:highlight w:val="yellow"/>
      </w:rPr>
      <w:t>(#FacilityName#)</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0A1282" w:rsidR="00E80EFD" w:rsidP="008A7DB1" w:rsidRDefault="00084FB7" w14:paraId="6F51F98D" w14:textId="77777777">
    <w:pPr>
      <w:pStyle w:val="zGFooter"/>
      <w:tabs>
        <w:tab w:val="clear" w:pos="5040"/>
        <w:tab w:val="clear" w:pos="8630"/>
        <w:tab w:val="left" w:pos="4140"/>
        <w:tab w:val="center" w:pos="4590"/>
        <w:tab w:val="right" w:pos="9630"/>
      </w:tabs>
      <w:jc w:val="center"/>
      <w:rPr>
        <w:noProof/>
      </w:rPr>
    </w:pPr>
    <w:r>
      <w:t xml:space="preserve">32–33 All-Source RFP </w:t>
    </w:r>
    <w:sdt>
      <w:sdtPr>
        <w:id w:val="1841198670"/>
        <w:docPartObj>
          <w:docPartGallery w:val="Page Numbers (Bottom of Page)"/>
          <w:docPartUnique/>
        </w:docPartObj>
      </w:sdtPr>
      <w:sdtEndPr>
        <w:rPr>
          <w:noProof/>
        </w:rPr>
      </w:sdtEndPr>
      <w:sdtContent>
        <w:r>
          <w:t>Pro Forma CC PPA</w:t>
        </w:r>
        <w:r>
          <w:tab/>
        </w:r>
        <w:r>
          <w:tab/>
          <w:t xml:space="preserve">Page </w:t>
        </w:r>
        <w:r>
          <w:fldChar w:fldCharType="begin"/>
        </w:r>
        <w:r>
          <w:instrText xml:space="preserve"> PAGE </w:instrText>
        </w:r>
        <w:r>
          <w:fldChar w:fldCharType="separate"/>
        </w:r>
        <w:r>
          <w:rPr>
            <w:noProof/>
          </w:rPr>
          <w:t>1</w:t>
        </w:r>
        <w:r>
          <w:fldChar w:fldCharType="end"/>
        </w:r>
        <w:r>
          <w:t xml:space="preserve"> of </w:t>
        </w:r>
        <w:r>
          <w:rPr>
            <w:noProof/>
          </w:rPr>
          <w:t>114</w:t>
        </w:r>
      </w:sdtContent>
    </w:sdt>
    <w:r>
      <w:rPr>
        <w:noProof/>
      </w:rPr>
      <w:tab/>
    </w:r>
    <w:r>
      <w:rPr>
        <w:noProof/>
        <w:szCs w:val="16"/>
      </w:rPr>
      <w:t xml:space="preserve"> </w:t>
    </w:r>
    <w:r>
      <w:rPr>
        <w:noProof/>
        <w:szCs w:val="16"/>
        <w:highlight w:val="yellow"/>
      </w:rPr>
      <w:t>(#FacilityName#)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Pr="008A3653" w:rsidR="006307BA" w:rsidP="008A3653" w:rsidRDefault="006307BA" w14:paraId="25E0278A" w14:textId="77777777">
      <w:pPr>
        <w:pStyle w:val="Footer"/>
      </w:pPr>
    </w:p>
    <w:p w:rsidR="006307BA" w:rsidRDefault="006307BA" w14:paraId="23598D96" w14:textId="77777777"/>
  </w:footnote>
  <w:footnote w:type="continuationSeparator" w:id="0">
    <w:p w:rsidR="006307BA" w:rsidP="00441786" w:rsidRDefault="006307BA" w14:paraId="41EA7FF0" w14:textId="77777777">
      <w:r>
        <w:continuationSeparator/>
      </w:r>
    </w:p>
    <w:p w:rsidR="006307BA" w:rsidRDefault="006307BA" w14:paraId="5C3AED48" w14:textId="77777777"/>
  </w:footnote>
  <w:footnote w:type="continuationNotice" w:id="1">
    <w:p w:rsidR="006307BA" w:rsidRDefault="006307BA" w14:paraId="35BF1736" w14:textId="77777777"/>
    <w:p w:rsidR="006307BA" w:rsidRDefault="006307BA" w14:paraId="7EEA457C" w14:textId="77777777"/>
  </w:footnote>
  <w:footnote w:id="2">
    <w:p w:rsidRPr="007E58B3" w:rsidR="00691E0D" w:rsidP="00691E0D" w:rsidRDefault="00691E0D" w14:paraId="3A33FB67" w14:textId="4C957484">
      <w:pPr>
        <w:pStyle w:val="FootnoteText"/>
        <w:rPr>
          <w:rFonts w:cs="Arial"/>
          <w:sz w:val="20"/>
        </w:rPr>
      </w:pPr>
      <w:r>
        <w:rPr>
          <w:rStyle w:val="FootnoteReference"/>
          <w:rFonts w:cs="Arial"/>
          <w:sz w:val="20"/>
        </w:rPr>
        <w:footnoteRef/>
      </w:r>
      <w:r>
        <w:rPr>
          <w:rFonts w:cs="Arial"/>
          <w:sz w:val="20"/>
        </w:rPr>
        <w:t xml:space="preserve"> Without limiting any other PPA requirement, as a condition to achieving each Key Milestone on or before the Key Milestone Date, Seller must provide evidence satisfactory to GPC demonstrating that </w:t>
      </w:r>
      <w:r w:rsidR="004C51D1">
        <w:rPr>
          <w:rFonts w:cs="Arial"/>
          <w:sz w:val="20"/>
        </w:rPr>
        <w:t xml:space="preserve">each </w:t>
      </w:r>
      <w:r>
        <w:rPr>
          <w:rFonts w:cs="Arial"/>
          <w:sz w:val="20"/>
        </w:rPr>
        <w:t xml:space="preserve">Key Milestone </w:t>
      </w:r>
      <w:r w:rsidR="004C51D1">
        <w:rPr>
          <w:rFonts w:cs="Arial"/>
          <w:sz w:val="20"/>
        </w:rPr>
        <w:t xml:space="preserve">was achieved </w:t>
      </w:r>
      <w:r>
        <w:rPr>
          <w:rFonts w:cs="Arial"/>
          <w:sz w:val="20"/>
        </w:rPr>
        <w:t xml:space="preserve">by the Key Milestone Date, including the items described in this table. </w:t>
      </w:r>
    </w:p>
  </w:footnote>
  <w:footnote w:id="3">
    <w:p w:rsidRPr="00B24831" w:rsidR="00817A5D" w:rsidP="00817A5D" w:rsidRDefault="00817A5D" w14:paraId="4B5349CB" w14:textId="77777777">
      <w:pPr>
        <w:pStyle w:val="CommentText"/>
        <w:spacing w:line="0" w:lineRule="atLeast"/>
        <w:rPr>
          <w:rFonts w:cs="Arial"/>
          <w:sz w:val="20"/>
        </w:rPr>
      </w:pPr>
      <w:r>
        <w:rPr>
          <w:rStyle w:val="FootnoteReference"/>
          <w:rFonts w:cs="Arial"/>
          <w:sz w:val="20"/>
        </w:rPr>
        <w:footnoteRef/>
      </w:r>
      <w:r>
        <w:rPr>
          <w:rFonts w:cs="Arial"/>
          <w:sz w:val="20"/>
        </w:rPr>
        <w:t xml:space="preserve"> If Seller’s business structure does not designate an officer with this or a similar title, Seller must provide written documentation affirming the authority of the individual who attests to this certification.</w:t>
      </w:r>
    </w:p>
    <w:p w:rsidRPr="00B24831" w:rsidR="00817A5D" w:rsidP="00817A5D" w:rsidRDefault="00817A5D" w14:paraId="5542DCCB" w14:textId="77777777">
      <w:pPr>
        <w:pStyle w:val="FootnoteText"/>
        <w:rPr>
          <w:rFonts w:cs="Arial"/>
          <w:sz w:val="20"/>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80EFD" w:rsidRDefault="00E80EFD" w14:paraId="7AFC709A" w14:textId="77777777">
    <w:pPr>
      <w:tabs>
        <w:tab w:val="right" w:pos="9360"/>
      </w:tabs>
      <w:jc w:val="right"/>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D4BD9" w:rsidP="00C92A3E" w:rsidRDefault="006D4BD9" w14:paraId="0A46AE57" w14:textId="77777777">
    <w:pPr>
      <w:pStyle w:val="Header"/>
      <w:spacing w:before="0" w:after="0"/>
      <w:rPr>
        <w:rFonts w:cs="Arial"/>
        <w:bCs/>
        <w:iCs/>
      </w:rPr>
    </w:pPr>
    <w:r>
      <w:rPr>
        <w:rFonts w:cs="Arial"/>
        <w:bCs/>
        <w:iCs/>
      </w:rPr>
      <w:t>32-33 All-Source RFP</w:t>
    </w:r>
  </w:p>
  <w:p w:rsidRPr="00B74BD0" w:rsidR="00C92A3E" w:rsidP="00C92A3E" w:rsidRDefault="00C92A3E" w14:paraId="549AFF5E" w14:textId="77777777">
    <w:pPr>
      <w:pStyle w:val="Header"/>
      <w:spacing w:before="0" w:after="0"/>
      <w:rPr>
        <w:rFonts w:cs="Arial"/>
        <w:bCs/>
        <w:iCs/>
        <w:caps/>
      </w:rPr>
    </w:pPr>
    <w:r>
      <w:rPr>
        <w:rFonts w:cs="Arial"/>
        <w:bCs/>
        <w:iCs/>
      </w:rPr>
      <w:t>Pro Forma PPA (Combined Cycle)</w:t>
    </w:r>
  </w:p>
  <w:p w:rsidR="00E80EFD" w:rsidP="000D711F" w:rsidRDefault="00956FC7" w14:paraId="13BABF6F" w14:textId="50B462AC">
    <w:pPr>
      <w:keepLines/>
      <w:tabs>
        <w:tab w:val="center" w:pos="4320"/>
        <w:tab w:val="left" w:pos="8360"/>
      </w:tabs>
      <w:spacing w:before="0" w:after="0"/>
      <w:jc w:val="right"/>
      <w:rPr>
        <w:b/>
        <w:i/>
        <w:color w:val="FF0000"/>
      </w:rPr>
    </w:pPr>
    <w:r>
      <w:rPr>
        <w:b/>
        <w:i/>
        <w:color w:val="FF0000"/>
      </w:rPr>
      <w:t>Filing Draft</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D4BD9" w:rsidP="00C92A3E" w:rsidRDefault="006D4BD9" w14:paraId="0CB3E3AE" w14:textId="77777777">
    <w:pPr>
      <w:pStyle w:val="Header"/>
      <w:spacing w:before="0" w:after="0"/>
      <w:rPr>
        <w:rFonts w:cs="Arial"/>
        <w:bCs/>
        <w:iCs/>
      </w:rPr>
    </w:pPr>
    <w:r>
      <w:rPr>
        <w:rFonts w:cs="Arial"/>
        <w:bCs/>
        <w:iCs/>
      </w:rPr>
      <w:t>32-33 All-Source RFP</w:t>
    </w:r>
  </w:p>
  <w:p w:rsidRPr="00B74BD0" w:rsidR="00C92A3E" w:rsidP="00C92A3E" w:rsidRDefault="00C92A3E" w14:paraId="6C325343" w14:textId="77777777">
    <w:pPr>
      <w:pStyle w:val="Header"/>
      <w:spacing w:before="0" w:after="0"/>
      <w:rPr>
        <w:rFonts w:cs="Arial"/>
        <w:bCs/>
        <w:iCs/>
        <w:caps/>
      </w:rPr>
    </w:pPr>
    <w:r>
      <w:rPr>
        <w:rFonts w:cs="Arial"/>
        <w:bCs/>
        <w:iCs/>
      </w:rPr>
      <w:t>Pro Forma PPA (Combined Cycle)</w:t>
    </w:r>
  </w:p>
  <w:p w:rsidR="00E80EFD" w:rsidP="000D711F" w:rsidRDefault="00956FC7" w14:paraId="66590CB8" w14:textId="51EB497E">
    <w:pPr>
      <w:keepLines/>
      <w:tabs>
        <w:tab w:val="center" w:pos="4320"/>
        <w:tab w:val="left" w:pos="8360"/>
      </w:tabs>
      <w:spacing w:before="0" w:after="0"/>
      <w:jc w:val="right"/>
      <w:rPr>
        <w:b/>
        <w:i/>
        <w:color w:val="FF0000"/>
      </w:rPr>
    </w:pPr>
    <w:r>
      <w:rPr>
        <w:b/>
        <w:i/>
        <w:color w:val="FF0000"/>
      </w:rPr>
      <w:t>Filing Draft</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D4BD9" w:rsidP="00C92A3E" w:rsidRDefault="006D4BD9" w14:paraId="1DC49461" w14:textId="77777777">
    <w:pPr>
      <w:pStyle w:val="Header"/>
      <w:spacing w:before="0" w:after="0"/>
      <w:rPr>
        <w:rFonts w:cs="Arial"/>
        <w:bCs/>
        <w:iCs/>
      </w:rPr>
    </w:pPr>
    <w:r>
      <w:rPr>
        <w:rFonts w:cs="Arial"/>
        <w:bCs/>
        <w:iCs/>
      </w:rPr>
      <w:t>32-33 All-Source RFP</w:t>
    </w:r>
  </w:p>
  <w:p w:rsidRPr="00B74BD0" w:rsidR="00C92A3E" w:rsidP="00C92A3E" w:rsidRDefault="00C92A3E" w14:paraId="197CFD92" w14:textId="77777777">
    <w:pPr>
      <w:pStyle w:val="Header"/>
      <w:spacing w:before="0" w:after="0"/>
      <w:rPr>
        <w:rFonts w:cs="Arial"/>
        <w:bCs/>
        <w:iCs/>
        <w:caps/>
      </w:rPr>
    </w:pPr>
    <w:r>
      <w:rPr>
        <w:rFonts w:cs="Arial"/>
        <w:bCs/>
        <w:iCs/>
      </w:rPr>
      <w:t>Pro Forma PPA (Combined Cycle)</w:t>
    </w:r>
  </w:p>
  <w:p w:rsidRPr="00C92A3E" w:rsidR="0041630A" w:rsidP="00C92A3E" w:rsidRDefault="00956FC7" w14:paraId="6B188395" w14:textId="3E309807">
    <w:pPr>
      <w:pStyle w:val="zGNormal"/>
      <w:jc w:val="right"/>
      <w:rPr>
        <w:b/>
        <w:bCs/>
        <w:i/>
        <w:iCs/>
        <w:color w:val="FF0000"/>
      </w:rPr>
    </w:pPr>
    <w:r>
      <w:rPr>
        <w:b/>
        <w:bCs/>
        <w:i/>
        <w:iCs/>
        <w:color w:val="FF0000"/>
      </w:rPr>
      <w:t>Filing Draft</w:t>
    </w:r>
  </w:p>
  <w:p w:rsidR="00E80EFD" w:rsidP="000D711F" w:rsidRDefault="00E80EFD" w14:paraId="267CD827" w14:textId="77777777">
    <w:pPr>
      <w:keepLines/>
      <w:tabs>
        <w:tab w:val="center" w:pos="4320"/>
        <w:tab w:val="left" w:pos="8360"/>
      </w:tabs>
      <w:spacing w:before="0" w:after="0"/>
      <w:jc w:val="right"/>
      <w:rPr>
        <w:b/>
        <w:i/>
        <w:color w:val="FF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D4BD9" w:rsidP="00C92A3E" w:rsidRDefault="006D4BD9" w14:paraId="200A2EEA" w14:textId="77777777">
    <w:pPr>
      <w:pStyle w:val="Header"/>
      <w:spacing w:before="0" w:after="0"/>
      <w:rPr>
        <w:rFonts w:cs="Arial"/>
        <w:bCs/>
        <w:iCs/>
      </w:rPr>
    </w:pPr>
    <w:r>
      <w:rPr>
        <w:rFonts w:cs="Arial"/>
        <w:bCs/>
        <w:iCs/>
      </w:rPr>
      <w:t>32-33 All-Source RFP</w:t>
    </w:r>
  </w:p>
  <w:p w:rsidRPr="00B74BD0" w:rsidR="00C92A3E" w:rsidP="00C92A3E" w:rsidRDefault="00C92A3E" w14:paraId="41B68A38" w14:textId="77777777">
    <w:pPr>
      <w:pStyle w:val="Header"/>
      <w:spacing w:before="0" w:after="0"/>
      <w:rPr>
        <w:rFonts w:cs="Arial"/>
        <w:bCs/>
        <w:iCs/>
        <w:caps/>
      </w:rPr>
    </w:pPr>
    <w:r>
      <w:rPr>
        <w:rFonts w:cs="Arial"/>
        <w:bCs/>
        <w:iCs/>
      </w:rPr>
      <w:t>Pro Forma PPA (Combined Cycle)</w:t>
    </w:r>
  </w:p>
  <w:p w:rsidRPr="00C92A3E" w:rsidR="0041630A" w:rsidP="00C92A3E" w:rsidRDefault="00956FC7" w14:paraId="12E15D90" w14:textId="63930D43">
    <w:pPr>
      <w:pStyle w:val="zGNormal"/>
      <w:jc w:val="right"/>
      <w:rPr>
        <w:b/>
        <w:bCs/>
        <w:i/>
        <w:iCs/>
        <w:color w:val="FF0000"/>
      </w:rPr>
    </w:pPr>
    <w:r>
      <w:rPr>
        <w:b/>
        <w:bCs/>
        <w:i/>
        <w:iCs/>
        <w:color w:val="FF0000"/>
      </w:rPr>
      <w:t>Filing Draft</w:t>
    </w:r>
  </w:p>
  <w:p w:rsidR="00E80EFD" w:rsidP="000D711F" w:rsidRDefault="00E80EFD" w14:paraId="6ACF2145" w14:textId="77777777">
    <w:pPr>
      <w:keepLines/>
      <w:tabs>
        <w:tab w:val="center" w:pos="4320"/>
        <w:tab w:val="left" w:pos="8360"/>
      </w:tabs>
      <w:spacing w:before="0" w:after="0"/>
      <w:jc w:val="right"/>
      <w:rPr>
        <w:b/>
        <w:i/>
        <w:color w:val="FF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D4BD9" w:rsidP="00C92A3E" w:rsidRDefault="006D4BD9" w14:paraId="5BB89CB0" w14:textId="77777777">
    <w:pPr>
      <w:pStyle w:val="Header"/>
      <w:spacing w:before="0" w:after="0"/>
      <w:rPr>
        <w:rFonts w:cs="Arial"/>
        <w:bCs/>
        <w:iCs/>
      </w:rPr>
    </w:pPr>
    <w:r>
      <w:rPr>
        <w:rFonts w:cs="Arial"/>
        <w:bCs/>
        <w:iCs/>
      </w:rPr>
      <w:t>32-33 All-Source RFP</w:t>
    </w:r>
  </w:p>
  <w:p w:rsidRPr="00B74BD0" w:rsidR="00C92A3E" w:rsidP="00C92A3E" w:rsidRDefault="00C92A3E" w14:paraId="546004DF" w14:textId="77777777">
    <w:pPr>
      <w:pStyle w:val="Header"/>
      <w:spacing w:before="0" w:after="0"/>
      <w:rPr>
        <w:rFonts w:cs="Arial"/>
        <w:bCs/>
        <w:iCs/>
        <w:caps/>
      </w:rPr>
    </w:pPr>
    <w:r>
      <w:rPr>
        <w:rFonts w:cs="Arial"/>
        <w:bCs/>
        <w:iCs/>
      </w:rPr>
      <w:t>Pro Forma PPA (Combined Cycle)</w:t>
    </w:r>
  </w:p>
  <w:p w:rsidR="00E80EFD" w:rsidP="000D711F" w:rsidRDefault="00956FC7" w14:paraId="786289BE" w14:textId="020D1B94">
    <w:pPr>
      <w:keepLines/>
      <w:tabs>
        <w:tab w:val="center" w:pos="4320"/>
        <w:tab w:val="left" w:pos="8360"/>
      </w:tabs>
      <w:spacing w:before="0" w:after="0"/>
      <w:jc w:val="right"/>
      <w:rPr>
        <w:b/>
        <w:i/>
        <w:color w:val="FF0000"/>
      </w:rPr>
    </w:pPr>
    <w:r>
      <w:rPr>
        <w:b/>
        <w:bCs/>
        <w:i/>
        <w:iCs/>
        <w:color w:val="FF0000"/>
      </w:rPr>
      <w:t>Filing Draft</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D4BD9" w:rsidP="00C92A3E" w:rsidRDefault="006D4BD9" w14:paraId="58304B29" w14:textId="77777777">
    <w:pPr>
      <w:pStyle w:val="Header"/>
      <w:spacing w:before="0" w:after="0"/>
      <w:rPr>
        <w:rFonts w:cs="Arial"/>
        <w:bCs/>
        <w:iCs/>
      </w:rPr>
    </w:pPr>
    <w:r>
      <w:rPr>
        <w:rFonts w:cs="Arial"/>
        <w:bCs/>
        <w:iCs/>
      </w:rPr>
      <w:t>32-33 All-Source RFP</w:t>
    </w:r>
  </w:p>
  <w:p w:rsidRPr="00B74BD0" w:rsidR="00C92A3E" w:rsidP="00C92A3E" w:rsidRDefault="00C92A3E" w14:paraId="4FC03BC9" w14:textId="77777777">
    <w:pPr>
      <w:pStyle w:val="Header"/>
      <w:spacing w:before="0" w:after="0"/>
      <w:rPr>
        <w:rFonts w:cs="Arial"/>
        <w:bCs/>
        <w:iCs/>
        <w:caps/>
      </w:rPr>
    </w:pPr>
    <w:r>
      <w:rPr>
        <w:rFonts w:cs="Arial"/>
        <w:bCs/>
        <w:iCs/>
      </w:rPr>
      <w:t>Pro Forma PPA (Combined Cycle)</w:t>
    </w:r>
  </w:p>
  <w:p w:rsidR="00E80EFD" w:rsidP="00956FC7" w:rsidRDefault="00956FC7" w14:paraId="69761053" w14:textId="664FDD3A">
    <w:pPr>
      <w:keepLines/>
      <w:tabs>
        <w:tab w:val="center" w:pos="4320"/>
        <w:tab w:val="left" w:pos="8360"/>
      </w:tabs>
      <w:spacing w:before="0" w:after="0"/>
      <w:rPr>
        <w:b/>
        <w:i/>
        <w:color w:val="FF0000"/>
      </w:rPr>
    </w:pPr>
    <w:r>
      <w:rPr>
        <w:b/>
        <w:bCs/>
        <w:i/>
        <w:iCs/>
        <w:color w:val="FF0000"/>
      </w:rPr>
      <w:t>Filing Draft</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D4BD9" w:rsidP="00C92A3E" w:rsidRDefault="006D4BD9" w14:paraId="0E41311F" w14:textId="77777777">
    <w:pPr>
      <w:pStyle w:val="Header"/>
      <w:spacing w:before="0" w:after="0"/>
      <w:rPr>
        <w:rFonts w:cs="Arial"/>
        <w:bCs/>
        <w:iCs/>
      </w:rPr>
    </w:pPr>
    <w:r>
      <w:rPr>
        <w:rFonts w:cs="Arial"/>
        <w:bCs/>
        <w:iCs/>
      </w:rPr>
      <w:t>32-33 All-Source RFP</w:t>
    </w:r>
  </w:p>
  <w:p w:rsidRPr="00B74BD0" w:rsidR="00C92A3E" w:rsidP="00C92A3E" w:rsidRDefault="00C92A3E" w14:paraId="76062C7B" w14:textId="77777777">
    <w:pPr>
      <w:pStyle w:val="Header"/>
      <w:spacing w:before="0" w:after="0"/>
      <w:rPr>
        <w:rFonts w:cs="Arial"/>
        <w:bCs/>
        <w:iCs/>
        <w:caps/>
      </w:rPr>
    </w:pPr>
    <w:r>
      <w:rPr>
        <w:rFonts w:cs="Arial"/>
        <w:bCs/>
        <w:iCs/>
      </w:rPr>
      <w:t>Pro Forma PPA (Combined Cycle)</w:t>
    </w:r>
  </w:p>
  <w:p w:rsidR="00E80EFD" w:rsidP="000D711F" w:rsidRDefault="00956FC7" w14:paraId="2A022D9E" w14:textId="08EDAB7A">
    <w:pPr>
      <w:keepLines/>
      <w:tabs>
        <w:tab w:val="center" w:pos="4320"/>
        <w:tab w:val="left" w:pos="8360"/>
      </w:tabs>
      <w:spacing w:before="0" w:after="0"/>
      <w:jc w:val="right"/>
      <w:rPr>
        <w:b/>
        <w:i/>
        <w:color w:val="FF0000"/>
      </w:rPr>
    </w:pPr>
    <w:r>
      <w:rPr>
        <w:b/>
        <w:i/>
        <w:color w:val="FF0000"/>
      </w:rPr>
      <w:t>Filing Draft</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D4BD9" w:rsidP="00C92A3E" w:rsidRDefault="006D4BD9" w14:paraId="699131BC" w14:textId="77777777">
    <w:pPr>
      <w:pStyle w:val="Header"/>
      <w:spacing w:before="0" w:after="0"/>
      <w:rPr>
        <w:rFonts w:cs="Arial"/>
        <w:bCs/>
        <w:iCs/>
      </w:rPr>
    </w:pPr>
    <w:r>
      <w:rPr>
        <w:rFonts w:cs="Arial"/>
        <w:bCs/>
        <w:iCs/>
      </w:rPr>
      <w:t>32-33 All-Source RFP</w:t>
    </w:r>
  </w:p>
  <w:p w:rsidRPr="00B74BD0" w:rsidR="00C92A3E" w:rsidP="00C92A3E" w:rsidRDefault="00C92A3E" w14:paraId="022DE712" w14:textId="77777777">
    <w:pPr>
      <w:pStyle w:val="Header"/>
      <w:spacing w:before="0" w:after="0"/>
      <w:rPr>
        <w:rFonts w:cs="Arial"/>
        <w:bCs/>
        <w:iCs/>
        <w:caps/>
      </w:rPr>
    </w:pPr>
    <w:r>
      <w:rPr>
        <w:rFonts w:cs="Arial"/>
        <w:bCs/>
        <w:iCs/>
      </w:rPr>
      <w:t>Pro Forma PPA (Combined Cycle)</w:t>
    </w:r>
  </w:p>
  <w:p w:rsidRPr="00C92A3E" w:rsidR="0041630A" w:rsidP="00C92A3E" w:rsidRDefault="00956FC7" w14:paraId="360654FD" w14:textId="086E9B9F">
    <w:pPr>
      <w:pStyle w:val="zGNormal"/>
      <w:jc w:val="right"/>
      <w:rPr>
        <w:b/>
        <w:bCs/>
        <w:i/>
        <w:iCs/>
        <w:color w:val="FF0000"/>
      </w:rPr>
    </w:pPr>
    <w:r>
      <w:rPr>
        <w:b/>
        <w:bCs/>
        <w:i/>
        <w:iCs/>
        <w:color w:val="FF0000"/>
      </w:rPr>
      <w:t>Filing Draft</w:t>
    </w:r>
  </w:p>
  <w:p w:rsidR="00E80EFD" w:rsidP="000D711F" w:rsidRDefault="00E80EFD" w14:paraId="2BF73146" w14:textId="77777777">
    <w:pPr>
      <w:keepLines/>
      <w:tabs>
        <w:tab w:val="center" w:pos="4320"/>
        <w:tab w:val="left" w:pos="8360"/>
      </w:tabs>
      <w:spacing w:before="0" w:after="0"/>
      <w:jc w:val="right"/>
      <w:rPr>
        <w:b/>
        <w:i/>
        <w:color w:val="FF0000"/>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D4BD9" w:rsidP="00C92A3E" w:rsidRDefault="006D4BD9" w14:paraId="2C9C81D4" w14:textId="77777777">
    <w:pPr>
      <w:pStyle w:val="Header"/>
      <w:spacing w:before="0" w:after="0"/>
      <w:rPr>
        <w:rFonts w:cs="Arial"/>
        <w:bCs/>
        <w:iCs/>
      </w:rPr>
    </w:pPr>
    <w:r>
      <w:rPr>
        <w:rFonts w:cs="Arial"/>
        <w:bCs/>
        <w:iCs/>
      </w:rPr>
      <w:t>32-33 All-Source RFP</w:t>
    </w:r>
  </w:p>
  <w:p w:rsidRPr="00B74BD0" w:rsidR="00C92A3E" w:rsidP="00C92A3E" w:rsidRDefault="00C92A3E" w14:paraId="0B2D6AD9" w14:textId="77777777">
    <w:pPr>
      <w:pStyle w:val="Header"/>
      <w:spacing w:before="0" w:after="0"/>
      <w:rPr>
        <w:rFonts w:cs="Arial"/>
        <w:bCs/>
        <w:iCs/>
        <w:caps/>
      </w:rPr>
    </w:pPr>
    <w:r>
      <w:rPr>
        <w:rFonts w:cs="Arial"/>
        <w:bCs/>
        <w:iCs/>
      </w:rPr>
      <w:t>Pro Forma PPA (Combined Cycle)</w:t>
    </w:r>
  </w:p>
  <w:p w:rsidR="00E80EFD" w:rsidP="000D711F" w:rsidRDefault="00956FC7" w14:paraId="17F095A5" w14:textId="4C6571BE">
    <w:pPr>
      <w:keepLines/>
      <w:tabs>
        <w:tab w:val="center" w:pos="4320"/>
        <w:tab w:val="left" w:pos="8360"/>
      </w:tabs>
      <w:spacing w:before="0" w:after="0"/>
      <w:jc w:val="right"/>
      <w:rPr>
        <w:b/>
        <w:i/>
        <w:color w:val="FF0000"/>
      </w:rPr>
    </w:pPr>
    <w:r>
      <w:rPr>
        <w:b/>
        <w:i/>
        <w:color w:val="FF0000"/>
      </w:rPr>
      <w:t>Filing Draft</w: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02472" w:rsidRDefault="00702472" w14:paraId="1A839216"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D4BD9" w:rsidP="00C92A3E" w:rsidRDefault="006D4BD9" w14:paraId="4FCEEBE7" w14:textId="1A26FB8F">
    <w:pPr>
      <w:pStyle w:val="Header"/>
      <w:spacing w:before="0" w:after="0"/>
      <w:rPr>
        <w:rFonts w:cs="Arial"/>
        <w:bCs/>
        <w:iCs/>
      </w:rPr>
    </w:pPr>
    <w:bookmarkStart w:name="_Hlk147396789" w:id="0"/>
    <w:bookmarkStart w:name="_Hlk143275271" w:id="1"/>
    <w:bookmarkStart w:name="_Hlk143275272" w:id="2"/>
    <w:bookmarkStart w:name="_Hlk143275273" w:id="3"/>
    <w:bookmarkStart w:name="_Hlk143275274" w:id="4"/>
    <w:bookmarkStart w:name="_Hlk143275275" w:id="5"/>
    <w:bookmarkStart w:name="_Hlk143275276" w:id="6"/>
    <w:bookmarkStart w:name="_Hlk143275277" w:id="7"/>
    <w:bookmarkStart w:name="_Hlk143275278" w:id="8"/>
    <w:bookmarkStart w:name="_Hlk143275279" w:id="9"/>
    <w:bookmarkStart w:name="_Hlk143275280" w:id="10"/>
    <w:bookmarkStart w:name="_Hlk143275281" w:id="11"/>
    <w:bookmarkStart w:name="_Hlk143275282" w:id="12"/>
    <w:bookmarkStart w:name="_Hlk143275283" w:id="13"/>
    <w:bookmarkStart w:name="_Hlk143275284" w:id="14"/>
    <w:bookmarkStart w:name="_Hlk143275285" w:id="15"/>
    <w:bookmarkStart w:name="_Hlk143275286" w:id="16"/>
    <w:r>
      <w:rPr>
        <w:rFonts w:cs="Arial"/>
        <w:bCs/>
        <w:iCs/>
      </w:rPr>
      <w:t>32-33 All-Source RFP</w:t>
    </w:r>
  </w:p>
  <w:p w:rsidRPr="00B74BD0" w:rsidR="00C92A3E" w:rsidP="00C92A3E" w:rsidRDefault="00C92A3E" w14:paraId="5EC9C8D2" w14:textId="38487CC7">
    <w:pPr>
      <w:pStyle w:val="Header"/>
      <w:spacing w:before="0" w:after="0"/>
      <w:rPr>
        <w:rFonts w:cs="Arial"/>
        <w:bCs/>
        <w:iCs/>
        <w:caps/>
      </w:rPr>
    </w:pPr>
    <w:r>
      <w:rPr>
        <w:rFonts w:cs="Arial"/>
        <w:bCs/>
        <w:iCs/>
      </w:rPr>
      <w:t>Pro Forma PPA (Combined Cycle)</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rsidRPr="00C92A3E" w:rsidR="0041630A" w:rsidP="1F310540" w:rsidRDefault="00FF1B43" w14:paraId="5DFA2CA1" w14:textId="7753FFF4">
    <w:pPr>
      <w:pStyle w:val="zGNormal"/>
      <w:jc w:val="right"/>
      <w:rPr>
        <w:b/>
        <w:bCs/>
        <w:i/>
        <w:iCs/>
        <w:color w:val="FF0000"/>
      </w:rPr>
    </w:pPr>
    <w:r>
      <w:rPr>
        <w:b/>
        <w:bCs/>
        <w:i/>
        <w:iCs/>
        <w:color w:val="FF0000"/>
      </w:rPr>
      <w:t>Filing Draft</w: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D4BD9" w:rsidP="00C92A3E" w:rsidRDefault="006D4BD9" w14:paraId="640C0E04" w14:textId="77777777">
    <w:pPr>
      <w:pStyle w:val="Header"/>
      <w:spacing w:before="0" w:after="0"/>
      <w:rPr>
        <w:rFonts w:cs="Arial"/>
        <w:bCs/>
        <w:iCs/>
      </w:rPr>
    </w:pPr>
    <w:r>
      <w:rPr>
        <w:rFonts w:cs="Arial"/>
        <w:bCs/>
        <w:iCs/>
      </w:rPr>
      <w:t>32-33 All-Source RFP</w:t>
    </w:r>
  </w:p>
  <w:p w:rsidRPr="00B74BD0" w:rsidR="00C92A3E" w:rsidP="00C92A3E" w:rsidRDefault="00C92A3E" w14:paraId="3D82A098" w14:textId="77777777">
    <w:pPr>
      <w:pStyle w:val="Header"/>
      <w:spacing w:before="0" w:after="0"/>
      <w:rPr>
        <w:rFonts w:cs="Arial"/>
        <w:bCs/>
        <w:iCs/>
        <w:caps/>
      </w:rPr>
    </w:pPr>
    <w:r>
      <w:rPr>
        <w:rFonts w:cs="Arial"/>
        <w:bCs/>
        <w:iCs/>
      </w:rPr>
      <w:t>Pro Forma PPA (Combined Cycle)</w:t>
    </w:r>
  </w:p>
  <w:p w:rsidR="00E80EFD" w:rsidP="000D711F" w:rsidRDefault="00956FC7" w14:paraId="5E2E5BC1" w14:textId="5DFD99C4">
    <w:pPr>
      <w:keepLines/>
      <w:tabs>
        <w:tab w:val="center" w:pos="4320"/>
        <w:tab w:val="left" w:pos="8360"/>
      </w:tabs>
      <w:spacing w:before="0" w:after="0"/>
      <w:jc w:val="right"/>
      <w:rPr>
        <w:b/>
        <w:i/>
        <w:color w:val="FF0000"/>
      </w:rPr>
    </w:pPr>
    <w:r>
      <w:rPr>
        <w:b/>
        <w:i/>
        <w:color w:val="FF0000"/>
      </w:rPr>
      <w:t>Filing Draft</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D4BD9" w:rsidP="00C92A3E" w:rsidRDefault="006D4BD9" w14:paraId="52A36690" w14:textId="77777777">
    <w:pPr>
      <w:pStyle w:val="Header"/>
      <w:spacing w:before="0" w:after="0"/>
      <w:rPr>
        <w:rFonts w:cs="Arial"/>
        <w:bCs/>
        <w:iCs/>
      </w:rPr>
    </w:pPr>
    <w:r>
      <w:rPr>
        <w:rFonts w:cs="Arial"/>
        <w:bCs/>
        <w:iCs/>
      </w:rPr>
      <w:t>32-33 All-Source RFP</w:t>
    </w:r>
  </w:p>
  <w:p w:rsidRPr="00B74BD0" w:rsidR="00C92A3E" w:rsidP="00C92A3E" w:rsidRDefault="00C92A3E" w14:paraId="61A27628" w14:textId="77777777">
    <w:pPr>
      <w:pStyle w:val="Header"/>
      <w:spacing w:before="0" w:after="0"/>
      <w:rPr>
        <w:rFonts w:cs="Arial"/>
        <w:bCs/>
        <w:iCs/>
        <w:caps/>
      </w:rPr>
    </w:pPr>
    <w:r>
      <w:rPr>
        <w:rFonts w:cs="Arial"/>
        <w:bCs/>
        <w:iCs/>
      </w:rPr>
      <w:t>Pro Forma PPA (Combined Cycle)</w:t>
    </w:r>
  </w:p>
  <w:p w:rsidRPr="00C92A3E" w:rsidR="0041630A" w:rsidP="00C92A3E" w:rsidRDefault="003470B2" w14:paraId="309BC030" w14:textId="77777777">
    <w:pPr>
      <w:pStyle w:val="zGNormal"/>
      <w:jc w:val="right"/>
      <w:rPr>
        <w:b/>
        <w:bCs/>
        <w:i/>
        <w:iCs/>
        <w:color w:val="FF0000"/>
      </w:rPr>
    </w:pPr>
    <w:r>
      <w:rPr>
        <w:b/>
        <w:bCs/>
        <w:i/>
        <w:iCs/>
        <w:color w:val="FF0000"/>
      </w:rPr>
      <w:t>Comment Period Draft</w:t>
    </w:r>
  </w:p>
  <w:p w:rsidR="00E80EFD" w:rsidP="000D711F" w:rsidRDefault="00E80EFD" w14:paraId="6228BB3D" w14:textId="77777777">
    <w:pPr>
      <w:keepLines/>
      <w:tabs>
        <w:tab w:val="center" w:pos="4320"/>
        <w:tab w:val="left" w:pos="8360"/>
      </w:tabs>
      <w:spacing w:before="0" w:after="0"/>
      <w:jc w:val="right"/>
      <w:rPr>
        <w:b/>
        <w:i/>
        <w:color w:val="FF0000"/>
      </w:rP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D4BD9" w:rsidP="00C92A3E" w:rsidRDefault="006D4BD9" w14:paraId="29E88FB8" w14:textId="77777777">
    <w:pPr>
      <w:pStyle w:val="Header"/>
      <w:spacing w:before="0" w:after="0"/>
      <w:rPr>
        <w:rFonts w:cs="Arial"/>
        <w:bCs/>
        <w:iCs/>
      </w:rPr>
    </w:pPr>
    <w:r>
      <w:rPr>
        <w:rFonts w:cs="Arial"/>
        <w:bCs/>
        <w:iCs/>
      </w:rPr>
      <w:t>32-33 All-Source RFP</w:t>
    </w:r>
  </w:p>
  <w:p w:rsidRPr="00B74BD0" w:rsidR="00C92A3E" w:rsidP="00C92A3E" w:rsidRDefault="00C92A3E" w14:paraId="59DE4E26" w14:textId="77777777">
    <w:pPr>
      <w:pStyle w:val="Header"/>
      <w:spacing w:before="0" w:after="0"/>
      <w:rPr>
        <w:rFonts w:cs="Arial"/>
        <w:bCs/>
        <w:iCs/>
        <w:caps/>
      </w:rPr>
    </w:pPr>
    <w:r>
      <w:rPr>
        <w:rFonts w:cs="Arial"/>
        <w:bCs/>
        <w:iCs/>
      </w:rPr>
      <w:t>Pro Forma PPA (Combined Cycle)</w:t>
    </w:r>
  </w:p>
  <w:p w:rsidR="00E80EFD" w:rsidP="000D711F" w:rsidRDefault="00956FC7" w14:paraId="144615DD" w14:textId="3475B6ED">
    <w:pPr>
      <w:keepLines/>
      <w:tabs>
        <w:tab w:val="center" w:pos="4320"/>
        <w:tab w:val="left" w:pos="8360"/>
      </w:tabs>
      <w:spacing w:before="0" w:after="0"/>
      <w:jc w:val="right"/>
      <w:rPr>
        <w:b/>
        <w:i/>
        <w:color w:val="FF0000"/>
      </w:rPr>
    </w:pPr>
    <w:r>
      <w:rPr>
        <w:b/>
        <w:i/>
        <w:color w:val="FF0000"/>
      </w:rPr>
      <w:t>Filing Draft</w: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D4BD9" w:rsidP="00C92A3E" w:rsidRDefault="006D4BD9" w14:paraId="438D8CCB" w14:textId="77777777">
    <w:pPr>
      <w:pStyle w:val="Header"/>
      <w:spacing w:before="0" w:after="0"/>
      <w:rPr>
        <w:rFonts w:cs="Arial"/>
        <w:bCs/>
        <w:iCs/>
      </w:rPr>
    </w:pPr>
    <w:r>
      <w:rPr>
        <w:rFonts w:cs="Arial"/>
        <w:bCs/>
        <w:iCs/>
      </w:rPr>
      <w:t>32-33 All-Source RFP</w:t>
    </w:r>
  </w:p>
  <w:p w:rsidRPr="00B74BD0" w:rsidR="00C92A3E" w:rsidP="00C92A3E" w:rsidRDefault="00C92A3E" w14:paraId="285F0DE1" w14:textId="77777777">
    <w:pPr>
      <w:pStyle w:val="Header"/>
      <w:spacing w:before="0" w:after="0"/>
      <w:rPr>
        <w:rFonts w:cs="Arial"/>
        <w:bCs/>
        <w:iCs/>
        <w:caps/>
      </w:rPr>
    </w:pPr>
    <w:r>
      <w:rPr>
        <w:rFonts w:cs="Arial"/>
        <w:bCs/>
        <w:iCs/>
      </w:rPr>
      <w:t>Pro Forma PPA (Combined Cycle)</w:t>
    </w:r>
  </w:p>
  <w:p w:rsidRPr="00C92A3E" w:rsidR="0041630A" w:rsidP="00C92A3E" w:rsidRDefault="00956FC7" w14:paraId="61A44B2D" w14:textId="10C8B5E5">
    <w:pPr>
      <w:pStyle w:val="zGNormal"/>
      <w:jc w:val="right"/>
      <w:rPr>
        <w:b/>
        <w:bCs/>
        <w:i/>
        <w:iCs/>
        <w:color w:val="FF0000"/>
      </w:rPr>
    </w:pPr>
    <w:r>
      <w:rPr>
        <w:b/>
        <w:bCs/>
        <w:i/>
        <w:iCs/>
        <w:color w:val="FF0000"/>
      </w:rPr>
      <w:t>Filing Draft</w:t>
    </w:r>
  </w:p>
  <w:p w:rsidR="00E80EFD" w:rsidP="000D711F" w:rsidRDefault="00E80EFD" w14:paraId="76E4E066" w14:textId="77777777">
    <w:pPr>
      <w:keepLines/>
      <w:tabs>
        <w:tab w:val="center" w:pos="4320"/>
        <w:tab w:val="left" w:pos="8360"/>
      </w:tabs>
      <w:spacing w:before="0" w:after="0"/>
      <w:jc w:val="right"/>
      <w:rPr>
        <w:b/>
        <w:i/>
        <w:color w:val="FF0000"/>
      </w:rP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D4BD9" w:rsidP="00C92A3E" w:rsidRDefault="006D4BD9" w14:paraId="5A0BFCCA" w14:textId="77777777">
    <w:pPr>
      <w:pStyle w:val="Header"/>
      <w:spacing w:before="0" w:after="0"/>
      <w:rPr>
        <w:rFonts w:cs="Arial"/>
        <w:bCs/>
        <w:iCs/>
      </w:rPr>
    </w:pPr>
    <w:r>
      <w:rPr>
        <w:rFonts w:cs="Arial"/>
        <w:bCs/>
        <w:iCs/>
      </w:rPr>
      <w:t>32-33 All-Source RFP</w:t>
    </w:r>
  </w:p>
  <w:p w:rsidRPr="00B74BD0" w:rsidR="00C92A3E" w:rsidP="00C92A3E" w:rsidRDefault="00C92A3E" w14:paraId="18EDC2E7" w14:textId="77777777">
    <w:pPr>
      <w:pStyle w:val="Header"/>
      <w:spacing w:before="0" w:after="0"/>
      <w:rPr>
        <w:rFonts w:cs="Arial"/>
        <w:bCs/>
        <w:iCs/>
        <w:caps/>
      </w:rPr>
    </w:pPr>
    <w:r>
      <w:rPr>
        <w:rFonts w:cs="Arial"/>
        <w:bCs/>
        <w:iCs/>
      </w:rPr>
      <w:t>Pro Forma PPA (Combined Cycle)</w:t>
    </w:r>
  </w:p>
  <w:p w:rsidR="00E80EFD" w:rsidP="000D711F" w:rsidRDefault="00956FC7" w14:paraId="5B4AC713" w14:textId="562105FD">
    <w:pPr>
      <w:keepLines/>
      <w:tabs>
        <w:tab w:val="center" w:pos="4320"/>
        <w:tab w:val="left" w:pos="8360"/>
      </w:tabs>
      <w:spacing w:before="0" w:after="0"/>
      <w:jc w:val="right"/>
      <w:rPr>
        <w:b/>
        <w:i/>
        <w:color w:val="FF0000"/>
      </w:rPr>
    </w:pPr>
    <w:r>
      <w:rPr>
        <w:b/>
        <w:i/>
        <w:color w:val="FF0000"/>
      </w:rPr>
      <w:t>Filing Draft</w: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D4BD9" w:rsidP="00C92A3E" w:rsidRDefault="006D4BD9" w14:paraId="6CDE764A" w14:textId="77777777">
    <w:pPr>
      <w:pStyle w:val="Header"/>
      <w:spacing w:before="0" w:after="0"/>
      <w:rPr>
        <w:rFonts w:cs="Arial"/>
        <w:bCs/>
        <w:iCs/>
      </w:rPr>
    </w:pPr>
    <w:r>
      <w:rPr>
        <w:rFonts w:cs="Arial"/>
        <w:bCs/>
        <w:iCs/>
      </w:rPr>
      <w:t>32-33 All-Source RFP</w:t>
    </w:r>
  </w:p>
  <w:p w:rsidRPr="00B74BD0" w:rsidR="00C92A3E" w:rsidP="00C92A3E" w:rsidRDefault="00C92A3E" w14:paraId="2D6CEDE5" w14:textId="77777777">
    <w:pPr>
      <w:pStyle w:val="Header"/>
      <w:spacing w:before="0" w:after="0"/>
      <w:rPr>
        <w:rFonts w:cs="Arial"/>
        <w:bCs/>
        <w:iCs/>
        <w:caps/>
      </w:rPr>
    </w:pPr>
    <w:r>
      <w:rPr>
        <w:rFonts w:cs="Arial"/>
        <w:bCs/>
        <w:iCs/>
      </w:rPr>
      <w:t>Pro Forma PPA (Combined Cycle)</w:t>
    </w:r>
  </w:p>
  <w:p w:rsidR="00E80EFD" w:rsidP="000D711F" w:rsidRDefault="00956FC7" w14:paraId="60576383" w14:textId="783C5D8D">
    <w:pPr>
      <w:keepLines/>
      <w:tabs>
        <w:tab w:val="center" w:pos="4320"/>
        <w:tab w:val="left" w:pos="8360"/>
      </w:tabs>
      <w:spacing w:before="0" w:after="0"/>
      <w:jc w:val="right"/>
      <w:rPr>
        <w:b/>
        <w:i/>
        <w:color w:val="FF0000"/>
      </w:rPr>
    </w:pPr>
    <w:r>
      <w:rPr>
        <w:b/>
        <w:i/>
        <w:color w:val="FF0000"/>
      </w:rPr>
      <w:t>Filing Draft</w: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828F5" w:rsidP="00C92DD5" w:rsidRDefault="00F828F5" w14:paraId="2F359C20" w14:textId="77777777">
    <w:pPr>
      <w:pStyle w:val="Header"/>
      <w:spacing w:before="0" w:after="0"/>
      <w:rPr>
        <w:rFonts w:cs="Arial"/>
        <w:bCs/>
        <w:iCs/>
      </w:rPr>
    </w:pPr>
    <w:r>
      <w:rPr>
        <w:rFonts w:cs="Arial"/>
        <w:bCs/>
        <w:iCs/>
      </w:rPr>
      <w:t>32-33 All-Source RFP</w:t>
    </w:r>
  </w:p>
  <w:p w:rsidRPr="00B74BD0" w:rsidR="00F828F5" w:rsidP="00C92DD5" w:rsidRDefault="00F828F5" w14:paraId="36B333B8" w14:textId="77777777">
    <w:pPr>
      <w:pStyle w:val="Header"/>
      <w:spacing w:before="0" w:after="0"/>
      <w:rPr>
        <w:rFonts w:cs="Arial"/>
        <w:bCs/>
        <w:iCs/>
        <w:caps/>
      </w:rPr>
    </w:pPr>
    <w:r>
      <w:rPr>
        <w:rFonts w:cs="Arial"/>
        <w:bCs/>
        <w:iCs/>
      </w:rPr>
      <w:t>Pro Forma PPA (Combined Cycle)</w:t>
    </w:r>
  </w:p>
  <w:p w:rsidR="006D0802" w:rsidP="00C92DD5" w:rsidRDefault="00956FC7" w14:paraId="0A57D1D7" w14:textId="77A76650">
    <w:pPr>
      <w:spacing w:before="0" w:after="0"/>
      <w:jc w:val="right"/>
      <w:rPr>
        <w:sz w:val="24"/>
      </w:rPr>
    </w:pPr>
    <w:r w:rsidRPr="00C92DD5">
      <w:rPr>
        <w:b/>
        <w:bCs/>
        <w:i/>
        <w:iCs/>
        <w:color w:val="EE0000"/>
      </w:rPr>
      <w:t>Filing Draft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D4BD9" w:rsidP="00C92A3E" w:rsidRDefault="006D4BD9" w14:paraId="51B392BC" w14:textId="77777777">
    <w:pPr>
      <w:pStyle w:val="Header"/>
      <w:spacing w:before="0" w:after="0"/>
      <w:rPr>
        <w:rFonts w:cs="Arial"/>
        <w:bCs/>
        <w:iCs/>
      </w:rPr>
    </w:pPr>
    <w:r>
      <w:rPr>
        <w:rFonts w:cs="Arial"/>
        <w:bCs/>
        <w:iCs/>
      </w:rPr>
      <w:t>32-33 All-Source RFP</w:t>
    </w:r>
  </w:p>
  <w:p w:rsidRPr="00B74BD0" w:rsidR="00C92A3E" w:rsidP="00C92A3E" w:rsidRDefault="00C92A3E" w14:paraId="71111754" w14:textId="77777777">
    <w:pPr>
      <w:pStyle w:val="Header"/>
      <w:spacing w:before="0" w:after="0"/>
      <w:rPr>
        <w:rFonts w:cs="Arial"/>
        <w:bCs/>
        <w:iCs/>
        <w:caps/>
      </w:rPr>
    </w:pPr>
    <w:r>
      <w:rPr>
        <w:rFonts w:cs="Arial"/>
        <w:bCs/>
        <w:iCs/>
      </w:rPr>
      <w:t>Pro Forma PPA (Combined Cycle)</w:t>
    </w:r>
  </w:p>
  <w:p w:rsidRPr="00C92A3E" w:rsidR="0041630A" w:rsidP="00C92A3E" w:rsidRDefault="003470B2" w14:paraId="37B8D3F9" w14:textId="77777777">
    <w:pPr>
      <w:pStyle w:val="zGNormal"/>
      <w:jc w:val="right"/>
      <w:rPr>
        <w:b/>
        <w:bCs/>
        <w:i/>
        <w:iCs/>
        <w:color w:val="FF0000"/>
      </w:rPr>
    </w:pPr>
    <w:r>
      <w:rPr>
        <w:b/>
        <w:bCs/>
        <w:i/>
        <w:iCs/>
        <w:color w:val="FF0000"/>
      </w:rPr>
      <w:t>Comment Period Draft</w:t>
    </w:r>
  </w:p>
  <w:p w:rsidR="00E80EFD" w:rsidP="000D711F" w:rsidRDefault="00E80EFD" w14:paraId="48A8C502" w14:textId="77777777">
    <w:pPr>
      <w:keepLines/>
      <w:tabs>
        <w:tab w:val="center" w:pos="4320"/>
        <w:tab w:val="left" w:pos="8360"/>
      </w:tabs>
      <w:spacing w:before="0" w:after="0"/>
      <w:jc w:val="right"/>
      <w:rPr>
        <w:b/>
        <w:i/>
        <w:color w:val="FF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80EFD" w:rsidRDefault="00E80EFD" w14:paraId="799A01B5"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D4BD9" w:rsidP="00C92A3E" w:rsidRDefault="006D4BD9" w14:paraId="340EDD84" w14:textId="77777777">
    <w:pPr>
      <w:pStyle w:val="Header"/>
      <w:spacing w:before="0" w:after="0"/>
      <w:rPr>
        <w:rFonts w:cs="Arial"/>
        <w:bCs/>
        <w:iCs/>
      </w:rPr>
    </w:pPr>
    <w:r>
      <w:rPr>
        <w:rFonts w:cs="Arial"/>
        <w:bCs/>
        <w:iCs/>
      </w:rPr>
      <w:t>32-33 All-Source RFP</w:t>
    </w:r>
  </w:p>
  <w:p w:rsidRPr="00B74BD0" w:rsidR="00C92A3E" w:rsidP="00C92A3E" w:rsidRDefault="00C92A3E" w14:paraId="3954D73D" w14:textId="77777777">
    <w:pPr>
      <w:pStyle w:val="Header"/>
      <w:spacing w:before="0" w:after="0"/>
      <w:rPr>
        <w:rFonts w:cs="Arial"/>
        <w:bCs/>
        <w:iCs/>
        <w:caps/>
      </w:rPr>
    </w:pPr>
    <w:r>
      <w:rPr>
        <w:rFonts w:cs="Arial"/>
        <w:bCs/>
        <w:iCs/>
      </w:rPr>
      <w:t>Pro Forma PPA (Combined Cycle)</w:t>
    </w:r>
  </w:p>
  <w:p w:rsidR="00E80EFD" w:rsidP="000D711F" w:rsidRDefault="00956FC7" w14:paraId="4183CFCC" w14:textId="722941DD">
    <w:pPr>
      <w:keepLines/>
      <w:tabs>
        <w:tab w:val="center" w:pos="4320"/>
        <w:tab w:val="left" w:pos="8360"/>
      </w:tabs>
      <w:spacing w:before="0" w:after="0"/>
      <w:jc w:val="right"/>
      <w:rPr>
        <w:b/>
        <w:i/>
        <w:color w:val="FF0000"/>
      </w:rPr>
    </w:pPr>
    <w:r>
      <w:rPr>
        <w:b/>
        <w:i/>
        <w:color w:val="FF0000"/>
      </w:rPr>
      <w:t>Filing Draft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D4BD9" w:rsidP="00C92A3E" w:rsidRDefault="006D4BD9" w14:paraId="3D09A9A3" w14:textId="77777777">
    <w:pPr>
      <w:pStyle w:val="Header"/>
      <w:spacing w:before="0" w:after="0"/>
      <w:rPr>
        <w:rFonts w:cs="Arial"/>
        <w:bCs/>
        <w:iCs/>
      </w:rPr>
    </w:pPr>
    <w:r>
      <w:rPr>
        <w:rFonts w:cs="Arial"/>
        <w:bCs/>
        <w:iCs/>
      </w:rPr>
      <w:t>32-33 All-Source RFP</w:t>
    </w:r>
  </w:p>
  <w:p w:rsidRPr="00B74BD0" w:rsidR="00C92A3E" w:rsidP="00C92A3E" w:rsidRDefault="00C92A3E" w14:paraId="36BDADC7" w14:textId="77777777">
    <w:pPr>
      <w:pStyle w:val="Header"/>
      <w:spacing w:before="0" w:after="0"/>
      <w:rPr>
        <w:rFonts w:cs="Arial"/>
        <w:bCs/>
        <w:iCs/>
        <w:caps/>
      </w:rPr>
    </w:pPr>
    <w:r>
      <w:rPr>
        <w:rFonts w:cs="Arial"/>
        <w:bCs/>
        <w:iCs/>
      </w:rPr>
      <w:t>Pro Forma PPA (Combined Cycle)</w:t>
    </w:r>
  </w:p>
  <w:p w:rsidR="00E80EFD" w:rsidP="000D711F" w:rsidRDefault="005D40B5" w14:paraId="658C7D59" w14:textId="37971E06">
    <w:pPr>
      <w:keepLines/>
      <w:tabs>
        <w:tab w:val="center" w:pos="4320"/>
        <w:tab w:val="left" w:pos="8360"/>
      </w:tabs>
      <w:spacing w:before="0" w:after="0"/>
      <w:jc w:val="right"/>
      <w:rPr>
        <w:b/>
        <w:i/>
        <w:color w:val="FF0000"/>
      </w:rPr>
    </w:pPr>
    <w:r>
      <w:rPr>
        <w:b/>
        <w:i/>
        <w:color w:val="FF0000"/>
      </w:rPr>
      <w:t>Filing Draft</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D4BD9" w:rsidP="00C92A3E" w:rsidRDefault="006D4BD9" w14:paraId="17B66E95" w14:textId="77777777">
    <w:pPr>
      <w:pStyle w:val="Header"/>
      <w:spacing w:before="0" w:after="0"/>
      <w:rPr>
        <w:rFonts w:cs="Arial"/>
        <w:bCs/>
        <w:iCs/>
      </w:rPr>
    </w:pPr>
    <w:r>
      <w:rPr>
        <w:rFonts w:cs="Arial"/>
        <w:bCs/>
        <w:iCs/>
      </w:rPr>
      <w:t>32-33 All-Source RFP</w:t>
    </w:r>
  </w:p>
  <w:p w:rsidRPr="00B74BD0" w:rsidR="00C92A3E" w:rsidP="00C92A3E" w:rsidRDefault="00C92A3E" w14:paraId="4CBD0672" w14:textId="77777777">
    <w:pPr>
      <w:pStyle w:val="Header"/>
      <w:spacing w:before="0" w:after="0"/>
      <w:rPr>
        <w:rFonts w:cs="Arial"/>
        <w:bCs/>
        <w:iCs/>
        <w:caps/>
      </w:rPr>
    </w:pPr>
    <w:r>
      <w:rPr>
        <w:rFonts w:cs="Arial"/>
        <w:bCs/>
        <w:iCs/>
      </w:rPr>
      <w:t>Pro Forma PPA (Combined Cycle)</w:t>
    </w:r>
  </w:p>
  <w:p w:rsidR="00E80EFD" w:rsidP="000D711F" w:rsidRDefault="007413A6" w14:paraId="2F8CE9AC" w14:textId="7DC01E93">
    <w:pPr>
      <w:keepLines/>
      <w:tabs>
        <w:tab w:val="center" w:pos="4320"/>
        <w:tab w:val="left" w:pos="8360"/>
      </w:tabs>
      <w:spacing w:before="0" w:after="0"/>
      <w:jc w:val="right"/>
      <w:rPr>
        <w:b/>
        <w:i/>
        <w:color w:val="FF0000"/>
      </w:rPr>
    </w:pPr>
    <w:r>
      <w:rPr>
        <w:b/>
        <w:i/>
        <w:color w:val="FF0000"/>
      </w:rPr>
      <w:t>Filing Draft</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D4BD9" w:rsidP="00C92A3E" w:rsidRDefault="006D4BD9" w14:paraId="5195F70C" w14:textId="77777777">
    <w:pPr>
      <w:pStyle w:val="Header"/>
      <w:spacing w:before="0" w:after="0"/>
      <w:rPr>
        <w:rFonts w:cs="Arial"/>
        <w:bCs/>
        <w:iCs/>
      </w:rPr>
    </w:pPr>
    <w:r>
      <w:rPr>
        <w:rFonts w:cs="Arial"/>
        <w:bCs/>
        <w:iCs/>
      </w:rPr>
      <w:t>32-33 All-Source RFP</w:t>
    </w:r>
  </w:p>
  <w:p w:rsidRPr="00B74BD0" w:rsidR="00C92A3E" w:rsidP="00C92A3E" w:rsidRDefault="00C92A3E" w14:paraId="01337176" w14:textId="77777777">
    <w:pPr>
      <w:pStyle w:val="Header"/>
      <w:spacing w:before="0" w:after="0"/>
      <w:rPr>
        <w:rFonts w:cs="Arial"/>
        <w:bCs/>
        <w:iCs/>
        <w:caps/>
      </w:rPr>
    </w:pPr>
    <w:r>
      <w:rPr>
        <w:rFonts w:cs="Arial"/>
        <w:bCs/>
        <w:iCs/>
      </w:rPr>
      <w:t>Pro Forma PPA (Combined Cycle)</w:t>
    </w:r>
  </w:p>
  <w:p w:rsidR="00E80EFD" w:rsidP="000D711F" w:rsidRDefault="00956FC7" w14:paraId="33AB4731" w14:textId="72B041FC">
    <w:pPr>
      <w:keepLines/>
      <w:tabs>
        <w:tab w:val="center" w:pos="4320"/>
        <w:tab w:val="left" w:pos="8360"/>
      </w:tabs>
      <w:spacing w:before="0" w:after="0"/>
      <w:jc w:val="right"/>
      <w:rPr>
        <w:b/>
        <w:i/>
        <w:color w:val="FF0000"/>
      </w:rPr>
    </w:pPr>
    <w:r>
      <w:rPr>
        <w:b/>
        <w:i/>
        <w:color w:val="FF0000"/>
      </w:rPr>
      <w:t>Filing Draft</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D4BD9" w:rsidP="00C92A3E" w:rsidRDefault="006D4BD9" w14:paraId="634D31D7" w14:textId="77777777">
    <w:pPr>
      <w:pStyle w:val="Header"/>
      <w:spacing w:before="0" w:after="0"/>
      <w:rPr>
        <w:rFonts w:cs="Arial"/>
        <w:bCs/>
        <w:iCs/>
      </w:rPr>
    </w:pPr>
    <w:r>
      <w:rPr>
        <w:rFonts w:cs="Arial"/>
        <w:bCs/>
        <w:iCs/>
      </w:rPr>
      <w:t>32-33 All-Source RFP</w:t>
    </w:r>
  </w:p>
  <w:p w:rsidRPr="00B74BD0" w:rsidR="00C92A3E" w:rsidP="00C92A3E" w:rsidRDefault="00C92A3E" w14:paraId="237DF234" w14:textId="77777777">
    <w:pPr>
      <w:pStyle w:val="Header"/>
      <w:spacing w:before="0" w:after="0"/>
      <w:rPr>
        <w:rFonts w:cs="Arial"/>
        <w:bCs/>
        <w:iCs/>
        <w:caps/>
      </w:rPr>
    </w:pPr>
    <w:r>
      <w:rPr>
        <w:rFonts w:cs="Arial"/>
        <w:bCs/>
        <w:iCs/>
      </w:rPr>
      <w:t>Pro Forma PPA (Combined Cycle)</w:t>
    </w:r>
  </w:p>
  <w:p w:rsidR="00E80EFD" w:rsidP="000D711F" w:rsidRDefault="00956FC7" w14:paraId="667F90C8" w14:textId="3D92981C">
    <w:pPr>
      <w:keepLines/>
      <w:tabs>
        <w:tab w:val="center" w:pos="4320"/>
        <w:tab w:val="left" w:pos="8360"/>
      </w:tabs>
      <w:spacing w:before="0" w:after="0"/>
      <w:jc w:val="right"/>
      <w:rPr>
        <w:b/>
        <w:i/>
        <w:color w:val="FF0000"/>
      </w:rPr>
    </w:pPr>
    <w:r>
      <w:rPr>
        <w:b/>
        <w:i/>
        <w:color w:val="FF0000"/>
      </w:rPr>
      <w:t>Filing Draft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46F6DBAA"/>
    <w:name w:val="Heading"/>
    <w:lvl w:ilvl="0">
      <w:start w:val="1"/>
      <w:numFmt w:val="bullet"/>
      <w:pStyle w:val="ListBullet3"/>
      <w:lvlText w:val="o"/>
      <w:lvlJc w:val="left"/>
      <w:pPr>
        <w:ind w:left="1440" w:hanging="360"/>
      </w:pPr>
      <w:rPr>
        <w:rFonts w:ascii="Courier New" w:hAnsi="Courier New" w:cs="Courier New" w:hint="default"/>
      </w:rPr>
    </w:lvl>
  </w:abstractNum>
  <w:abstractNum w:abstractNumId="1" w15:restartNumberingAfterBreak="0">
    <w:nsid w:val="FFFFFF83"/>
    <w:multiLevelType w:val="singleLevel"/>
    <w:tmpl w:val="B1E08A66"/>
    <w:name w:val="List Bullet 2"/>
    <w:lvl w:ilvl="0">
      <w:start w:val="1"/>
      <w:numFmt w:val="bullet"/>
      <w:pStyle w:val="ListBullet2"/>
      <w:lvlText w:val=""/>
      <w:lvlJc w:val="left"/>
      <w:pPr>
        <w:tabs>
          <w:tab w:val="num" w:pos="1440"/>
        </w:tabs>
        <w:ind w:left="1440" w:hanging="720"/>
      </w:pPr>
      <w:rPr>
        <w:rFonts w:ascii="Symbol" w:hAnsi="Symbol" w:hint="default"/>
      </w:rPr>
    </w:lvl>
  </w:abstractNum>
  <w:abstractNum w:abstractNumId="2" w15:restartNumberingAfterBreak="0">
    <w:nsid w:val="FFFFFF89"/>
    <w:multiLevelType w:val="singleLevel"/>
    <w:tmpl w:val="B906C314"/>
    <w:name w:val="List Bullet"/>
    <w:lvl w:ilvl="0">
      <w:start w:val="1"/>
      <w:numFmt w:val="bullet"/>
      <w:pStyle w:val="ListBullet"/>
      <w:lvlText w:val=""/>
      <w:lvlJc w:val="left"/>
      <w:pPr>
        <w:tabs>
          <w:tab w:val="num" w:pos="720"/>
        </w:tabs>
        <w:ind w:left="720" w:hanging="720"/>
      </w:pPr>
      <w:rPr>
        <w:rFonts w:ascii="Symbol" w:hAnsi="Symbol" w:hint="default"/>
      </w:rPr>
    </w:lvl>
  </w:abstractNum>
  <w:abstractNum w:abstractNumId="3" w15:restartNumberingAfterBreak="0">
    <w:nsid w:val="00000002"/>
    <w:multiLevelType w:val="multilevel"/>
    <w:tmpl w:val="8D64AA7A"/>
    <w:name w:val="zGListBullet"/>
    <w:lvl w:ilvl="0">
      <w:start w:val="1"/>
      <w:numFmt w:val="bullet"/>
      <w:pStyle w:val="zGListBullet"/>
      <w:lvlText w:val=""/>
      <w:lvlJc w:val="left"/>
      <w:pPr>
        <w:ind w:left="1440" w:hanging="360"/>
      </w:pPr>
      <w:rPr>
        <w:rFonts w:ascii="Wingdings" w:hAnsi="Wingdings"/>
        <w:b/>
        <w:i w:val="0"/>
        <w:color w:val="000000"/>
        <w:sz w:val="20"/>
      </w:rPr>
    </w:lvl>
    <w:lvl w:ilvl="1">
      <w:start w:val="1"/>
      <w:numFmt w:val="bullet"/>
      <w:lvlText w:val="o"/>
      <w:lvlJc w:val="left"/>
      <w:pPr>
        <w:ind w:left="2160" w:hanging="360"/>
      </w:pPr>
      <w:rPr>
        <w:rFonts w:ascii="Courier New" w:hAnsi="Courier New"/>
        <w:b/>
        <w:bCs/>
      </w:rPr>
    </w:lvl>
    <w:lvl w:ilvl="2">
      <w:start w:val="1"/>
      <w:numFmt w:val="bullet"/>
      <w:lvlText w:val=""/>
      <w:lvlJc w:val="left"/>
      <w:pPr>
        <w:ind w:left="2880" w:hanging="360"/>
      </w:pPr>
      <w:rPr>
        <w:rFonts w:ascii="Wingdings" w:hAnsi="Wingdings"/>
      </w:rPr>
    </w:lvl>
    <w:lvl w:ilvl="3">
      <w:start w:val="1"/>
      <w:numFmt w:val="bullet"/>
      <w:lvlText w:val=""/>
      <w:lvlJc w:val="left"/>
      <w:pPr>
        <w:ind w:left="3600" w:hanging="360"/>
      </w:pPr>
      <w:rPr>
        <w:rFonts w:ascii="Symbol" w:hAnsi="Symbol"/>
      </w:rPr>
    </w:lvl>
    <w:lvl w:ilvl="4">
      <w:start w:val="1"/>
      <w:numFmt w:val="bullet"/>
      <w:lvlText w:val="o"/>
      <w:lvlJc w:val="left"/>
      <w:pPr>
        <w:ind w:left="4320" w:hanging="360"/>
      </w:pPr>
      <w:rPr>
        <w:rFonts w:ascii="Courier New" w:hAnsi="Courier New"/>
      </w:rPr>
    </w:lvl>
    <w:lvl w:ilvl="5">
      <w:start w:val="1"/>
      <w:numFmt w:val="bullet"/>
      <w:lvlText w:val=""/>
      <w:lvlJc w:val="left"/>
      <w:pPr>
        <w:ind w:left="5040" w:hanging="360"/>
      </w:pPr>
      <w:rPr>
        <w:rFonts w:ascii="Wingdings" w:hAnsi="Wingdings"/>
      </w:rPr>
    </w:lvl>
    <w:lvl w:ilvl="6">
      <w:start w:val="1"/>
      <w:numFmt w:val="bullet"/>
      <w:lvlText w:val=""/>
      <w:lvlJc w:val="left"/>
      <w:pPr>
        <w:ind w:left="5760" w:hanging="360"/>
      </w:pPr>
      <w:rPr>
        <w:rFonts w:ascii="Symbol" w:hAnsi="Symbol"/>
      </w:rPr>
    </w:lvl>
    <w:lvl w:ilvl="7">
      <w:start w:val="1"/>
      <w:numFmt w:val="bullet"/>
      <w:lvlText w:val="o"/>
      <w:lvlJc w:val="left"/>
      <w:pPr>
        <w:ind w:left="6480" w:hanging="360"/>
      </w:pPr>
      <w:rPr>
        <w:rFonts w:ascii="Courier New" w:hAnsi="Courier New"/>
      </w:rPr>
    </w:lvl>
    <w:lvl w:ilvl="8">
      <w:start w:val="1"/>
      <w:numFmt w:val="bullet"/>
      <w:lvlText w:val=""/>
      <w:lvlJc w:val="left"/>
      <w:pPr>
        <w:ind w:left="7200" w:hanging="360"/>
      </w:pPr>
      <w:rPr>
        <w:rFonts w:ascii="Wingdings" w:hAnsi="Wingdings"/>
      </w:rPr>
    </w:lvl>
  </w:abstractNum>
  <w:abstractNum w:abstractNumId="4" w15:restartNumberingAfterBreak="0">
    <w:nsid w:val="00000005"/>
    <w:multiLevelType w:val="multilevel"/>
    <w:tmpl w:val="C422DFE8"/>
    <w:lvl w:ilvl="0">
      <w:start w:val="1"/>
      <w:numFmt w:val="decimal"/>
      <w:lvlText w:val="Part %1"/>
      <w:lvlJc w:val="left"/>
      <w:pPr>
        <w:tabs>
          <w:tab w:val="num" w:pos="936"/>
        </w:tabs>
        <w:ind w:left="936" w:hanging="936"/>
      </w:pPr>
      <w:rPr>
        <w:rFonts w:ascii="Arial" w:hAnsi="Arial"/>
        <w:b/>
        <w:i w:val="0"/>
        <w:caps/>
        <w:strike w:val="0"/>
        <w:dstrike w:val="0"/>
        <w:vanish w:val="0"/>
        <w:color w:val="000000"/>
        <w:sz w:val="20"/>
        <w:u w:val="none"/>
      </w:rPr>
    </w:lvl>
    <w:lvl w:ilvl="1">
      <w:start w:val="1"/>
      <w:numFmt w:val="decimal"/>
      <w:lvlText w:val="%1.%2"/>
      <w:lvlJc w:val="left"/>
      <w:pPr>
        <w:tabs>
          <w:tab w:val="num" w:pos="576"/>
        </w:tabs>
      </w:pPr>
      <w:rPr>
        <w:rFonts w:ascii="Arial" w:hAnsi="Arial"/>
        <w:b/>
        <w:i w:val="0"/>
        <w:caps/>
        <w:strike w:val="0"/>
        <w:dstrike w:val="0"/>
        <w:vanish w:val="0"/>
        <w:color w:val="000000"/>
        <w:sz w:val="20"/>
        <w:u w:val="none"/>
      </w:rPr>
    </w:lvl>
    <w:lvl w:ilvl="2">
      <w:start w:val="1"/>
      <w:numFmt w:val="upperLetter"/>
      <w:lvlText w:val="%3."/>
      <w:lvlJc w:val="left"/>
      <w:pPr>
        <w:tabs>
          <w:tab w:val="num" w:pos="576"/>
        </w:tabs>
        <w:ind w:left="259"/>
      </w:pPr>
      <w:rPr>
        <w:rFonts w:ascii="Arial" w:hAnsi="Arial"/>
        <w:b/>
        <w:i w:val="0"/>
        <w:caps w:val="0"/>
        <w:strike w:val="0"/>
        <w:dstrike w:val="0"/>
        <w:vanish w:val="0"/>
        <w:color w:val="000000"/>
        <w:sz w:val="20"/>
        <w:u w:val="none"/>
      </w:rPr>
    </w:lvl>
    <w:lvl w:ilvl="3">
      <w:start w:val="1"/>
      <w:numFmt w:val="lowerRoman"/>
      <w:lvlText w:val="(%4)"/>
      <w:lvlJc w:val="left"/>
      <w:pPr>
        <w:tabs>
          <w:tab w:val="num" w:pos="864"/>
        </w:tabs>
        <w:ind w:left="360"/>
      </w:pPr>
      <w:rPr>
        <w:rFonts w:ascii="Arial" w:hAnsi="Arial"/>
        <w:b/>
        <w:i w:val="0"/>
        <w:caps w:val="0"/>
        <w:strike w:val="0"/>
        <w:dstrike w:val="0"/>
        <w:vanish w:val="0"/>
        <w:color w:val="000000"/>
        <w:sz w:val="20"/>
        <w:u w:val="none"/>
      </w:rPr>
    </w:lvl>
    <w:lvl w:ilvl="4">
      <w:start w:val="1"/>
      <w:numFmt w:val="lowerLetter"/>
      <w:lvlText w:val="(%5)"/>
      <w:lvlJc w:val="left"/>
      <w:pPr>
        <w:tabs>
          <w:tab w:val="num" w:pos="1195"/>
        </w:tabs>
        <w:ind w:left="864"/>
      </w:pPr>
      <w:rPr>
        <w:rFonts w:ascii="Arial" w:hAnsi="Arial"/>
        <w:b/>
        <w:i w:val="0"/>
        <w:caps w:val="0"/>
        <w:strike w:val="0"/>
        <w:dstrike w:val="0"/>
        <w:vanish w:val="0"/>
        <w:color w:val="000000"/>
        <w:sz w:val="20"/>
        <w:u w:val="none"/>
      </w:rPr>
    </w:lvl>
    <w:lvl w:ilvl="5">
      <w:start w:val="1"/>
      <w:numFmt w:val="lowerRoman"/>
      <w:lvlText w:val="(%6)"/>
      <w:lvlJc w:val="left"/>
      <w:pPr>
        <w:ind w:left="2160" w:hanging="360"/>
      </w:pPr>
    </w:lvl>
    <w:lvl w:ilvl="6">
      <w:start w:val="1"/>
      <w:numFmt w:val="lowerRoman"/>
      <w:lvlText w:val="(%7)"/>
      <w:lvlJc w:val="left"/>
      <w:pPr>
        <w:ind w:left="2520" w:hanging="360"/>
      </w:pPr>
      <w:rPr>
        <w:rFonts w:ascii="Arial" w:eastAsia="Times New Roman"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0000006"/>
    <w:multiLevelType w:val="hybridMultilevel"/>
    <w:tmpl w:val="B86C81BE"/>
    <w:name w:val="zGListBullet2"/>
    <w:lvl w:ilvl="0" w:tplc="E90AECB0">
      <w:start w:val="1"/>
      <w:numFmt w:val="bullet"/>
      <w:pStyle w:val="zGListBullet2"/>
      <w:lvlText w:val="o"/>
      <w:lvlJc w:val="left"/>
      <w:pPr>
        <w:ind w:left="1440" w:hanging="360"/>
      </w:pPr>
      <w:rPr>
        <w:rFonts w:ascii="Courier New" w:hAnsi="Courier New"/>
      </w:rPr>
    </w:lvl>
    <w:lvl w:ilvl="1" w:tplc="E57A3F6E">
      <w:start w:val="1"/>
      <w:numFmt w:val="bullet"/>
      <w:lvlText w:val="o"/>
      <w:lvlJc w:val="left"/>
      <w:pPr>
        <w:ind w:left="1800" w:hanging="360"/>
      </w:pPr>
      <w:rPr>
        <w:rFonts w:ascii="Courier New" w:hAnsi="Courier New"/>
      </w:rPr>
    </w:lvl>
    <w:lvl w:ilvl="2" w:tplc="D9542C26">
      <w:start w:val="1"/>
      <w:numFmt w:val="bullet"/>
      <w:lvlText w:val=""/>
      <w:lvlJc w:val="left"/>
      <w:pPr>
        <w:ind w:left="2520" w:hanging="360"/>
      </w:pPr>
      <w:rPr>
        <w:rFonts w:ascii="Wingdings" w:hAnsi="Wingdings"/>
      </w:rPr>
    </w:lvl>
    <w:lvl w:ilvl="3" w:tplc="F708BA4E">
      <w:start w:val="1"/>
      <w:numFmt w:val="bullet"/>
      <w:lvlText w:val=""/>
      <w:lvlJc w:val="left"/>
      <w:pPr>
        <w:ind w:left="3240" w:hanging="360"/>
      </w:pPr>
      <w:rPr>
        <w:rFonts w:ascii="Symbol" w:hAnsi="Symbol"/>
      </w:rPr>
    </w:lvl>
    <w:lvl w:ilvl="4" w:tplc="C4CAEE9C">
      <w:start w:val="1"/>
      <w:numFmt w:val="bullet"/>
      <w:lvlText w:val="o"/>
      <w:lvlJc w:val="left"/>
      <w:pPr>
        <w:ind w:left="3960" w:hanging="360"/>
      </w:pPr>
      <w:rPr>
        <w:rFonts w:ascii="Courier New" w:hAnsi="Courier New"/>
      </w:rPr>
    </w:lvl>
    <w:lvl w:ilvl="5" w:tplc="82F4504E">
      <w:start w:val="1"/>
      <w:numFmt w:val="bullet"/>
      <w:lvlText w:val=""/>
      <w:lvlJc w:val="left"/>
      <w:pPr>
        <w:ind w:left="4680" w:hanging="360"/>
      </w:pPr>
      <w:rPr>
        <w:rFonts w:ascii="Wingdings" w:hAnsi="Wingdings"/>
      </w:rPr>
    </w:lvl>
    <w:lvl w:ilvl="6" w:tplc="3EB65E54">
      <w:start w:val="1"/>
      <w:numFmt w:val="bullet"/>
      <w:lvlText w:val=""/>
      <w:lvlJc w:val="left"/>
      <w:pPr>
        <w:ind w:left="5400" w:hanging="360"/>
      </w:pPr>
      <w:rPr>
        <w:rFonts w:ascii="Symbol" w:hAnsi="Symbol"/>
      </w:rPr>
    </w:lvl>
    <w:lvl w:ilvl="7" w:tplc="2ADC8BDC">
      <w:start w:val="1"/>
      <w:numFmt w:val="bullet"/>
      <w:lvlText w:val="o"/>
      <w:lvlJc w:val="left"/>
      <w:pPr>
        <w:ind w:left="6120" w:hanging="360"/>
      </w:pPr>
      <w:rPr>
        <w:rFonts w:ascii="Courier New" w:hAnsi="Courier New"/>
      </w:rPr>
    </w:lvl>
    <w:lvl w:ilvl="8" w:tplc="E086F630">
      <w:start w:val="1"/>
      <w:numFmt w:val="bullet"/>
      <w:lvlText w:val=""/>
      <w:lvlJc w:val="left"/>
      <w:pPr>
        <w:ind w:left="6840" w:hanging="360"/>
      </w:pPr>
      <w:rPr>
        <w:rFonts w:ascii="Wingdings" w:hAnsi="Wingdings"/>
      </w:rPr>
    </w:lvl>
  </w:abstractNum>
  <w:abstractNum w:abstractNumId="6" w15:restartNumberingAfterBreak="0">
    <w:nsid w:val="00000008"/>
    <w:multiLevelType w:val="multilevel"/>
    <w:tmpl w:val="15163078"/>
    <w:name w:val="zG01"/>
    <w:lvl w:ilvl="0">
      <w:start w:val="1"/>
      <w:numFmt w:val="decimal"/>
      <w:pStyle w:val="zG01"/>
      <w:lvlText w:val="Part %1"/>
      <w:lvlJc w:val="left"/>
      <w:pPr>
        <w:tabs>
          <w:tab w:val="num" w:pos="936"/>
        </w:tabs>
        <w:ind w:left="936" w:hanging="936"/>
      </w:pPr>
      <w:rPr>
        <w:rFonts w:ascii="Arial" w:hAnsi="Arial"/>
        <w:b/>
        <w:i w:val="0"/>
        <w:caps/>
        <w:strike w:val="0"/>
        <w:dstrike w:val="0"/>
        <w:vanish w:val="0"/>
        <w:color w:val="000000"/>
        <w:sz w:val="20"/>
        <w:u w:val="none"/>
      </w:rPr>
    </w:lvl>
    <w:lvl w:ilvl="1">
      <w:start w:val="1"/>
      <w:numFmt w:val="decimal"/>
      <w:pStyle w:val="zG02"/>
      <w:lvlText w:val="%1.%2"/>
      <w:lvlJc w:val="left"/>
      <w:pPr>
        <w:tabs>
          <w:tab w:val="num" w:pos="576"/>
        </w:tabs>
      </w:pPr>
      <w:rPr>
        <w:rFonts w:ascii="Arial" w:hAnsi="Arial"/>
        <w:b/>
        <w:i w:val="0"/>
        <w:caps/>
        <w:strike w:val="0"/>
        <w:dstrike w:val="0"/>
        <w:vanish w:val="0"/>
        <w:color w:val="000000"/>
        <w:sz w:val="20"/>
        <w:u w:val="none"/>
      </w:rPr>
    </w:lvl>
    <w:lvl w:ilvl="2">
      <w:start w:val="1"/>
      <w:numFmt w:val="upperLetter"/>
      <w:pStyle w:val="zG03"/>
      <w:lvlText w:val="%3."/>
      <w:lvlJc w:val="left"/>
      <w:pPr>
        <w:tabs>
          <w:tab w:val="num" w:pos="576"/>
        </w:tabs>
        <w:ind w:left="259"/>
      </w:pPr>
      <w:rPr>
        <w:rFonts w:ascii="Arial" w:hAnsi="Arial"/>
        <w:b/>
        <w:i w:val="0"/>
        <w:caps w:val="0"/>
        <w:strike w:val="0"/>
        <w:dstrike w:val="0"/>
        <w:vanish w:val="0"/>
        <w:color w:val="000000"/>
        <w:sz w:val="20"/>
        <w:u w:val="none"/>
      </w:rPr>
    </w:lvl>
    <w:lvl w:ilvl="3">
      <w:start w:val="1"/>
      <w:numFmt w:val="lowerRoman"/>
      <w:pStyle w:val="zG04"/>
      <w:lvlText w:val="(%4)"/>
      <w:lvlJc w:val="left"/>
      <w:pPr>
        <w:tabs>
          <w:tab w:val="num" w:pos="936"/>
        </w:tabs>
        <w:ind w:left="504"/>
      </w:pPr>
      <w:rPr>
        <w:b/>
        <w:i w:val="0"/>
        <w:caps w:val="0"/>
        <w:strike w:val="0"/>
        <w:dstrike w:val="0"/>
        <w:vanish w:val="0"/>
        <w:color w:val="000000"/>
        <w:sz w:val="20"/>
        <w:u w:val="none"/>
      </w:rPr>
    </w:lvl>
    <w:lvl w:ilvl="4">
      <w:start w:val="1"/>
      <w:numFmt w:val="lowerLetter"/>
      <w:pStyle w:val="zG05"/>
      <w:lvlText w:val="(%5)"/>
      <w:lvlJc w:val="left"/>
      <w:pPr>
        <w:tabs>
          <w:tab w:val="num" w:pos="1368"/>
        </w:tabs>
        <w:ind w:left="864"/>
      </w:pPr>
      <w:rPr>
        <w:rFonts w:ascii="Arial" w:hAnsi="Arial"/>
        <w:b/>
        <w:i w:val="0"/>
        <w:caps w:val="0"/>
        <w:strike w:val="0"/>
        <w:dstrike w:val="0"/>
        <w:vanish w:val="0"/>
        <w:color w:val="000000"/>
        <w:sz w:val="20"/>
        <w:u w:val="none"/>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0000010"/>
    <w:multiLevelType w:val="hybridMultilevel"/>
    <w:tmpl w:val="8D3495B2"/>
    <w:name w:val="zGListNum"/>
    <w:lvl w:ilvl="0" w:tplc="538E068A">
      <w:start w:val="1"/>
      <w:numFmt w:val="decimal"/>
      <w:pStyle w:val="zGListNum"/>
      <w:lvlText w:val="%1."/>
      <w:lvlJc w:val="left"/>
      <w:pPr>
        <w:tabs>
          <w:tab w:val="num" w:pos="360"/>
        </w:tabs>
        <w:ind w:left="360" w:hanging="360"/>
      </w:pPr>
      <w:rPr>
        <w:rFonts w:ascii="Arial" w:hAnsi="Arial" w:cs="Times New Roman"/>
        <w:b/>
        <w:i w:val="0"/>
        <w:caps w:val="0"/>
        <w:strike w:val="0"/>
        <w:dstrike w:val="0"/>
        <w:vanish w:val="0"/>
        <w:color w:val="000000"/>
        <w:sz w:val="20"/>
        <w:u w:val="none"/>
      </w:rPr>
    </w:lvl>
    <w:lvl w:ilvl="1" w:tplc="33D0FD12">
      <w:start w:val="1"/>
      <w:numFmt w:val="lowerLetter"/>
      <w:lvlText w:val="%2."/>
      <w:lvlJc w:val="left"/>
      <w:pPr>
        <w:tabs>
          <w:tab w:val="num" w:pos="1440"/>
        </w:tabs>
        <w:ind w:left="1440" w:hanging="360"/>
      </w:pPr>
      <w:rPr>
        <w:rFonts w:cs="Times New Roman"/>
      </w:rPr>
    </w:lvl>
    <w:lvl w:ilvl="2" w:tplc="674C6764">
      <w:start w:val="1"/>
      <w:numFmt w:val="lowerRoman"/>
      <w:lvlText w:val="%3."/>
      <w:lvlJc w:val="right"/>
      <w:pPr>
        <w:tabs>
          <w:tab w:val="num" w:pos="2160"/>
        </w:tabs>
        <w:ind w:left="2160" w:hanging="180"/>
      </w:pPr>
      <w:rPr>
        <w:rFonts w:cs="Times New Roman"/>
      </w:rPr>
    </w:lvl>
    <w:lvl w:ilvl="3" w:tplc="D53279E0">
      <w:start w:val="1"/>
      <w:numFmt w:val="decimal"/>
      <w:lvlText w:val="%4."/>
      <w:lvlJc w:val="left"/>
      <w:pPr>
        <w:tabs>
          <w:tab w:val="num" w:pos="2880"/>
        </w:tabs>
        <w:ind w:left="2880" w:hanging="360"/>
      </w:pPr>
      <w:rPr>
        <w:rFonts w:cs="Times New Roman"/>
      </w:rPr>
    </w:lvl>
    <w:lvl w:ilvl="4" w:tplc="FB604134">
      <w:start w:val="1"/>
      <w:numFmt w:val="lowerLetter"/>
      <w:lvlText w:val="%5."/>
      <w:lvlJc w:val="left"/>
      <w:pPr>
        <w:tabs>
          <w:tab w:val="num" w:pos="3600"/>
        </w:tabs>
        <w:ind w:left="3600" w:hanging="360"/>
      </w:pPr>
      <w:rPr>
        <w:rFonts w:cs="Times New Roman"/>
      </w:rPr>
    </w:lvl>
    <w:lvl w:ilvl="5" w:tplc="B2E4744E">
      <w:start w:val="1"/>
      <w:numFmt w:val="lowerRoman"/>
      <w:lvlText w:val="%6."/>
      <w:lvlJc w:val="right"/>
      <w:pPr>
        <w:tabs>
          <w:tab w:val="num" w:pos="4320"/>
        </w:tabs>
        <w:ind w:left="4320" w:hanging="180"/>
      </w:pPr>
      <w:rPr>
        <w:rFonts w:cs="Times New Roman"/>
      </w:rPr>
    </w:lvl>
    <w:lvl w:ilvl="6" w:tplc="66DED060">
      <w:start w:val="1"/>
      <w:numFmt w:val="decimal"/>
      <w:lvlText w:val="%7."/>
      <w:lvlJc w:val="left"/>
      <w:pPr>
        <w:tabs>
          <w:tab w:val="num" w:pos="5040"/>
        </w:tabs>
        <w:ind w:left="5040" w:hanging="360"/>
      </w:pPr>
      <w:rPr>
        <w:rFonts w:cs="Times New Roman"/>
      </w:rPr>
    </w:lvl>
    <w:lvl w:ilvl="7" w:tplc="9C1ED1F8">
      <w:start w:val="1"/>
      <w:numFmt w:val="lowerLetter"/>
      <w:lvlText w:val="%8."/>
      <w:lvlJc w:val="left"/>
      <w:pPr>
        <w:tabs>
          <w:tab w:val="num" w:pos="5760"/>
        </w:tabs>
        <w:ind w:left="5760" w:hanging="360"/>
      </w:pPr>
      <w:rPr>
        <w:rFonts w:cs="Times New Roman"/>
      </w:rPr>
    </w:lvl>
    <w:lvl w:ilvl="8" w:tplc="8E98FCC0">
      <w:start w:val="1"/>
      <w:numFmt w:val="lowerRoman"/>
      <w:lvlText w:val="%9."/>
      <w:lvlJc w:val="right"/>
      <w:pPr>
        <w:tabs>
          <w:tab w:val="num" w:pos="6480"/>
        </w:tabs>
        <w:ind w:left="6480" w:hanging="180"/>
      </w:pPr>
      <w:rPr>
        <w:rFonts w:cs="Times New Roman"/>
      </w:rPr>
    </w:lvl>
  </w:abstractNum>
  <w:abstractNum w:abstractNumId="8" w15:restartNumberingAfterBreak="0">
    <w:nsid w:val="00000011"/>
    <w:multiLevelType w:val="hybridMultilevel"/>
    <w:tmpl w:val="52142AA8"/>
    <w:name w:val="zzmpArticle5||Article5|2|1|1|3|10|41||1|10|1||1|10|1||1|10|1||1|12|0||1|12|0||1|12|0||1|12|0||mpNA||2"/>
    <w:lvl w:ilvl="0" w:tplc="DFE01B22">
      <w:start w:val="1"/>
      <w:numFmt w:val="decimal"/>
      <w:lvlText w:val="%1.1"/>
      <w:lvlJc w:val="left"/>
      <w:pPr>
        <w:ind w:left="720" w:hanging="360"/>
      </w:pPr>
      <w:rPr>
        <w:rFonts w:ascii="Arial" w:hAnsi="Arial" w:cs="Arial" w:hint="default"/>
        <w:b/>
      </w:rPr>
    </w:lvl>
    <w:lvl w:ilvl="1" w:tplc="00000001">
      <w:start w:val="1"/>
      <w:numFmt w:val="lowerLetter"/>
      <w:lvlText w:val="%2."/>
      <w:lvlJc w:val="left"/>
      <w:pPr>
        <w:ind w:left="1440" w:hanging="360"/>
      </w:pPr>
    </w:lvl>
    <w:lvl w:ilvl="2" w:tplc="00000002">
      <w:start w:val="1"/>
      <w:numFmt w:val="lowerRoman"/>
      <w:lvlText w:val="%3."/>
      <w:lvlJc w:val="right"/>
      <w:pPr>
        <w:ind w:left="2160" w:hanging="180"/>
      </w:pPr>
    </w:lvl>
    <w:lvl w:ilvl="3" w:tplc="00000003">
      <w:start w:val="1"/>
      <w:numFmt w:val="decimal"/>
      <w:lvlText w:val="%4."/>
      <w:lvlJc w:val="left"/>
      <w:pPr>
        <w:ind w:left="2880" w:hanging="360"/>
      </w:pPr>
    </w:lvl>
    <w:lvl w:ilvl="4" w:tplc="00000004">
      <w:start w:val="1"/>
      <w:numFmt w:val="lowerLetter"/>
      <w:lvlText w:val="%5."/>
      <w:lvlJc w:val="left"/>
      <w:pPr>
        <w:ind w:left="3600" w:hanging="360"/>
      </w:pPr>
    </w:lvl>
    <w:lvl w:ilvl="5" w:tplc="00000005">
      <w:start w:val="1"/>
      <w:numFmt w:val="lowerRoman"/>
      <w:lvlText w:val="%6."/>
      <w:lvlJc w:val="right"/>
      <w:pPr>
        <w:ind w:left="4320" w:hanging="180"/>
      </w:pPr>
    </w:lvl>
    <w:lvl w:ilvl="6" w:tplc="00000006">
      <w:start w:val="1"/>
      <w:numFmt w:val="decimal"/>
      <w:lvlText w:val="%7."/>
      <w:lvlJc w:val="left"/>
      <w:pPr>
        <w:ind w:left="5040" w:hanging="360"/>
      </w:pPr>
    </w:lvl>
    <w:lvl w:ilvl="7" w:tplc="00000007">
      <w:start w:val="1"/>
      <w:numFmt w:val="lowerLetter"/>
      <w:lvlText w:val="%8."/>
      <w:lvlJc w:val="left"/>
      <w:pPr>
        <w:ind w:left="5760" w:hanging="360"/>
      </w:pPr>
    </w:lvl>
    <w:lvl w:ilvl="8" w:tplc="00000008">
      <w:start w:val="1"/>
      <w:numFmt w:val="lowerRoman"/>
      <w:lvlText w:val="%9."/>
      <w:lvlJc w:val="right"/>
      <w:pPr>
        <w:ind w:left="6480" w:hanging="180"/>
      </w:pPr>
    </w:lvl>
  </w:abstractNum>
  <w:abstractNum w:abstractNumId="9" w15:restartNumberingAfterBreak="0">
    <w:nsid w:val="00000016"/>
    <w:multiLevelType w:val="hybridMultilevel"/>
    <w:tmpl w:val="326812A8"/>
    <w:name w:val="zGList(i)"/>
    <w:lvl w:ilvl="0" w:tplc="5DD063B2">
      <w:start w:val="1"/>
      <w:numFmt w:val="lowerRoman"/>
      <w:pStyle w:val="zGListi"/>
      <w:lvlText w:val="%1."/>
      <w:lvlJc w:val="left"/>
      <w:pPr>
        <w:ind w:left="720" w:hanging="360"/>
      </w:pPr>
      <w:rPr>
        <w:rFonts w:ascii="Arial" w:hAnsi="Arial"/>
        <w:b/>
        <w:i w:val="0"/>
        <w:caps w:val="0"/>
        <w:strike w:val="0"/>
        <w:dstrike w:val="0"/>
        <w:vanish w:val="0"/>
        <w:color w:val="auto"/>
        <w:sz w:val="20"/>
        <w:u w:val="none"/>
      </w:rPr>
    </w:lvl>
    <w:lvl w:ilvl="1" w:tplc="3AD8E308">
      <w:start w:val="1"/>
      <w:numFmt w:val="lowerLetter"/>
      <w:lvlText w:val="%2."/>
      <w:lvlJc w:val="left"/>
      <w:pPr>
        <w:ind w:left="1440" w:hanging="360"/>
      </w:pPr>
    </w:lvl>
    <w:lvl w:ilvl="2" w:tplc="42949AAC">
      <w:start w:val="1"/>
      <w:numFmt w:val="lowerRoman"/>
      <w:lvlText w:val="%3."/>
      <w:lvlJc w:val="right"/>
      <w:pPr>
        <w:ind w:left="2160" w:hanging="180"/>
      </w:pPr>
    </w:lvl>
    <w:lvl w:ilvl="3" w:tplc="5718D0A2">
      <w:start w:val="1"/>
      <w:numFmt w:val="decimal"/>
      <w:lvlText w:val="%4."/>
      <w:lvlJc w:val="left"/>
      <w:pPr>
        <w:ind w:left="2880" w:hanging="360"/>
      </w:pPr>
    </w:lvl>
    <w:lvl w:ilvl="4" w:tplc="95F082AE">
      <w:start w:val="1"/>
      <w:numFmt w:val="lowerLetter"/>
      <w:lvlText w:val="%5."/>
      <w:lvlJc w:val="left"/>
      <w:pPr>
        <w:ind w:left="3600" w:hanging="360"/>
      </w:pPr>
    </w:lvl>
    <w:lvl w:ilvl="5" w:tplc="B994DB6A">
      <w:start w:val="1"/>
      <w:numFmt w:val="lowerRoman"/>
      <w:lvlText w:val="%6."/>
      <w:lvlJc w:val="right"/>
      <w:pPr>
        <w:ind w:left="4320" w:hanging="180"/>
      </w:pPr>
    </w:lvl>
    <w:lvl w:ilvl="6" w:tplc="F294CC4E">
      <w:start w:val="1"/>
      <w:numFmt w:val="decimal"/>
      <w:lvlText w:val="%7."/>
      <w:lvlJc w:val="left"/>
      <w:pPr>
        <w:ind w:left="5040" w:hanging="360"/>
      </w:pPr>
    </w:lvl>
    <w:lvl w:ilvl="7" w:tplc="74EE5388">
      <w:start w:val="1"/>
      <w:numFmt w:val="lowerLetter"/>
      <w:lvlText w:val="%8."/>
      <w:lvlJc w:val="left"/>
      <w:pPr>
        <w:ind w:left="5760" w:hanging="360"/>
      </w:pPr>
    </w:lvl>
    <w:lvl w:ilvl="8" w:tplc="DB46A0E4">
      <w:start w:val="1"/>
      <w:numFmt w:val="lowerRoman"/>
      <w:lvlText w:val="%9."/>
      <w:lvlJc w:val="right"/>
      <w:pPr>
        <w:ind w:left="6480" w:hanging="180"/>
      </w:pPr>
    </w:lvl>
  </w:abstractNum>
  <w:abstractNum w:abstractNumId="10" w15:restartNumberingAfterBreak="0">
    <w:nsid w:val="035A5232"/>
    <w:multiLevelType w:val="hybridMultilevel"/>
    <w:tmpl w:val="2892EBAA"/>
    <w:name w:val="Heading2"/>
    <w:lvl w:ilvl="0" w:tplc="77DCBFF0">
      <w:start w:val="1"/>
      <w:numFmt w:val="bullet"/>
      <w:pStyle w:val="ListBullet4"/>
      <w:lvlText w:val=""/>
      <w:lvlJc w:val="left"/>
      <w:pPr>
        <w:ind w:left="2160" w:hanging="360"/>
      </w:pPr>
      <w:rPr>
        <w:rFonts w:ascii="Wingdings" w:hAnsi="Wingdings" w:hint="default"/>
      </w:rPr>
    </w:lvl>
    <w:lvl w:ilvl="1" w:tplc="E746FB36" w:tentative="1">
      <w:start w:val="1"/>
      <w:numFmt w:val="bullet"/>
      <w:lvlText w:val="o"/>
      <w:lvlJc w:val="left"/>
      <w:pPr>
        <w:ind w:left="2880" w:hanging="360"/>
      </w:pPr>
      <w:rPr>
        <w:rFonts w:ascii="Courier New" w:hAnsi="Courier New" w:cs="Courier New" w:hint="default"/>
      </w:rPr>
    </w:lvl>
    <w:lvl w:ilvl="2" w:tplc="D68E90D2" w:tentative="1">
      <w:start w:val="1"/>
      <w:numFmt w:val="bullet"/>
      <w:lvlText w:val=""/>
      <w:lvlJc w:val="left"/>
      <w:pPr>
        <w:ind w:left="3600" w:hanging="360"/>
      </w:pPr>
      <w:rPr>
        <w:rFonts w:ascii="Wingdings" w:hAnsi="Wingdings" w:hint="default"/>
      </w:rPr>
    </w:lvl>
    <w:lvl w:ilvl="3" w:tplc="49688AC6" w:tentative="1">
      <w:start w:val="1"/>
      <w:numFmt w:val="bullet"/>
      <w:lvlText w:val=""/>
      <w:lvlJc w:val="left"/>
      <w:pPr>
        <w:ind w:left="4320" w:hanging="360"/>
      </w:pPr>
      <w:rPr>
        <w:rFonts w:ascii="Symbol" w:hAnsi="Symbol" w:hint="default"/>
      </w:rPr>
    </w:lvl>
    <w:lvl w:ilvl="4" w:tplc="41ACD144" w:tentative="1">
      <w:start w:val="1"/>
      <w:numFmt w:val="bullet"/>
      <w:lvlText w:val="o"/>
      <w:lvlJc w:val="left"/>
      <w:pPr>
        <w:ind w:left="5040" w:hanging="360"/>
      </w:pPr>
      <w:rPr>
        <w:rFonts w:ascii="Courier New" w:hAnsi="Courier New" w:cs="Courier New" w:hint="default"/>
      </w:rPr>
    </w:lvl>
    <w:lvl w:ilvl="5" w:tplc="C76C3428" w:tentative="1">
      <w:start w:val="1"/>
      <w:numFmt w:val="bullet"/>
      <w:lvlText w:val=""/>
      <w:lvlJc w:val="left"/>
      <w:pPr>
        <w:ind w:left="5760" w:hanging="360"/>
      </w:pPr>
      <w:rPr>
        <w:rFonts w:ascii="Wingdings" w:hAnsi="Wingdings" w:hint="default"/>
      </w:rPr>
    </w:lvl>
    <w:lvl w:ilvl="6" w:tplc="49F21E70" w:tentative="1">
      <w:start w:val="1"/>
      <w:numFmt w:val="bullet"/>
      <w:lvlText w:val=""/>
      <w:lvlJc w:val="left"/>
      <w:pPr>
        <w:ind w:left="6480" w:hanging="360"/>
      </w:pPr>
      <w:rPr>
        <w:rFonts w:ascii="Symbol" w:hAnsi="Symbol" w:hint="default"/>
      </w:rPr>
    </w:lvl>
    <w:lvl w:ilvl="7" w:tplc="F2183DF2" w:tentative="1">
      <w:start w:val="1"/>
      <w:numFmt w:val="bullet"/>
      <w:lvlText w:val="o"/>
      <w:lvlJc w:val="left"/>
      <w:pPr>
        <w:ind w:left="7200" w:hanging="360"/>
      </w:pPr>
      <w:rPr>
        <w:rFonts w:ascii="Courier New" w:hAnsi="Courier New" w:cs="Courier New" w:hint="default"/>
      </w:rPr>
    </w:lvl>
    <w:lvl w:ilvl="8" w:tplc="DC66DD40" w:tentative="1">
      <w:start w:val="1"/>
      <w:numFmt w:val="bullet"/>
      <w:lvlText w:val=""/>
      <w:lvlJc w:val="left"/>
      <w:pPr>
        <w:ind w:left="7920" w:hanging="360"/>
      </w:pPr>
      <w:rPr>
        <w:rFonts w:ascii="Wingdings" w:hAnsi="Wingdings" w:hint="default"/>
      </w:rPr>
    </w:lvl>
  </w:abstractNum>
  <w:abstractNum w:abstractNumId="11" w15:restartNumberingAfterBreak="0">
    <w:nsid w:val="0A5A3F76"/>
    <w:multiLevelType w:val="hybridMultilevel"/>
    <w:tmpl w:val="D3F046BE"/>
    <w:lvl w:ilvl="0" w:tplc="BC6857C2">
      <w:start w:val="1"/>
      <w:numFmt w:val="decimal"/>
      <w:lvlText w:val="%1)"/>
      <w:lvlJc w:val="left"/>
      <w:pPr>
        <w:ind w:left="810" w:hanging="360"/>
      </w:pPr>
      <w:rPr>
        <w:rFonts w:hint="default"/>
      </w:rPr>
    </w:lvl>
    <w:lvl w:ilvl="1" w:tplc="263635E2" w:tentative="1">
      <w:start w:val="1"/>
      <w:numFmt w:val="lowerLetter"/>
      <w:lvlText w:val="%2."/>
      <w:lvlJc w:val="left"/>
      <w:pPr>
        <w:ind w:left="1440" w:hanging="360"/>
      </w:pPr>
    </w:lvl>
    <w:lvl w:ilvl="2" w:tplc="85EE773E" w:tentative="1">
      <w:start w:val="1"/>
      <w:numFmt w:val="lowerRoman"/>
      <w:lvlText w:val="%3."/>
      <w:lvlJc w:val="right"/>
      <w:pPr>
        <w:ind w:left="2160" w:hanging="180"/>
      </w:pPr>
    </w:lvl>
    <w:lvl w:ilvl="3" w:tplc="2612E210" w:tentative="1">
      <w:start w:val="1"/>
      <w:numFmt w:val="decimal"/>
      <w:lvlText w:val="%4."/>
      <w:lvlJc w:val="left"/>
      <w:pPr>
        <w:ind w:left="2880" w:hanging="360"/>
      </w:pPr>
    </w:lvl>
    <w:lvl w:ilvl="4" w:tplc="085E7B4A" w:tentative="1">
      <w:start w:val="1"/>
      <w:numFmt w:val="lowerLetter"/>
      <w:lvlText w:val="%5."/>
      <w:lvlJc w:val="left"/>
      <w:pPr>
        <w:ind w:left="3600" w:hanging="360"/>
      </w:pPr>
    </w:lvl>
    <w:lvl w:ilvl="5" w:tplc="34620C58" w:tentative="1">
      <w:start w:val="1"/>
      <w:numFmt w:val="lowerRoman"/>
      <w:lvlText w:val="%6."/>
      <w:lvlJc w:val="right"/>
      <w:pPr>
        <w:ind w:left="4320" w:hanging="180"/>
      </w:pPr>
    </w:lvl>
    <w:lvl w:ilvl="6" w:tplc="FDCAC6A0" w:tentative="1">
      <w:start w:val="1"/>
      <w:numFmt w:val="decimal"/>
      <w:lvlText w:val="%7."/>
      <w:lvlJc w:val="left"/>
      <w:pPr>
        <w:ind w:left="5040" w:hanging="360"/>
      </w:pPr>
    </w:lvl>
    <w:lvl w:ilvl="7" w:tplc="7FCC353E" w:tentative="1">
      <w:start w:val="1"/>
      <w:numFmt w:val="lowerLetter"/>
      <w:lvlText w:val="%8."/>
      <w:lvlJc w:val="left"/>
      <w:pPr>
        <w:ind w:left="5760" w:hanging="360"/>
      </w:pPr>
    </w:lvl>
    <w:lvl w:ilvl="8" w:tplc="0DB8CE3A" w:tentative="1">
      <w:start w:val="1"/>
      <w:numFmt w:val="lowerRoman"/>
      <w:lvlText w:val="%9."/>
      <w:lvlJc w:val="right"/>
      <w:pPr>
        <w:ind w:left="6480" w:hanging="180"/>
      </w:pPr>
    </w:lvl>
  </w:abstractNum>
  <w:abstractNum w:abstractNumId="12" w15:restartNumberingAfterBreak="0">
    <w:nsid w:val="0D20330E"/>
    <w:multiLevelType w:val="multilevel"/>
    <w:tmpl w:val="9884AD5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DE41549"/>
    <w:multiLevelType w:val="multilevel"/>
    <w:tmpl w:val="82CC48DE"/>
    <w:name w:val="zGTC01"/>
    <w:lvl w:ilvl="0">
      <w:start w:val="1"/>
      <w:numFmt w:val="decimal"/>
      <w:pStyle w:val="zGTC01"/>
      <w:lvlText w:val="Part %1."/>
      <w:lvlJc w:val="left"/>
      <w:pPr>
        <w:tabs>
          <w:tab w:val="num" w:pos="936"/>
        </w:tabs>
        <w:ind w:left="936" w:hanging="936"/>
      </w:pPr>
      <w:rPr>
        <w:rFonts w:hint="default"/>
        <w:b/>
        <w:bCs w:val="0"/>
        <w:i w:val="0"/>
        <w:iCs w:val="0"/>
        <w:caps/>
        <w:smallCaps w:val="0"/>
        <w:strike w:val="0"/>
        <w:dstrike w:val="0"/>
        <w:outline w:val="0"/>
        <w:shadow w:val="0"/>
        <w:emboss w:val="0"/>
        <w:imprint w:val="0"/>
        <w:noProof w:val="0"/>
        <w:vanish w:val="0"/>
        <w:position w:val="0"/>
        <w:sz w:val="2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1">
      <w:start w:val="1"/>
      <w:numFmt w:val="decimal"/>
      <w:pStyle w:val="zGTC02"/>
      <w:lvlText w:val="%1.%2"/>
      <w:lvlJc w:val="left"/>
      <w:pPr>
        <w:tabs>
          <w:tab w:val="num" w:pos="720"/>
        </w:tabs>
        <w:ind w:left="0" w:firstLine="0"/>
      </w:pPr>
      <w:rPr>
        <w:rFonts w:hint="default"/>
        <w:b/>
        <w:i w:val="0"/>
        <w:caps/>
        <w:strike w:val="0"/>
        <w:dstrike w:val="0"/>
        <w:vanish w:val="0"/>
        <w:color w:val="000000" w:themeColor="text1"/>
        <w:sz w:val="20"/>
        <w:u w:val="none"/>
        <w:vertAlign w:val="baseline"/>
      </w:rPr>
    </w:lvl>
    <w:lvl w:ilvl="2">
      <w:start w:val="1"/>
      <w:numFmt w:val="decimal"/>
      <w:pStyle w:val="zGTC03"/>
      <w:lvlText w:val="%1.%2.%3."/>
      <w:lvlJc w:val="left"/>
      <w:pPr>
        <w:tabs>
          <w:tab w:val="num" w:pos="1368"/>
        </w:tabs>
        <w:ind w:left="720" w:firstLine="0"/>
      </w:pPr>
      <w:rPr>
        <w:rFonts w:hint="default"/>
        <w:b/>
        <w:i w:val="0"/>
        <w:caps w:val="0"/>
        <w:strike w:val="0"/>
        <w:dstrike w:val="0"/>
        <w:vanish w:val="0"/>
        <w:color w:val="000000" w:themeColor="text1"/>
        <w:sz w:val="20"/>
        <w:u w:val="none"/>
        <w:vertAlign w:val="baseline"/>
      </w:rPr>
    </w:lvl>
    <w:lvl w:ilvl="3">
      <w:start w:val="1"/>
      <w:numFmt w:val="lowerRoman"/>
      <w:pStyle w:val="zGTC04"/>
      <w:lvlText w:val="(%4)"/>
      <w:lvlJc w:val="left"/>
      <w:pPr>
        <w:tabs>
          <w:tab w:val="num" w:pos="1944"/>
        </w:tabs>
        <w:ind w:left="1440" w:firstLine="0"/>
      </w:pPr>
      <w:rPr>
        <w:rFonts w:hint="default"/>
        <w:b/>
        <w:i w:val="0"/>
        <w:caps w:val="0"/>
        <w:strike w:val="0"/>
        <w:dstrike w:val="0"/>
        <w:vanish w:val="0"/>
        <w:color w:val="000000" w:themeColor="text1"/>
        <w:sz w:val="20"/>
        <w:u w:val="none"/>
        <w:vertAlign w:val="baseline"/>
      </w:rPr>
    </w:lvl>
    <w:lvl w:ilvl="4">
      <w:start w:val="1"/>
      <w:numFmt w:val="lowerLetter"/>
      <w:pStyle w:val="zGTC05"/>
      <w:lvlText w:val="(%5)"/>
      <w:lvlJc w:val="left"/>
      <w:pPr>
        <w:tabs>
          <w:tab w:val="num" w:pos="2448"/>
        </w:tabs>
        <w:ind w:left="1944" w:firstLine="0"/>
      </w:pPr>
      <w:rPr>
        <w:rFonts w:hint="default"/>
        <w:b/>
        <w:i w:val="0"/>
        <w:caps w:val="0"/>
        <w:strike w:val="0"/>
        <w:dstrike w:val="0"/>
        <w:vanish w:val="0"/>
        <w:color w:val="000000" w:themeColor="text1"/>
        <w:sz w:val="20"/>
        <w:u w:val="none"/>
        <w:vertAlign w:val="baseline"/>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06D5849"/>
    <w:multiLevelType w:val="multilevel"/>
    <w:tmpl w:val="E24870BC"/>
    <w:name w:val="zzmpOutline||Outline|2|3|1|1|12|5||1|12|36||1|12|0||1|12|0||1|12|0||1|12|0||1|12|0||1|12|0||1|12|0||"/>
    <w:lvl w:ilvl="0">
      <w:start w:val="1"/>
      <w:numFmt w:val="upperRoman"/>
      <w:lvlText w:val="%1."/>
      <w:lvlJc w:val="left"/>
      <w:pPr>
        <w:tabs>
          <w:tab w:val="num" w:pos="2700"/>
        </w:tabs>
        <w:ind w:left="720" w:hanging="720"/>
      </w:pPr>
      <w:rPr>
        <w:rFonts w:ascii="Arial" w:hAnsi="Arial" w:cs="Arial" w:hint="default"/>
        <w:b/>
        <w:i w:val="0"/>
        <w:caps/>
        <w:smallCaps w:val="0"/>
        <w:sz w:val="24"/>
        <w:u w:val="none"/>
      </w:rPr>
    </w:lvl>
    <w:lvl w:ilvl="1">
      <w:start w:val="1"/>
      <w:numFmt w:val="decimal"/>
      <w:lvlText w:val="%2."/>
      <w:lvlJc w:val="left"/>
      <w:pPr>
        <w:tabs>
          <w:tab w:val="num" w:pos="1440"/>
        </w:tabs>
        <w:ind w:left="1440" w:hanging="720"/>
      </w:pPr>
      <w:rPr>
        <w:rFonts w:ascii="Arial" w:hAnsi="Arial" w:cs="Arial" w:hint="default"/>
        <w:b w:val="0"/>
        <w:i w:val="0"/>
        <w:caps w:val="0"/>
        <w:smallCaps w:val="0"/>
        <w:u w:val="none"/>
      </w:rPr>
    </w:lvl>
    <w:lvl w:ilvl="2">
      <w:start w:val="1"/>
      <w:numFmt w:val="lowerLetter"/>
      <w:lvlText w:val="%3."/>
      <w:lvlJc w:val="left"/>
      <w:pPr>
        <w:tabs>
          <w:tab w:val="num" w:pos="2160"/>
        </w:tabs>
        <w:ind w:left="2160" w:hanging="720"/>
      </w:pPr>
      <w:rPr>
        <w:rFonts w:ascii="Arial" w:hAnsi="Arial" w:cs="Arial" w:hint="default"/>
        <w:b w:val="0"/>
        <w:i w:val="0"/>
        <w:caps w:val="0"/>
        <w:smallCaps w:val="0"/>
        <w:u w:val="none"/>
      </w:rPr>
    </w:lvl>
    <w:lvl w:ilvl="3">
      <w:start w:val="1"/>
      <w:numFmt w:val="lowerRoman"/>
      <w:lvlText w:val="%4."/>
      <w:lvlJc w:val="left"/>
      <w:pPr>
        <w:tabs>
          <w:tab w:val="num" w:pos="2880"/>
        </w:tabs>
        <w:ind w:left="2880" w:hanging="720"/>
      </w:pPr>
      <w:rPr>
        <w:rFonts w:ascii="Arial" w:hAnsi="Arial" w:cs="Arial" w:hint="default"/>
        <w:b w:val="0"/>
        <w:i w:val="0"/>
        <w:caps w:val="0"/>
        <w:smallCaps w:val="0"/>
        <w:u w:val="none"/>
      </w:rPr>
    </w:lvl>
    <w:lvl w:ilvl="4">
      <w:start w:val="1"/>
      <w:numFmt w:val="lowerRoman"/>
      <w:lvlText w:val="(%5)"/>
      <w:lvlJc w:val="left"/>
      <w:pPr>
        <w:tabs>
          <w:tab w:val="num" w:pos="3600"/>
        </w:tabs>
        <w:ind w:left="0" w:firstLine="2880"/>
      </w:pPr>
      <w:rPr>
        <w:rFonts w:hint="default"/>
        <w:b w:val="0"/>
        <w:i w:val="0"/>
        <w:caps w:val="0"/>
        <w:smallCaps w:val="0"/>
        <w:u w:val="none"/>
      </w:rPr>
    </w:lvl>
    <w:lvl w:ilvl="5">
      <w:start w:val="1"/>
      <w:numFmt w:val="lowerLetter"/>
      <w:lvlText w:val="(%6)"/>
      <w:lvlJc w:val="left"/>
      <w:pPr>
        <w:tabs>
          <w:tab w:val="num" w:pos="4320"/>
        </w:tabs>
        <w:ind w:left="0" w:firstLine="3600"/>
      </w:pPr>
      <w:rPr>
        <w:rFonts w:hint="default"/>
        <w:b w:val="0"/>
        <w:i w:val="0"/>
        <w:caps w:val="0"/>
        <w:smallCaps w:val="0"/>
        <w:u w:val="none"/>
      </w:rPr>
    </w:lvl>
    <w:lvl w:ilvl="6">
      <w:start w:val="1"/>
      <w:numFmt w:val="decimal"/>
      <w:lvlText w:val="(%7)"/>
      <w:lvlJc w:val="left"/>
      <w:pPr>
        <w:tabs>
          <w:tab w:val="num" w:pos="5040"/>
        </w:tabs>
        <w:ind w:left="0" w:firstLine="4320"/>
      </w:pPr>
      <w:rPr>
        <w:rFonts w:hint="default"/>
        <w:b w:val="0"/>
        <w:i w:val="0"/>
        <w:caps w:val="0"/>
        <w:smallCaps w:val="0"/>
        <w:u w:val="none"/>
      </w:rPr>
    </w:lvl>
    <w:lvl w:ilvl="7">
      <w:start w:val="1"/>
      <w:numFmt w:val="lowerRoman"/>
      <w:lvlText w:val="%8)"/>
      <w:lvlJc w:val="left"/>
      <w:pPr>
        <w:tabs>
          <w:tab w:val="num" w:pos="5760"/>
        </w:tabs>
        <w:ind w:left="0" w:firstLine="5040"/>
      </w:pPr>
      <w:rPr>
        <w:rFonts w:hint="default"/>
        <w:b w:val="0"/>
        <w:i w:val="0"/>
        <w:caps w:val="0"/>
        <w:smallCaps w:val="0"/>
        <w:u w:val="none"/>
      </w:rPr>
    </w:lvl>
    <w:lvl w:ilvl="8">
      <w:start w:val="1"/>
      <w:numFmt w:val="lowerLetter"/>
      <w:lvlText w:val="%9)"/>
      <w:lvlJc w:val="left"/>
      <w:pPr>
        <w:tabs>
          <w:tab w:val="num" w:pos="6480"/>
        </w:tabs>
        <w:ind w:left="0" w:firstLine="5760"/>
      </w:pPr>
      <w:rPr>
        <w:rFonts w:hint="default"/>
        <w:b w:val="0"/>
        <w:i w:val="0"/>
        <w:caps w:val="0"/>
        <w:smallCaps w:val="0"/>
        <w:u w:val="none"/>
      </w:rPr>
    </w:lvl>
  </w:abstractNum>
  <w:abstractNum w:abstractNumId="15" w15:restartNumberingAfterBreak="0">
    <w:nsid w:val="153660F0"/>
    <w:multiLevelType w:val="multilevel"/>
    <w:tmpl w:val="9F9C9AEA"/>
    <w:name w:val="Article5"/>
    <w:lvl w:ilvl="0">
      <w:start w:val="1"/>
      <w:numFmt w:val="decimal"/>
      <w:pStyle w:val="Article5L1"/>
      <w:suff w:val="space"/>
      <w:lvlText w:val="ARTICLE %1 - "/>
      <w:lvlJc w:val="left"/>
      <w:pPr>
        <w:ind w:left="0" w:firstLine="0"/>
      </w:pPr>
      <w:rPr>
        <w:rFonts w:hint="default"/>
        <w:b w:val="0"/>
        <w:i w:val="0"/>
        <w:caps/>
        <w:smallCaps w:val="0"/>
        <w:u w:val="none"/>
      </w:rPr>
    </w:lvl>
    <w:lvl w:ilvl="1">
      <w:start w:val="1"/>
      <w:numFmt w:val="decimal"/>
      <w:pStyle w:val="Article5L2"/>
      <w:isLgl/>
      <w:lvlText w:val="%1.%2"/>
      <w:lvlJc w:val="left"/>
      <w:pPr>
        <w:tabs>
          <w:tab w:val="num" w:pos="1440"/>
        </w:tabs>
        <w:ind w:left="0" w:firstLine="720"/>
      </w:pPr>
      <w:rPr>
        <w:rFonts w:hint="default"/>
        <w:b w:val="0"/>
        <w:i w:val="0"/>
        <w:caps w:val="0"/>
        <w:smallCaps w:val="0"/>
        <w:u w:val="none"/>
      </w:rPr>
    </w:lvl>
    <w:lvl w:ilvl="2">
      <w:start w:val="1"/>
      <w:numFmt w:val="decimal"/>
      <w:pStyle w:val="Article5L3"/>
      <w:isLgl/>
      <w:lvlText w:val="%1.%2.%3"/>
      <w:lvlJc w:val="left"/>
      <w:pPr>
        <w:tabs>
          <w:tab w:val="num" w:pos="2520"/>
        </w:tabs>
        <w:ind w:left="0" w:firstLine="1440"/>
      </w:pPr>
      <w:rPr>
        <w:rFonts w:hint="default"/>
        <w:b w:val="0"/>
        <w:i w:val="0"/>
        <w:caps w:val="0"/>
        <w:smallCaps w:val="0"/>
        <w:u w:val="none"/>
      </w:rPr>
    </w:lvl>
    <w:lvl w:ilvl="3">
      <w:start w:val="1"/>
      <w:numFmt w:val="decimal"/>
      <w:pStyle w:val="Article5L4"/>
      <w:isLgl/>
      <w:lvlText w:val="%1.%2.%3.%4"/>
      <w:lvlJc w:val="left"/>
      <w:pPr>
        <w:tabs>
          <w:tab w:val="num" w:pos="3168"/>
        </w:tabs>
        <w:ind w:left="1440" w:firstLine="720"/>
      </w:pPr>
      <w:rPr>
        <w:rFonts w:hint="default"/>
        <w:b w:val="0"/>
        <w:i w:val="0"/>
        <w:caps w:val="0"/>
        <w:smallCaps w:val="0"/>
        <w:u w:val="none"/>
      </w:rPr>
    </w:lvl>
    <w:lvl w:ilvl="4">
      <w:start w:val="1"/>
      <w:numFmt w:val="decimal"/>
      <w:pStyle w:val="Article5L5"/>
      <w:isLgl/>
      <w:lvlText w:val="%1.%2.%3.%4.%5"/>
      <w:lvlJc w:val="left"/>
      <w:pPr>
        <w:tabs>
          <w:tab w:val="num" w:pos="4320"/>
        </w:tabs>
        <w:ind w:left="0" w:firstLine="3168"/>
      </w:pPr>
      <w:rPr>
        <w:rFonts w:hint="default"/>
        <w:b w:val="0"/>
        <w:i w:val="0"/>
        <w:caps w:val="0"/>
        <w:smallCaps w:val="0"/>
        <w:u w:val="none"/>
      </w:rPr>
    </w:lvl>
    <w:lvl w:ilvl="5">
      <w:start w:val="1"/>
      <w:numFmt w:val="lowerLetter"/>
      <w:pStyle w:val="Article5L6"/>
      <w:lvlText w:val="(%6)"/>
      <w:lvlJc w:val="left"/>
      <w:pPr>
        <w:tabs>
          <w:tab w:val="num" w:pos="2160"/>
        </w:tabs>
        <w:ind w:left="0" w:firstLine="1440"/>
      </w:pPr>
      <w:rPr>
        <w:rFonts w:ascii="Arial" w:hAnsi="Arial" w:cs="Arial" w:hint="default"/>
        <w:b w:val="0"/>
        <w:i w:val="0"/>
        <w:caps w:val="0"/>
        <w:smallCaps w:val="0"/>
        <w:u w:val="none"/>
      </w:rPr>
    </w:lvl>
    <w:lvl w:ilvl="6">
      <w:start w:val="1"/>
      <w:numFmt w:val="lowerRoman"/>
      <w:pStyle w:val="Article5L7"/>
      <w:lvlText w:val="(%7)"/>
      <w:lvlJc w:val="left"/>
      <w:pPr>
        <w:tabs>
          <w:tab w:val="num" w:pos="2160"/>
        </w:tabs>
        <w:ind w:left="2160" w:hanging="720"/>
      </w:pPr>
      <w:rPr>
        <w:rFonts w:hint="default"/>
        <w:b w:val="0"/>
        <w:i w:val="0"/>
        <w:caps w:val="0"/>
        <w:smallCaps w:val="0"/>
        <w:u w:val="none"/>
      </w:rPr>
    </w:lvl>
    <w:lvl w:ilvl="7">
      <w:start w:val="1"/>
      <w:numFmt w:val="decimal"/>
      <w:pStyle w:val="Article5L8"/>
      <w:lvlText w:val="(%8)"/>
      <w:lvlJc w:val="left"/>
      <w:pPr>
        <w:tabs>
          <w:tab w:val="num" w:pos="6480"/>
        </w:tabs>
        <w:ind w:left="0" w:firstLine="5760"/>
      </w:pPr>
      <w:rPr>
        <w:rFonts w:hint="default"/>
        <w:b w:val="0"/>
        <w:i w:val="0"/>
        <w:caps w:val="0"/>
        <w:smallCaps w:val="0"/>
        <w:u w:val="none"/>
      </w:rPr>
    </w:lvl>
    <w:lvl w:ilvl="8">
      <w:start w:val="1"/>
      <w:numFmt w:val="none"/>
      <w:suff w:val="nothing"/>
      <w:lvlText w:val=""/>
      <w:lvlJc w:val="left"/>
      <w:pPr>
        <w:ind w:left="0" w:firstLine="0"/>
      </w:pPr>
      <w:rPr>
        <w:rFonts w:hint="default"/>
        <w:b w:val="0"/>
        <w:i w:val="0"/>
        <w:caps w:val="0"/>
        <w:smallCaps w:val="0"/>
        <w:u w:val="none"/>
      </w:rPr>
    </w:lvl>
  </w:abstractNum>
  <w:abstractNum w:abstractNumId="16" w15:restartNumberingAfterBreak="0">
    <w:nsid w:val="173C1E81"/>
    <w:multiLevelType w:val="multilevel"/>
    <w:tmpl w:val="FDE60D78"/>
    <w:lvl w:ilvl="0">
      <w:start w:val="1"/>
      <w:numFmt w:val="decimal"/>
      <w:lvlText w:val="Part %1"/>
      <w:lvlJc w:val="left"/>
      <w:pPr>
        <w:tabs>
          <w:tab w:val="num" w:pos="936"/>
        </w:tabs>
        <w:ind w:left="936" w:hanging="936"/>
      </w:pPr>
      <w:rPr>
        <w:rFonts w:ascii="Arial" w:hAnsi="Arial"/>
        <w:b/>
        <w:i w:val="0"/>
        <w:caps/>
        <w:strike w:val="0"/>
        <w:dstrike w:val="0"/>
        <w:vanish w:val="0"/>
        <w:color w:val="000000"/>
        <w:sz w:val="20"/>
        <w:u w:val="none"/>
      </w:rPr>
    </w:lvl>
    <w:lvl w:ilvl="1">
      <w:start w:val="1"/>
      <w:numFmt w:val="decimal"/>
      <w:lvlText w:val="%1.%2"/>
      <w:lvlJc w:val="left"/>
      <w:pPr>
        <w:tabs>
          <w:tab w:val="num" w:pos="576"/>
        </w:tabs>
      </w:pPr>
      <w:rPr>
        <w:rFonts w:ascii="Arial" w:hAnsi="Arial"/>
        <w:b/>
        <w:i w:val="0"/>
        <w:caps/>
        <w:strike w:val="0"/>
        <w:dstrike w:val="0"/>
        <w:vanish w:val="0"/>
        <w:color w:val="000000"/>
        <w:sz w:val="20"/>
        <w:u w:val="none"/>
      </w:rPr>
    </w:lvl>
    <w:lvl w:ilvl="2">
      <w:start w:val="1"/>
      <w:numFmt w:val="upperLetter"/>
      <w:lvlText w:val="%3."/>
      <w:lvlJc w:val="left"/>
      <w:pPr>
        <w:tabs>
          <w:tab w:val="num" w:pos="576"/>
        </w:tabs>
        <w:ind w:left="259"/>
      </w:pPr>
      <w:rPr>
        <w:rFonts w:ascii="Arial" w:hAnsi="Arial"/>
        <w:b/>
        <w:i w:val="0"/>
        <w:caps w:val="0"/>
        <w:strike w:val="0"/>
        <w:dstrike w:val="0"/>
        <w:vanish w:val="0"/>
        <w:color w:val="000000"/>
        <w:sz w:val="20"/>
        <w:u w:val="none"/>
      </w:rPr>
    </w:lvl>
    <w:lvl w:ilvl="3">
      <w:start w:val="1"/>
      <w:numFmt w:val="lowerRoman"/>
      <w:lvlText w:val="(%4)"/>
      <w:lvlJc w:val="left"/>
      <w:pPr>
        <w:tabs>
          <w:tab w:val="num" w:pos="864"/>
        </w:tabs>
        <w:ind w:left="360"/>
      </w:pPr>
      <w:rPr>
        <w:rFonts w:ascii="Arial" w:hAnsi="Arial"/>
        <w:b/>
        <w:i w:val="0"/>
        <w:caps w:val="0"/>
        <w:strike w:val="0"/>
        <w:dstrike w:val="0"/>
        <w:vanish w:val="0"/>
        <w:color w:val="000000"/>
        <w:sz w:val="20"/>
        <w:u w:val="none"/>
      </w:rPr>
    </w:lvl>
    <w:lvl w:ilvl="4">
      <w:start w:val="1"/>
      <w:numFmt w:val="lowerLetter"/>
      <w:lvlText w:val="(%5)"/>
      <w:lvlJc w:val="left"/>
      <w:pPr>
        <w:tabs>
          <w:tab w:val="num" w:pos="1195"/>
        </w:tabs>
        <w:ind w:left="864"/>
      </w:pPr>
      <w:rPr>
        <w:rFonts w:ascii="Arial" w:hAnsi="Arial"/>
        <w:b/>
        <w:i w:val="0"/>
        <w:caps w:val="0"/>
        <w:strike w:val="0"/>
        <w:dstrike w:val="0"/>
        <w:vanish w:val="0"/>
        <w:color w:val="000000"/>
        <w:sz w:val="20"/>
        <w:u w:val="none"/>
      </w:rPr>
    </w:lvl>
    <w:lvl w:ilvl="5">
      <w:start w:val="1"/>
      <w:numFmt w:val="lowerRoman"/>
      <w:lvlText w:val="(%6)"/>
      <w:lvlJc w:val="left"/>
      <w:pPr>
        <w:ind w:left="2160" w:hanging="360"/>
      </w:pPr>
    </w:lvl>
    <w:lvl w:ilvl="6">
      <w:start w:val="1"/>
      <w:numFmt w:val="lowerRoman"/>
      <w:lvlText w:val="(%7)"/>
      <w:lvlJc w:val="left"/>
      <w:pPr>
        <w:ind w:left="2520" w:hanging="360"/>
      </w:pPr>
      <w:rPr>
        <w:rFonts w:ascii="Arial" w:eastAsia="Times New Roman"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82A0AC2"/>
    <w:multiLevelType w:val="hybridMultilevel"/>
    <w:tmpl w:val="1F7298C4"/>
    <w:lvl w:ilvl="0" w:tplc="04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E3974D8"/>
    <w:multiLevelType w:val="multilevel"/>
    <w:tmpl w:val="ADECCB5C"/>
    <w:lvl w:ilvl="0">
      <w:start w:val="1"/>
      <w:numFmt w:val="bullet"/>
      <w:lvlText w:val=""/>
      <w:lvlJc w:val="left"/>
      <w:pPr>
        <w:tabs>
          <w:tab w:val="num" w:pos="720"/>
        </w:tabs>
        <w:ind w:left="720" w:hanging="360"/>
      </w:pPr>
      <w:rPr>
        <w:rFonts w:ascii="Wingdings" w:hAnsi="Wingding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0A73F96"/>
    <w:multiLevelType w:val="multilevel"/>
    <w:tmpl w:val="BB8C9956"/>
    <w:styleLink w:val="zGzListStyle2"/>
    <w:lvl w:ilvl="0">
      <w:start w:val="1"/>
      <w:numFmt w:val="decimal"/>
      <w:lvlText w:val="%1."/>
      <w:lvlJc w:val="left"/>
      <w:pPr>
        <w:tabs>
          <w:tab w:val="num" w:pos="504"/>
        </w:tabs>
        <w:ind w:left="0" w:firstLine="0"/>
      </w:pPr>
      <w:rPr>
        <w:rFonts w:ascii="Arial" w:hAnsi="Arial" w:hint="default"/>
        <w:b/>
        <w:i w:val="0"/>
        <w:caps w:val="0"/>
        <w:strike w:val="0"/>
        <w:dstrike w:val="0"/>
        <w:vanish w:val="0"/>
        <w:color w:val="000000" w:themeColor="text1"/>
        <w:sz w:val="20"/>
        <w:u w:val="none"/>
        <w:vertAlign w:val="baseline"/>
      </w:rPr>
    </w:lvl>
    <w:lvl w:ilvl="1">
      <w:start w:val="1"/>
      <w:numFmt w:val="upperLetter"/>
      <w:lvlText w:val="%2."/>
      <w:lvlJc w:val="left"/>
      <w:pPr>
        <w:tabs>
          <w:tab w:val="num" w:pos="576"/>
        </w:tabs>
        <w:ind w:left="288" w:firstLine="0"/>
      </w:pPr>
      <w:rPr>
        <w:rFonts w:ascii="Arial" w:hAnsi="Arial" w:hint="default"/>
        <w:b/>
        <w:i w:val="0"/>
        <w:caps w:val="0"/>
        <w:strike w:val="0"/>
        <w:dstrike w:val="0"/>
        <w:vanish w:val="0"/>
        <w:color w:val="000000" w:themeColor="text1"/>
        <w:sz w:val="20"/>
        <w:vertAlign w:val="baseline"/>
      </w:rPr>
    </w:lvl>
    <w:lvl w:ilvl="2">
      <w:start w:val="1"/>
      <w:numFmt w:val="lowerRoman"/>
      <w:lvlText w:val="%3."/>
      <w:lvlJc w:val="left"/>
      <w:pPr>
        <w:tabs>
          <w:tab w:val="num" w:pos="1080"/>
        </w:tabs>
        <w:ind w:left="1080" w:hanging="504"/>
      </w:pPr>
      <w:rPr>
        <w:rFonts w:ascii="Arial" w:hAnsi="Arial" w:hint="default"/>
        <w:b/>
        <w:i w:val="0"/>
        <w:caps w:val="0"/>
        <w:strike w:val="0"/>
        <w:dstrike w:val="0"/>
        <w:vanish w:val="0"/>
        <w:color w:val="000000" w:themeColor="text1"/>
        <w:sz w:val="20"/>
        <w:vertAlign w:val="baseline"/>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44E532C"/>
    <w:multiLevelType w:val="hybridMultilevel"/>
    <w:tmpl w:val="16BC7F6A"/>
    <w:lvl w:ilvl="0" w:tplc="0409001B">
      <w:start w:val="1"/>
      <w:numFmt w:val="lowerRoman"/>
      <w:lvlText w:val="%1."/>
      <w:lvlJc w:val="right"/>
      <w:pPr>
        <w:ind w:left="1156" w:hanging="360"/>
      </w:p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21" w15:restartNumberingAfterBreak="0">
    <w:nsid w:val="354F48C0"/>
    <w:multiLevelType w:val="singleLevel"/>
    <w:tmpl w:val="8856C554"/>
    <w:lvl w:ilvl="0">
      <w:start w:val="3"/>
      <w:numFmt w:val="decimal"/>
      <w:lvlText w:val="%1."/>
      <w:lvlJc w:val="left"/>
      <w:pPr>
        <w:tabs>
          <w:tab w:val="num" w:pos="2160"/>
        </w:tabs>
        <w:ind w:left="2160" w:hanging="720"/>
      </w:pPr>
      <w:rPr>
        <w:rFonts w:hint="default"/>
      </w:rPr>
    </w:lvl>
  </w:abstractNum>
  <w:abstractNum w:abstractNumId="22" w15:restartNumberingAfterBreak="0">
    <w:nsid w:val="36935962"/>
    <w:multiLevelType w:val="multilevel"/>
    <w:tmpl w:val="BB38E18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7FA42C3"/>
    <w:multiLevelType w:val="multilevel"/>
    <w:tmpl w:val="330A796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CA84B07"/>
    <w:multiLevelType w:val="multilevel"/>
    <w:tmpl w:val="99D86774"/>
    <w:styleLink w:val="zGzListStyle3"/>
    <w:lvl w:ilvl="0">
      <w:start w:val="1"/>
      <w:numFmt w:val="decimal"/>
      <w:isLgl/>
      <w:lvlText w:val="PART %1."/>
      <w:lvlJc w:val="left"/>
      <w:pPr>
        <w:tabs>
          <w:tab w:val="num" w:pos="1152"/>
        </w:tabs>
        <w:ind w:left="1152" w:hanging="1152"/>
      </w:pPr>
      <w:rPr>
        <w:rFonts w:ascii="Arial Bold" w:hAnsi="Arial Bold" w:hint="default"/>
        <w:b/>
        <w:i w:val="0"/>
        <w:caps/>
        <w:strike w:val="0"/>
        <w:dstrike w:val="0"/>
        <w:vanish w:val="0"/>
        <w:color w:val="auto"/>
        <w:sz w:val="20"/>
        <w:u w:val="singl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152"/>
        </w:tabs>
        <w:ind w:left="1152" w:hanging="576"/>
      </w:pPr>
      <w:rPr>
        <w:rFonts w:ascii="Arial Bold" w:hAnsi="Arial Bold" w:hint="default"/>
        <w:b/>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1872"/>
        </w:tabs>
        <w:ind w:left="1152" w:firstLine="0"/>
      </w:pPr>
      <w:rPr>
        <w:rFonts w:ascii="Arial Bold" w:hAnsi="Arial Bold" w:hint="default"/>
        <w:b/>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upperLetter"/>
      <w:lvlText w:val="%4."/>
      <w:lvlJc w:val="left"/>
      <w:pPr>
        <w:tabs>
          <w:tab w:val="num" w:pos="1728"/>
        </w:tabs>
        <w:ind w:left="1584" w:firstLine="0"/>
      </w:pPr>
      <w:rPr>
        <w:rFonts w:ascii="Arial Bold" w:hAnsi="Arial Bold" w:hint="default"/>
        <w:b/>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2304"/>
        </w:tabs>
        <w:ind w:left="1872" w:firstLine="0"/>
      </w:pPr>
      <w:rPr>
        <w:rFonts w:ascii="Arial Bold" w:hAnsi="Arial Bold" w:hint="default"/>
        <w:b/>
        <w:bCs w:val="0"/>
        <w:i w:val="0"/>
        <w:sz w:val="20"/>
      </w:rPr>
    </w:lvl>
    <w:lvl w:ilvl="5">
      <w:start w:val="1"/>
      <w:numFmt w:val="lowerLetter"/>
      <w:lvlText w:val="(%6)"/>
      <w:lvlJc w:val="left"/>
      <w:pPr>
        <w:tabs>
          <w:tab w:val="num" w:pos="2088"/>
        </w:tabs>
        <w:ind w:left="2088" w:firstLine="0"/>
      </w:pPr>
      <w:rPr>
        <w:rFonts w:ascii="Arial Bold" w:hAnsi="Arial Bold" w:hint="default"/>
        <w:b/>
        <w:i w:val="0"/>
        <w:sz w:val="20"/>
      </w:rPr>
    </w:lvl>
    <w:lvl w:ilvl="6">
      <w:start w:val="1"/>
      <w:numFmt w:val="decimalZero"/>
      <w:lvlText w:val="(%7)"/>
      <w:lvlJc w:val="left"/>
      <w:pPr>
        <w:tabs>
          <w:tab w:val="num" w:pos="2736"/>
        </w:tabs>
        <w:ind w:left="2736" w:firstLine="0"/>
      </w:pPr>
      <w:rPr>
        <w:rFonts w:ascii="Arial Bold" w:hAnsi="Arial Bold" w:hint="default"/>
        <w:b/>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
      <w:lvlJc w:val="left"/>
      <w:pPr>
        <w:tabs>
          <w:tab w:val="num" w:pos="3456"/>
        </w:tabs>
        <w:ind w:left="3024" w:firstLine="0"/>
      </w:pPr>
      <w:rPr>
        <w:rFonts w:ascii="Symbol" w:hAnsi="Symbol" w:hint="default"/>
        <w:b w:val="0"/>
        <w:i w:val="0"/>
        <w:caps w:val="0"/>
        <w:strike w:val="0"/>
        <w:dstrike w:val="0"/>
        <w:vanish w:val="0"/>
        <w:color w:val="auto"/>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3744"/>
        </w:tabs>
        <w:ind w:left="3384" w:firstLine="0"/>
      </w:pPr>
      <w:rPr>
        <w:rFonts w:ascii="Symbol" w:hAnsi="Symbol" w:hint="default"/>
        <w:strike w:val="0"/>
        <w:dstrike w:val="0"/>
        <w:color w:val="auto"/>
      </w:rPr>
    </w:lvl>
  </w:abstractNum>
  <w:abstractNum w:abstractNumId="25" w15:restartNumberingAfterBreak="0">
    <w:nsid w:val="3F2BDDFC"/>
    <w:multiLevelType w:val="multilevel"/>
    <w:tmpl w:val="BB60C422"/>
    <w:name w:val="zGTC01"/>
    <w:lvl w:ilvl="0">
      <w:start w:val="6"/>
      <w:numFmt w:val="decimal"/>
      <w:lvlText w:val="Part %1."/>
      <w:lvlJc w:val="left"/>
      <w:pPr>
        <w:tabs>
          <w:tab w:val="num" w:pos="936"/>
        </w:tabs>
        <w:ind w:left="936" w:hanging="936"/>
      </w:pPr>
      <w:rPr>
        <w:rFonts w:hint="default"/>
        <w:b/>
        <w:bCs w:val="0"/>
        <w:i w:val="0"/>
        <w:iCs w:val="0"/>
        <w:caps/>
        <w:smallCaps w:val="0"/>
        <w:strike w:val="0"/>
        <w:dstrike w:val="0"/>
        <w:outline w:val="0"/>
        <w:shadow w:val="0"/>
        <w:emboss w:val="0"/>
        <w:imprint w:val="0"/>
        <w:noProof w:val="0"/>
        <w:vanish w:val="0"/>
        <w:position w:val="0"/>
        <w:sz w:val="2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1">
      <w:start w:val="5"/>
      <w:numFmt w:val="decimal"/>
      <w:lvlText w:val="%1.%2"/>
      <w:lvlJc w:val="left"/>
      <w:pPr>
        <w:tabs>
          <w:tab w:val="num" w:pos="720"/>
        </w:tabs>
        <w:ind w:left="0" w:firstLine="0"/>
      </w:pPr>
      <w:rPr>
        <w:rFonts w:hint="default"/>
        <w:b/>
        <w:i w:val="0"/>
        <w:caps/>
        <w:strike w:val="0"/>
        <w:dstrike w:val="0"/>
        <w:vanish w:val="0"/>
        <w:color w:val="000000" w:themeColor="text1"/>
        <w:sz w:val="20"/>
        <w:u w:val="none"/>
        <w:vertAlign w:val="baseline"/>
      </w:rPr>
    </w:lvl>
    <w:lvl w:ilvl="2">
      <w:start w:val="1"/>
      <w:numFmt w:val="decimal"/>
      <w:lvlText w:val="%1.%2.%3."/>
      <w:lvlJc w:val="left"/>
      <w:pPr>
        <w:tabs>
          <w:tab w:val="num" w:pos="1368"/>
        </w:tabs>
        <w:ind w:left="720" w:firstLine="0"/>
      </w:pPr>
      <w:rPr>
        <w:rFonts w:hint="default"/>
        <w:b/>
        <w:i w:val="0"/>
        <w:caps w:val="0"/>
        <w:strike w:val="0"/>
        <w:dstrike w:val="0"/>
        <w:vanish w:val="0"/>
        <w:color w:val="000000" w:themeColor="text1"/>
        <w:sz w:val="20"/>
        <w:u w:val="none"/>
        <w:vertAlign w:val="baseline"/>
      </w:rPr>
    </w:lvl>
    <w:lvl w:ilvl="3">
      <w:start w:val="1"/>
      <w:numFmt w:val="lowerRoman"/>
      <w:lvlText w:val="(%4)"/>
      <w:lvlJc w:val="left"/>
      <w:pPr>
        <w:tabs>
          <w:tab w:val="num" w:pos="1944"/>
        </w:tabs>
        <w:ind w:left="1440" w:firstLine="0"/>
      </w:pPr>
      <w:rPr>
        <w:rFonts w:hint="default"/>
        <w:b/>
        <w:i w:val="0"/>
        <w:caps w:val="0"/>
        <w:strike w:val="0"/>
        <w:dstrike w:val="0"/>
        <w:vanish w:val="0"/>
        <w:color w:val="000000" w:themeColor="text1"/>
        <w:sz w:val="20"/>
        <w:u w:val="none"/>
        <w:vertAlign w:val="baseline"/>
      </w:rPr>
    </w:lvl>
    <w:lvl w:ilvl="4">
      <w:start w:val="1"/>
      <w:numFmt w:val="lowerLetter"/>
      <w:lvlText w:val="(%5)"/>
      <w:lvlJc w:val="left"/>
      <w:pPr>
        <w:tabs>
          <w:tab w:val="num" w:pos="2448"/>
        </w:tabs>
        <w:ind w:left="1944" w:firstLine="0"/>
      </w:pPr>
      <w:rPr>
        <w:rFonts w:hint="default"/>
        <w:b/>
        <w:i w:val="0"/>
        <w:caps w:val="0"/>
        <w:strike w:val="0"/>
        <w:dstrike w:val="0"/>
        <w:vanish w:val="0"/>
        <w:color w:val="000000" w:themeColor="text1"/>
        <w:sz w:val="20"/>
        <w:u w:val="none"/>
        <w:vertAlign w:val="baseline"/>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1AB6FD6"/>
    <w:multiLevelType w:val="multilevel"/>
    <w:tmpl w:val="84F2BA94"/>
    <w:styleLink w:val="zGList"/>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8DB2F8E"/>
    <w:multiLevelType w:val="multilevel"/>
    <w:tmpl w:val="85B01A7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A3D56B3"/>
    <w:multiLevelType w:val="multilevel"/>
    <w:tmpl w:val="D77A1B7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E7B19D1"/>
    <w:multiLevelType w:val="multilevel"/>
    <w:tmpl w:val="5D666668"/>
    <w:name w:val="zzmpArticle||Article|2|1|1|3|10|41||1|10|1||1|10|1||1|10|1||1|10|0||1|12|0||1|12|0||1|12|0||1|12|0||"/>
    <w:lvl w:ilvl="0">
      <w:start w:val="1"/>
      <w:numFmt w:val="decimal"/>
      <w:suff w:val="nothing"/>
      <w:lvlText w:val="ARTICLE %1:"/>
      <w:lvlJc w:val="left"/>
      <w:pPr>
        <w:tabs>
          <w:tab w:val="num" w:pos="720"/>
        </w:tabs>
        <w:ind w:left="0" w:firstLine="0"/>
      </w:pPr>
      <w:rPr>
        <w:b/>
        <w:i w:val="0"/>
        <w:caps/>
        <w:smallCaps w:val="0"/>
        <w:u w:val="none"/>
      </w:rPr>
    </w:lvl>
    <w:lvl w:ilvl="1">
      <w:start w:val="1"/>
      <w:numFmt w:val="decimal"/>
      <w:isLgl/>
      <w:lvlText w:val="%1.%2"/>
      <w:lvlJc w:val="left"/>
      <w:pPr>
        <w:tabs>
          <w:tab w:val="num" w:pos="1440"/>
        </w:tabs>
        <w:ind w:left="0" w:firstLine="720"/>
      </w:pPr>
      <w:rPr>
        <w:b w:val="0"/>
        <w:i w:val="0"/>
        <w:caps w:val="0"/>
        <w:smallCaps w:val="0"/>
        <w:u w:val="none"/>
      </w:rPr>
    </w:lvl>
    <w:lvl w:ilvl="2">
      <w:start w:val="1"/>
      <w:numFmt w:val="decimal"/>
      <w:isLgl/>
      <w:lvlText w:val="%1.%2.%3"/>
      <w:lvlJc w:val="left"/>
      <w:pPr>
        <w:tabs>
          <w:tab w:val="num" w:pos="2448"/>
        </w:tabs>
        <w:ind w:left="0" w:firstLine="1440"/>
      </w:pPr>
      <w:rPr>
        <w:b w:val="0"/>
        <w:i w:val="0"/>
        <w:caps w:val="0"/>
        <w:smallCaps w:val="0"/>
        <w:u w:val="none"/>
      </w:rPr>
    </w:lvl>
    <w:lvl w:ilvl="3">
      <w:start w:val="1"/>
      <w:numFmt w:val="lowerLetter"/>
      <w:lvlText w:val="%4."/>
      <w:lvlJc w:val="left"/>
      <w:pPr>
        <w:tabs>
          <w:tab w:val="num" w:pos="2160"/>
        </w:tabs>
        <w:ind w:left="2160" w:hanging="720"/>
      </w:pPr>
      <w:rPr>
        <w:b w:val="0"/>
        <w:i w:val="0"/>
        <w:caps w:val="0"/>
        <w:smallCaps w:val="0"/>
        <w:u w:val="none"/>
      </w:rPr>
    </w:lvl>
    <w:lvl w:ilvl="4">
      <w:start w:val="1"/>
      <w:numFmt w:val="lowerRoman"/>
      <w:lvlText w:val="(%5)"/>
      <w:lvlJc w:val="left"/>
      <w:pPr>
        <w:tabs>
          <w:tab w:val="num" w:pos="2160"/>
        </w:tabs>
        <w:ind w:left="720" w:firstLine="720"/>
      </w:pPr>
      <w:rPr>
        <w:b w:val="0"/>
        <w:i w:val="0"/>
        <w:caps w:val="0"/>
        <w:smallCaps w:val="0"/>
        <w:u w:val="none"/>
      </w:rPr>
    </w:lvl>
    <w:lvl w:ilvl="5">
      <w:start w:val="1"/>
      <w:numFmt w:val="decimal"/>
      <w:lvlText w:val="(%6)"/>
      <w:lvlJc w:val="left"/>
      <w:pPr>
        <w:tabs>
          <w:tab w:val="num" w:pos="4320"/>
        </w:tabs>
        <w:ind w:left="0" w:firstLine="3600"/>
      </w:pPr>
      <w:rPr>
        <w:b w:val="0"/>
        <w:i w:val="0"/>
        <w:caps w:val="0"/>
        <w:smallCaps w:val="0"/>
        <w:u w:val="none"/>
      </w:rPr>
    </w:lvl>
    <w:lvl w:ilvl="6">
      <w:start w:val="1"/>
      <w:numFmt w:val="lowerLetter"/>
      <w:lvlText w:val="%7."/>
      <w:lvlJc w:val="left"/>
      <w:pPr>
        <w:tabs>
          <w:tab w:val="num" w:pos="5040"/>
        </w:tabs>
        <w:ind w:left="0" w:firstLine="4320"/>
      </w:pPr>
      <w:rPr>
        <w:b w:val="0"/>
        <w:i w:val="0"/>
        <w:caps w:val="0"/>
        <w:smallCaps w:val="0"/>
        <w:u w:val="none"/>
      </w:rPr>
    </w:lvl>
    <w:lvl w:ilvl="7">
      <w:start w:val="1"/>
      <w:numFmt w:val="lowerRoman"/>
      <w:lvlText w:val="%8."/>
      <w:lvlJc w:val="left"/>
      <w:pPr>
        <w:tabs>
          <w:tab w:val="num" w:pos="5760"/>
        </w:tabs>
        <w:ind w:left="0" w:firstLine="5040"/>
      </w:pPr>
      <w:rPr>
        <w:b w:val="0"/>
        <w:i w:val="0"/>
        <w:caps w:val="0"/>
        <w:smallCaps w:val="0"/>
        <w:u w:val="none"/>
      </w:rPr>
    </w:lvl>
    <w:lvl w:ilvl="8">
      <w:start w:val="1"/>
      <w:numFmt w:val="decimal"/>
      <w:lvlText w:val="%9."/>
      <w:lvlJc w:val="left"/>
      <w:pPr>
        <w:tabs>
          <w:tab w:val="num" w:pos="6480"/>
        </w:tabs>
        <w:ind w:left="0" w:firstLine="5760"/>
      </w:pPr>
      <w:rPr>
        <w:b w:val="0"/>
        <w:i w:val="0"/>
        <w:caps w:val="0"/>
        <w:smallCaps w:val="0"/>
        <w:u w:val="none"/>
      </w:rPr>
    </w:lvl>
  </w:abstractNum>
  <w:abstractNum w:abstractNumId="30" w15:restartNumberingAfterBreak="0">
    <w:nsid w:val="60804F57"/>
    <w:multiLevelType w:val="multilevel"/>
    <w:tmpl w:val="6E6A358A"/>
    <w:name w:val="zzmpPleading1||Pleading1|2|1|1|1|10|41||1|10|33||1|10|32||1|10|32||1|10|32||1|12|32||1|12|32||1|12|32||1|12|32||"/>
    <w:lvl w:ilvl="0">
      <w:start w:val="1"/>
      <w:numFmt w:val="upperRoman"/>
      <w:lvlText w:val="%1."/>
      <w:lvlJc w:val="left"/>
      <w:pPr>
        <w:tabs>
          <w:tab w:val="num" w:pos="720"/>
        </w:tabs>
        <w:ind w:left="720" w:hanging="720"/>
      </w:pPr>
      <w:rPr>
        <w:b/>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1440"/>
        </w:tabs>
        <w:ind w:left="1440" w:hanging="720"/>
      </w:pPr>
      <w:rPr>
        <w:b/>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tabs>
          <w:tab w:val="num" w:pos="2160"/>
        </w:tabs>
        <w:ind w:left="2160" w:hanging="720"/>
      </w:pPr>
      <w:rPr>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4320"/>
        </w:tabs>
        <w:ind w:left="4320" w:hanging="720"/>
      </w:pPr>
      <w:rPr>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lvlText w:val="(%7)"/>
      <w:lvlJc w:val="left"/>
      <w:pPr>
        <w:tabs>
          <w:tab w:val="num" w:pos="5040"/>
        </w:tabs>
        <w:ind w:left="5040" w:hanging="720"/>
      </w:pPr>
      <w:rPr>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5760"/>
        </w:tabs>
        <w:ind w:left="5760" w:hanging="720"/>
      </w:pPr>
      <w:rPr>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pPr>
        <w:tabs>
          <w:tab w:val="num" w:pos="6480"/>
        </w:tabs>
        <w:ind w:left="6480" w:hanging="720"/>
      </w:pPr>
      <w:rPr>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69331D87"/>
    <w:multiLevelType w:val="hybridMultilevel"/>
    <w:tmpl w:val="D92C270A"/>
    <w:name w:val="Heading3"/>
    <w:lvl w:ilvl="0" w:tplc="2ECEDA62">
      <w:start w:val="1"/>
      <w:numFmt w:val="bullet"/>
      <w:pStyle w:val="ListBullet5"/>
      <w:lvlText w:val=""/>
      <w:lvlJc w:val="left"/>
      <w:pPr>
        <w:ind w:left="1440" w:hanging="360"/>
      </w:pPr>
      <w:rPr>
        <w:rFonts w:ascii="Wingdings" w:hAnsi="Wingdings" w:hint="default"/>
      </w:rPr>
    </w:lvl>
    <w:lvl w:ilvl="1" w:tplc="5DF60B9E" w:tentative="1">
      <w:start w:val="1"/>
      <w:numFmt w:val="bullet"/>
      <w:lvlText w:val="o"/>
      <w:lvlJc w:val="left"/>
      <w:pPr>
        <w:ind w:left="2160" w:hanging="360"/>
      </w:pPr>
      <w:rPr>
        <w:rFonts w:ascii="Courier New" w:hAnsi="Courier New" w:cs="Courier New" w:hint="default"/>
      </w:rPr>
    </w:lvl>
    <w:lvl w:ilvl="2" w:tplc="1668F51A" w:tentative="1">
      <w:start w:val="1"/>
      <w:numFmt w:val="bullet"/>
      <w:lvlText w:val=""/>
      <w:lvlJc w:val="left"/>
      <w:pPr>
        <w:ind w:left="2880" w:hanging="360"/>
      </w:pPr>
      <w:rPr>
        <w:rFonts w:ascii="Wingdings" w:hAnsi="Wingdings" w:hint="default"/>
      </w:rPr>
    </w:lvl>
    <w:lvl w:ilvl="3" w:tplc="7CA6485E" w:tentative="1">
      <w:start w:val="1"/>
      <w:numFmt w:val="bullet"/>
      <w:lvlText w:val=""/>
      <w:lvlJc w:val="left"/>
      <w:pPr>
        <w:ind w:left="3600" w:hanging="360"/>
      </w:pPr>
      <w:rPr>
        <w:rFonts w:ascii="Symbol" w:hAnsi="Symbol" w:hint="default"/>
      </w:rPr>
    </w:lvl>
    <w:lvl w:ilvl="4" w:tplc="CDA8281C" w:tentative="1">
      <w:start w:val="1"/>
      <w:numFmt w:val="bullet"/>
      <w:lvlText w:val="o"/>
      <w:lvlJc w:val="left"/>
      <w:pPr>
        <w:ind w:left="4320" w:hanging="360"/>
      </w:pPr>
      <w:rPr>
        <w:rFonts w:ascii="Courier New" w:hAnsi="Courier New" w:cs="Courier New" w:hint="default"/>
      </w:rPr>
    </w:lvl>
    <w:lvl w:ilvl="5" w:tplc="028E6954" w:tentative="1">
      <w:start w:val="1"/>
      <w:numFmt w:val="bullet"/>
      <w:lvlText w:val=""/>
      <w:lvlJc w:val="left"/>
      <w:pPr>
        <w:ind w:left="5040" w:hanging="360"/>
      </w:pPr>
      <w:rPr>
        <w:rFonts w:ascii="Wingdings" w:hAnsi="Wingdings" w:hint="default"/>
      </w:rPr>
    </w:lvl>
    <w:lvl w:ilvl="6" w:tplc="41908182" w:tentative="1">
      <w:start w:val="1"/>
      <w:numFmt w:val="bullet"/>
      <w:lvlText w:val=""/>
      <w:lvlJc w:val="left"/>
      <w:pPr>
        <w:ind w:left="5760" w:hanging="360"/>
      </w:pPr>
      <w:rPr>
        <w:rFonts w:ascii="Symbol" w:hAnsi="Symbol" w:hint="default"/>
      </w:rPr>
    </w:lvl>
    <w:lvl w:ilvl="7" w:tplc="E19CC51E" w:tentative="1">
      <w:start w:val="1"/>
      <w:numFmt w:val="bullet"/>
      <w:lvlText w:val="o"/>
      <w:lvlJc w:val="left"/>
      <w:pPr>
        <w:ind w:left="6480" w:hanging="360"/>
      </w:pPr>
      <w:rPr>
        <w:rFonts w:ascii="Courier New" w:hAnsi="Courier New" w:cs="Courier New" w:hint="default"/>
      </w:rPr>
    </w:lvl>
    <w:lvl w:ilvl="8" w:tplc="8A4E3F00" w:tentative="1">
      <w:start w:val="1"/>
      <w:numFmt w:val="bullet"/>
      <w:lvlText w:val=""/>
      <w:lvlJc w:val="left"/>
      <w:pPr>
        <w:ind w:left="7200" w:hanging="360"/>
      </w:pPr>
      <w:rPr>
        <w:rFonts w:ascii="Wingdings" w:hAnsi="Wingdings" w:hint="default"/>
      </w:rPr>
    </w:lvl>
  </w:abstractNum>
  <w:abstractNum w:abstractNumId="32" w15:restartNumberingAfterBreak="0">
    <w:nsid w:val="6A29672F"/>
    <w:multiLevelType w:val="multilevel"/>
    <w:tmpl w:val="DC565CF0"/>
    <w:styleLink w:val="Style2"/>
    <w:lvl w:ilvl="0">
      <w:start w:val="1"/>
      <w:numFmt w:val="decimal"/>
      <w:lvlText w:val="%1."/>
      <w:lvlJc w:val="left"/>
      <w:pPr>
        <w:tabs>
          <w:tab w:val="num" w:pos="-360"/>
        </w:tabs>
        <w:ind w:left="-360" w:hanging="360"/>
      </w:pPr>
    </w:lvl>
    <w:lvl w:ilvl="1" w:tentative="1">
      <w:start w:val="1"/>
      <w:numFmt w:val="decimal"/>
      <w:lvlText w:val="%2."/>
      <w:lvlJc w:val="left"/>
      <w:pPr>
        <w:tabs>
          <w:tab w:val="num" w:pos="360"/>
        </w:tabs>
        <w:ind w:left="360" w:hanging="360"/>
      </w:pPr>
    </w:lvl>
    <w:lvl w:ilvl="2" w:tentative="1">
      <w:start w:val="1"/>
      <w:numFmt w:val="decimal"/>
      <w:lvlText w:val="%3."/>
      <w:lvlJc w:val="left"/>
      <w:pPr>
        <w:tabs>
          <w:tab w:val="num" w:pos="1080"/>
        </w:tabs>
        <w:ind w:left="1080" w:hanging="360"/>
      </w:pPr>
    </w:lvl>
    <w:lvl w:ilvl="3" w:tentative="1">
      <w:start w:val="1"/>
      <w:numFmt w:val="decimal"/>
      <w:lvlText w:val="%4."/>
      <w:lvlJc w:val="left"/>
      <w:pPr>
        <w:tabs>
          <w:tab w:val="num" w:pos="1800"/>
        </w:tabs>
        <w:ind w:left="1800" w:hanging="360"/>
      </w:pPr>
    </w:lvl>
    <w:lvl w:ilvl="4" w:tentative="1">
      <w:start w:val="1"/>
      <w:numFmt w:val="decimal"/>
      <w:lvlText w:val="%5."/>
      <w:lvlJc w:val="left"/>
      <w:pPr>
        <w:tabs>
          <w:tab w:val="num" w:pos="2520"/>
        </w:tabs>
        <w:ind w:left="2520" w:hanging="360"/>
      </w:pPr>
    </w:lvl>
    <w:lvl w:ilvl="5" w:tentative="1">
      <w:start w:val="1"/>
      <w:numFmt w:val="decimal"/>
      <w:lvlText w:val="%6."/>
      <w:lvlJc w:val="left"/>
      <w:pPr>
        <w:tabs>
          <w:tab w:val="num" w:pos="3240"/>
        </w:tabs>
        <w:ind w:left="3240" w:hanging="360"/>
      </w:pPr>
    </w:lvl>
    <w:lvl w:ilvl="6" w:tentative="1">
      <w:start w:val="1"/>
      <w:numFmt w:val="decimal"/>
      <w:lvlText w:val="%7."/>
      <w:lvlJc w:val="left"/>
      <w:pPr>
        <w:tabs>
          <w:tab w:val="num" w:pos="3960"/>
        </w:tabs>
        <w:ind w:left="3960" w:hanging="360"/>
      </w:pPr>
    </w:lvl>
    <w:lvl w:ilvl="7" w:tentative="1">
      <w:start w:val="1"/>
      <w:numFmt w:val="decimal"/>
      <w:lvlText w:val="%8."/>
      <w:lvlJc w:val="left"/>
      <w:pPr>
        <w:tabs>
          <w:tab w:val="num" w:pos="4680"/>
        </w:tabs>
        <w:ind w:left="4680" w:hanging="360"/>
      </w:pPr>
    </w:lvl>
    <w:lvl w:ilvl="8" w:tentative="1">
      <w:start w:val="1"/>
      <w:numFmt w:val="decimal"/>
      <w:lvlText w:val="%9."/>
      <w:lvlJc w:val="left"/>
      <w:pPr>
        <w:tabs>
          <w:tab w:val="num" w:pos="5400"/>
        </w:tabs>
        <w:ind w:left="5400" w:hanging="360"/>
      </w:pPr>
    </w:lvl>
  </w:abstractNum>
  <w:abstractNum w:abstractNumId="33" w15:restartNumberingAfterBreak="0">
    <w:nsid w:val="6D756D7F"/>
    <w:multiLevelType w:val="hybridMultilevel"/>
    <w:tmpl w:val="F96C4AB6"/>
    <w:lvl w:ilvl="0" w:tplc="00000002">
      <w:start w:val="1"/>
      <w:numFmt w:val="bullet"/>
      <w:lvlText w:val=""/>
      <w:lvlJc w:val="left"/>
      <w:pPr>
        <w:ind w:left="720" w:hanging="360"/>
      </w:pPr>
      <w:rPr>
        <w:rFonts w:ascii="Wingdings" w:hAnsi="Wingding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C26EF4"/>
    <w:multiLevelType w:val="multilevel"/>
    <w:tmpl w:val="731EE736"/>
    <w:name w:val="HeadingStyles||Heading|3|3|0|1|0|41||1|0|32||1|0|32||1|0|32||1|0|32||1|0|32||1|0|32||1|0|32||1|0|36||"/>
    <w:lvl w:ilvl="0">
      <w:start w:val="1"/>
      <w:numFmt w:val="decimal"/>
      <w:suff w:val="nothing"/>
      <w:lvlText w:val="ARTICLE %1"/>
      <w:lvlJc w:val="left"/>
      <w:pPr>
        <w:ind w:left="1440" w:firstLine="0"/>
      </w:pPr>
      <w:rPr>
        <w:rFonts w:ascii="Arial" w:hAnsi="Arial" w:cs="Arial" w:hint="default"/>
        <w:b/>
        <w:i w:val="0"/>
        <w: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360"/>
        </w:tabs>
        <w:ind w:left="-720" w:firstLine="720"/>
      </w:pPr>
      <w:rPr>
        <w:rFonts w:ascii="Arial" w:hAnsi="Arial" w:cs="Arial" w:hint="default"/>
        <w:b w:val="0"/>
        <w:i w:val="0"/>
        <w:caps w:val="0"/>
        <w:strike w:val="0"/>
        <w:dstrike w:val="0"/>
        <w:vanish w:val="0"/>
        <w:color w:val="auto"/>
        <w:spacing w:val="0"/>
        <w:w w:val="100"/>
        <w:kern w:val="0"/>
        <w:position w:val="0"/>
        <w:sz w:val="20"/>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0" w:firstLine="1440"/>
      </w:pPr>
      <w:rPr>
        <w:rFonts w:ascii="Arial" w:hAnsi="Arial" w:cs="Arial" w:hint="default"/>
        <w:b w:val="0"/>
        <w:i w:val="0"/>
        <w:caps w:val="0"/>
        <w:strike w:val="0"/>
        <w:dstrike w:val="0"/>
        <w:vanish w:val="0"/>
        <w:color w:val="auto"/>
        <w:spacing w:val="0"/>
        <w:w w:val="100"/>
        <w:kern w:val="0"/>
        <w:position w:val="0"/>
        <w:sz w:val="20"/>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2880"/>
        </w:tabs>
        <w:ind w:left="0" w:firstLine="2160"/>
      </w:pPr>
      <w:rPr>
        <w:rFonts w:ascii="Arial" w:hAnsi="Arial" w:cs="Arial" w:hint="default"/>
        <w:b w:val="0"/>
        <w:i w:val="0"/>
        <w:caps w:val="0"/>
        <w:strike w:val="0"/>
        <w:dstrike w:val="0"/>
        <w:vanish w:val="0"/>
        <w:color w:val="auto"/>
        <w:spacing w:val="0"/>
        <w:w w:val="100"/>
        <w:kern w:val="0"/>
        <w:position w:val="0"/>
        <w:sz w:val="20"/>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1440"/>
        </w:tabs>
        <w:ind w:left="4507" w:hanging="720"/>
      </w:pPr>
      <w:rPr>
        <w:rFonts w:hint="default"/>
        <w:b w:val="0"/>
        <w:i w:val="0"/>
        <w:caps w:val="0"/>
        <w:strike w:val="0"/>
        <w:dstrike w:val="0"/>
        <w:vanish w:val="0"/>
        <w:color w:val="auto"/>
        <w:spacing w:val="0"/>
        <w:w w:val="10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tabs>
          <w:tab w:val="num" w:pos="1440"/>
        </w:tabs>
        <w:ind w:left="5227" w:hanging="720"/>
      </w:pPr>
      <w:rPr>
        <w:rFonts w:hint="default"/>
        <w:b w:val="0"/>
        <w:i w:val="0"/>
        <w:caps w:val="0"/>
        <w:strike w:val="0"/>
        <w:dstrike w:val="0"/>
        <w:vanish w:val="0"/>
        <w:color w:val="auto"/>
        <w:spacing w:val="0"/>
        <w:w w:val="10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
      <w:lvlJc w:val="left"/>
      <w:pPr>
        <w:ind w:left="5760" w:firstLine="0"/>
      </w:pPr>
      <w:rPr>
        <w:rFonts w:hint="default"/>
      </w:rPr>
    </w:lvl>
    <w:lvl w:ilvl="7">
      <w:start w:val="1"/>
      <w:numFmt w:val="none"/>
      <w:suff w:val="nothing"/>
      <w:lvlText w:val=""/>
      <w:lvlJc w:val="left"/>
      <w:pPr>
        <w:ind w:left="6480" w:firstLine="0"/>
      </w:pPr>
      <w:rPr>
        <w:rFonts w:hint="default"/>
      </w:rPr>
    </w:lvl>
    <w:lvl w:ilvl="8">
      <w:start w:val="1"/>
      <w:numFmt w:val="none"/>
      <w:suff w:val="nothing"/>
      <w:lvlText w:val=""/>
      <w:lvlJc w:val="left"/>
      <w:pPr>
        <w:ind w:left="7200" w:firstLine="0"/>
      </w:pPr>
      <w:rPr>
        <w:rFonts w:hint="default"/>
      </w:rPr>
    </w:lvl>
  </w:abstractNum>
  <w:abstractNum w:abstractNumId="35" w15:restartNumberingAfterBreak="0">
    <w:nsid w:val="6E2D0D93"/>
    <w:multiLevelType w:val="multilevel"/>
    <w:tmpl w:val="5406D782"/>
    <w:name w:val="zzmpOutline||Outline|2|3|1|1|12|9||1|12|1||1|12|1||1|10|1||1|10|0||1|12|0||1|12|0||1|12|0||1|12|0||"/>
    <w:lvl w:ilvl="0">
      <w:start w:val="1"/>
      <w:numFmt w:val="upperRoman"/>
      <w:lvlText w:val="%1."/>
      <w:lvlJc w:val="left"/>
      <w:pPr>
        <w:tabs>
          <w:tab w:val="num" w:pos="1440"/>
        </w:tabs>
        <w:ind w:left="1440" w:hanging="720"/>
      </w:pPr>
      <w:rPr>
        <w:rFonts w:hint="default"/>
        <w:b w:val="0"/>
        <w:i w:val="0"/>
        <w:caps/>
        <w:smallCaps w:val="0"/>
        <w:u w:val="none"/>
      </w:rPr>
    </w:lvl>
    <w:lvl w:ilvl="1">
      <w:start w:val="1"/>
      <w:numFmt w:val="lowerLetter"/>
      <w:lvlText w:val="%2."/>
      <w:lvlJc w:val="left"/>
      <w:pPr>
        <w:tabs>
          <w:tab w:val="num" w:pos="1440"/>
        </w:tabs>
        <w:ind w:left="0" w:firstLine="720"/>
      </w:pPr>
      <w:rPr>
        <w:rFonts w:hint="default"/>
        <w:b w:val="0"/>
        <w:i w:val="0"/>
        <w:caps w:val="0"/>
        <w:smallCaps w:val="0"/>
        <w:u w:val="none"/>
      </w:rPr>
    </w:lvl>
    <w:lvl w:ilvl="2">
      <w:start w:val="1"/>
      <w:numFmt w:val="decimal"/>
      <w:lvlText w:val="%3."/>
      <w:lvlJc w:val="left"/>
      <w:pPr>
        <w:tabs>
          <w:tab w:val="num" w:pos="720"/>
        </w:tabs>
        <w:ind w:left="720" w:hanging="720"/>
      </w:pPr>
      <w:rPr>
        <w:rFonts w:hint="default"/>
        <w:b w:val="0"/>
        <w:i w:val="0"/>
        <w:caps w:val="0"/>
        <w:smallCaps w:val="0"/>
        <w:u w:val="none"/>
      </w:rPr>
    </w:lvl>
    <w:lvl w:ilvl="3">
      <w:start w:val="1"/>
      <w:numFmt w:val="decimal"/>
      <w:lvlText w:val="%4."/>
      <w:lvlJc w:val="left"/>
      <w:pPr>
        <w:tabs>
          <w:tab w:val="num" w:pos="720"/>
        </w:tabs>
        <w:ind w:left="720" w:hanging="720"/>
      </w:pPr>
      <w:rPr>
        <w:rFonts w:hint="default"/>
        <w:b w:val="0"/>
        <w:i w:val="0"/>
        <w:caps w:val="0"/>
        <w:smallCaps w:val="0"/>
        <w:u w:val="none"/>
      </w:rPr>
    </w:lvl>
    <w:lvl w:ilvl="4">
      <w:start w:val="1"/>
      <w:numFmt w:val="upperLetter"/>
      <w:lvlText w:val="%5."/>
      <w:lvlJc w:val="left"/>
      <w:pPr>
        <w:tabs>
          <w:tab w:val="num" w:pos="1530"/>
        </w:tabs>
        <w:ind w:left="90" w:firstLine="720"/>
      </w:pPr>
      <w:rPr>
        <w:rFonts w:hint="default"/>
        <w:b w:val="0"/>
        <w:i w:val="0"/>
        <w:caps w:val="0"/>
        <w:smallCaps w:val="0"/>
        <w:color w:val="auto"/>
        <w:u w:val="none"/>
      </w:rPr>
    </w:lvl>
    <w:lvl w:ilvl="5">
      <w:start w:val="1"/>
      <w:numFmt w:val="lowerLetter"/>
      <w:lvlText w:val="(%6)"/>
      <w:lvlJc w:val="left"/>
      <w:pPr>
        <w:tabs>
          <w:tab w:val="num" w:pos="4320"/>
        </w:tabs>
        <w:ind w:left="0" w:firstLine="3600"/>
      </w:pPr>
      <w:rPr>
        <w:rFonts w:hint="default"/>
        <w:b w:val="0"/>
        <w:i w:val="0"/>
        <w:caps w:val="0"/>
        <w:smallCaps w:val="0"/>
        <w:u w:val="none"/>
      </w:rPr>
    </w:lvl>
    <w:lvl w:ilvl="6">
      <w:start w:val="1"/>
      <w:numFmt w:val="decimal"/>
      <w:lvlText w:val="(%7)"/>
      <w:lvlJc w:val="left"/>
      <w:pPr>
        <w:tabs>
          <w:tab w:val="num" w:pos="5040"/>
        </w:tabs>
        <w:ind w:left="0" w:firstLine="4320"/>
      </w:pPr>
      <w:rPr>
        <w:rFonts w:hint="default"/>
        <w:b w:val="0"/>
        <w:i w:val="0"/>
        <w:caps w:val="0"/>
        <w:smallCaps w:val="0"/>
        <w:u w:val="none"/>
      </w:rPr>
    </w:lvl>
    <w:lvl w:ilvl="7">
      <w:start w:val="1"/>
      <w:numFmt w:val="lowerRoman"/>
      <w:lvlText w:val="%8)"/>
      <w:lvlJc w:val="left"/>
      <w:pPr>
        <w:tabs>
          <w:tab w:val="num" w:pos="5760"/>
        </w:tabs>
        <w:ind w:left="0" w:firstLine="5040"/>
      </w:pPr>
      <w:rPr>
        <w:rFonts w:hint="default"/>
        <w:b w:val="0"/>
        <w:i w:val="0"/>
        <w:caps w:val="0"/>
        <w:smallCaps w:val="0"/>
        <w:u w:val="none"/>
      </w:rPr>
    </w:lvl>
    <w:lvl w:ilvl="8">
      <w:start w:val="1"/>
      <w:numFmt w:val="lowerLetter"/>
      <w:lvlText w:val="%9)"/>
      <w:lvlJc w:val="left"/>
      <w:pPr>
        <w:tabs>
          <w:tab w:val="num" w:pos="6480"/>
        </w:tabs>
        <w:ind w:left="0" w:firstLine="5760"/>
      </w:pPr>
      <w:rPr>
        <w:rFonts w:hint="default"/>
        <w:b w:val="0"/>
        <w:i w:val="0"/>
        <w:caps w:val="0"/>
        <w:smallCaps w:val="0"/>
        <w:u w:val="none"/>
      </w:rPr>
    </w:lvl>
  </w:abstractNum>
  <w:abstractNum w:abstractNumId="36" w15:restartNumberingAfterBreak="0">
    <w:nsid w:val="7DF57309"/>
    <w:multiLevelType w:val="multilevel"/>
    <w:tmpl w:val="99D86774"/>
    <w:styleLink w:val="zGzListStyle1"/>
    <w:lvl w:ilvl="0">
      <w:start w:val="1"/>
      <w:numFmt w:val="decimal"/>
      <w:isLgl/>
      <w:lvlText w:val="PART %1."/>
      <w:lvlJc w:val="left"/>
      <w:pPr>
        <w:tabs>
          <w:tab w:val="num" w:pos="1152"/>
        </w:tabs>
        <w:ind w:left="1152" w:hanging="1152"/>
      </w:pPr>
      <w:rPr>
        <w:rFonts w:ascii="Arial Bold" w:hAnsi="Arial Bold" w:hint="default"/>
        <w:b/>
        <w:i w:val="0"/>
        <w:caps/>
        <w:strike w:val="0"/>
        <w:dstrike w:val="0"/>
        <w:vanish w:val="0"/>
        <w:color w:val="auto"/>
        <w:sz w:val="20"/>
        <w:u w:val="singl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152"/>
        </w:tabs>
        <w:ind w:left="1152" w:hanging="576"/>
      </w:pPr>
      <w:rPr>
        <w:rFonts w:ascii="Arial Bold" w:hAnsi="Arial Bold" w:hint="default"/>
        <w:b/>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1872"/>
        </w:tabs>
        <w:ind w:left="1152" w:firstLine="0"/>
      </w:pPr>
      <w:rPr>
        <w:rFonts w:ascii="Arial Bold" w:hAnsi="Arial Bold" w:hint="default"/>
        <w:b/>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upperLetter"/>
      <w:lvlText w:val="%4."/>
      <w:lvlJc w:val="left"/>
      <w:pPr>
        <w:tabs>
          <w:tab w:val="num" w:pos="1728"/>
        </w:tabs>
        <w:ind w:left="1584" w:firstLine="0"/>
      </w:pPr>
      <w:rPr>
        <w:rFonts w:ascii="Arial Bold" w:hAnsi="Arial Bold" w:hint="default"/>
        <w:b/>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2304"/>
        </w:tabs>
        <w:ind w:left="1872" w:firstLine="0"/>
      </w:pPr>
      <w:rPr>
        <w:rFonts w:ascii="Arial Bold" w:hAnsi="Arial Bold" w:hint="default"/>
        <w:b/>
        <w:bCs w:val="0"/>
        <w:i w:val="0"/>
        <w:sz w:val="20"/>
      </w:rPr>
    </w:lvl>
    <w:lvl w:ilvl="5">
      <w:start w:val="1"/>
      <w:numFmt w:val="lowerLetter"/>
      <w:lvlText w:val="(%6)"/>
      <w:lvlJc w:val="left"/>
      <w:pPr>
        <w:tabs>
          <w:tab w:val="num" w:pos="2088"/>
        </w:tabs>
        <w:ind w:left="2088" w:firstLine="0"/>
      </w:pPr>
      <w:rPr>
        <w:rFonts w:ascii="Arial Bold" w:hAnsi="Arial Bold" w:hint="default"/>
        <w:b/>
        <w:i w:val="0"/>
        <w:sz w:val="20"/>
      </w:rPr>
    </w:lvl>
    <w:lvl w:ilvl="6">
      <w:start w:val="1"/>
      <w:numFmt w:val="decimalZero"/>
      <w:lvlText w:val="(%7)"/>
      <w:lvlJc w:val="left"/>
      <w:pPr>
        <w:tabs>
          <w:tab w:val="num" w:pos="2736"/>
        </w:tabs>
        <w:ind w:left="2736" w:firstLine="0"/>
      </w:pPr>
      <w:rPr>
        <w:rFonts w:ascii="Arial Bold" w:hAnsi="Arial Bold" w:hint="default"/>
        <w:b/>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
      <w:lvlJc w:val="left"/>
      <w:pPr>
        <w:tabs>
          <w:tab w:val="num" w:pos="3456"/>
        </w:tabs>
        <w:ind w:left="3024" w:firstLine="0"/>
      </w:pPr>
      <w:rPr>
        <w:rFonts w:ascii="Symbol" w:hAnsi="Symbol" w:hint="default"/>
        <w:b w:val="0"/>
        <w:i w:val="0"/>
        <w:caps w:val="0"/>
        <w:strike w:val="0"/>
        <w:dstrike w:val="0"/>
        <w:vanish w:val="0"/>
        <w:color w:val="auto"/>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3744"/>
        </w:tabs>
        <w:ind w:left="3384" w:firstLine="0"/>
      </w:pPr>
      <w:rPr>
        <w:rFonts w:ascii="Symbol" w:hAnsi="Symbol" w:hint="default"/>
        <w:strike w:val="0"/>
        <w:dstrike w:val="0"/>
        <w:color w:val="auto"/>
      </w:rPr>
    </w:lvl>
  </w:abstractNum>
  <w:abstractNum w:abstractNumId="37" w15:restartNumberingAfterBreak="0">
    <w:nsid w:val="7E054865"/>
    <w:multiLevelType w:val="multilevel"/>
    <w:tmpl w:val="12FA696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14639885">
    <w:abstractNumId w:val="2"/>
  </w:num>
  <w:num w:numId="2" w16cid:durableId="64690866">
    <w:abstractNumId w:val="1"/>
  </w:num>
  <w:num w:numId="3" w16cid:durableId="2057123776">
    <w:abstractNumId w:val="0"/>
  </w:num>
  <w:num w:numId="4" w16cid:durableId="1922058440">
    <w:abstractNumId w:val="10"/>
  </w:num>
  <w:num w:numId="5" w16cid:durableId="1638533122">
    <w:abstractNumId w:val="31"/>
  </w:num>
  <w:num w:numId="6" w16cid:durableId="465128403">
    <w:abstractNumId w:val="21"/>
  </w:num>
  <w:num w:numId="7" w16cid:durableId="753941490">
    <w:abstractNumId w:val="11"/>
  </w:num>
  <w:num w:numId="8" w16cid:durableId="1629049808">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2"/>
    </w:lvlOverride>
    <w:lvlOverride w:ilvl="6">
      <w:startOverride w:val="1"/>
    </w:lvlOverride>
    <w:lvlOverride w:ilvl="7">
      <w:startOverride w:val="1"/>
    </w:lvlOverride>
    <w:lvlOverride w:ilvl="8">
      <w:startOverride w:val="1"/>
    </w:lvlOverride>
  </w:num>
  <w:num w:numId="9" w16cid:durableId="249774583">
    <w:abstractNumId w:val="17"/>
  </w:num>
  <w:num w:numId="10" w16cid:durableId="2081707761">
    <w:abstractNumId w:val="4"/>
    <w:lvlOverride w:ilvl="0">
      <w:startOverride w:val="13"/>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83581565">
    <w:abstractNumId w:val="16"/>
  </w:num>
  <w:num w:numId="12" w16cid:durableId="1136996690">
    <w:abstractNumId w:val="22"/>
  </w:num>
  <w:num w:numId="13" w16cid:durableId="893151903">
    <w:abstractNumId w:val="8"/>
  </w:num>
  <w:num w:numId="14" w16cid:durableId="974673862">
    <w:abstractNumId w:val="33"/>
  </w:num>
  <w:num w:numId="15" w16cid:durableId="54718588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4820427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63246728">
    <w:abstractNumId w:val="23"/>
  </w:num>
  <w:num w:numId="18" w16cid:durableId="563413187">
    <w:abstractNumId w:val="32"/>
  </w:num>
  <w:num w:numId="19" w16cid:durableId="2043902286">
    <w:abstractNumId w:val="27"/>
  </w:num>
  <w:num w:numId="20" w16cid:durableId="1796944035">
    <w:abstractNumId w:val="37"/>
  </w:num>
  <w:num w:numId="21" w16cid:durableId="1289047673">
    <w:abstractNumId w:val="28"/>
  </w:num>
  <w:num w:numId="22" w16cid:durableId="336004056">
    <w:abstractNumId w:val="12"/>
  </w:num>
  <w:num w:numId="23" w16cid:durableId="2135326046">
    <w:abstractNumId w:val="26"/>
  </w:num>
  <w:num w:numId="24" w16cid:durableId="1716274781">
    <w:abstractNumId w:val="18"/>
  </w:num>
  <w:num w:numId="25" w16cid:durableId="248664094">
    <w:abstractNumId w:val="36"/>
  </w:num>
  <w:num w:numId="26" w16cid:durableId="1261061910">
    <w:abstractNumId w:val="6"/>
  </w:num>
  <w:num w:numId="27" w16cid:durableId="333918161">
    <w:abstractNumId w:val="9"/>
  </w:num>
  <w:num w:numId="28" w16cid:durableId="1755390696">
    <w:abstractNumId w:val="3"/>
  </w:num>
  <w:num w:numId="29" w16cid:durableId="423887496">
    <w:abstractNumId w:val="5"/>
  </w:num>
  <w:num w:numId="30" w16cid:durableId="1678462367">
    <w:abstractNumId w:val="7"/>
  </w:num>
  <w:num w:numId="31" w16cid:durableId="1074206790">
    <w:abstractNumId w:val="24"/>
  </w:num>
  <w:num w:numId="32" w16cid:durableId="20514329">
    <w:abstractNumId w:val="19"/>
  </w:num>
  <w:num w:numId="33" w16cid:durableId="1655641493">
    <w:abstractNumId w:val="20"/>
  </w:num>
  <w:num w:numId="34" w16cid:durableId="4185231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3227955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50673668">
    <w:abstractNumId w:val="13"/>
  </w:num>
  <w:num w:numId="37" w16cid:durableId="863133485">
    <w:abstractNumId w:val="13"/>
    <w:lvlOverride w:ilvl="0">
      <w:startOverride w:val="18"/>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09474992">
    <w:abstractNumId w:val="13"/>
    <w:lvlOverride w:ilvl="0">
      <w:startOverride w:val="18"/>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29861458">
    <w:abstractNumId w:val="13"/>
    <w:lvlOverride w:ilvl="0">
      <w:startOverride w:val="18"/>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65200553">
    <w:abstractNumId w:val="13"/>
    <w:lvlOverride w:ilvl="0">
      <w:startOverride w:val="18"/>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activeWritingStyle w:lang="es-PR" w:vendorID="64" w:dllVersion="0" w:nlCheck="1" w:checkStyle="0" w:appName="MSWord"/>
  <w:activeWritingStyle w:lang="en-US" w:vendorID="64" w:dllVersion="0" w:nlCheck="1" w:checkStyle="0" w:appName="MSWord"/>
  <w:activeWritingStyle w:lang="fr-FR" w:vendorID="64" w:dllVersion="0" w:nlCheck="1" w:checkStyle="0" w:appName="MSWord"/>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NotTrackFormatting/>
  <w:defaultTabStop w:val="115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13EF"/>
    <w:rsid w:val="00000022"/>
    <w:rsid w:val="00000164"/>
    <w:rsid w:val="0000035F"/>
    <w:rsid w:val="000003B7"/>
    <w:rsid w:val="00000454"/>
    <w:rsid w:val="000004B5"/>
    <w:rsid w:val="000005A6"/>
    <w:rsid w:val="000006CA"/>
    <w:rsid w:val="0000076D"/>
    <w:rsid w:val="000007AF"/>
    <w:rsid w:val="00000A58"/>
    <w:rsid w:val="00000AF7"/>
    <w:rsid w:val="00000C97"/>
    <w:rsid w:val="00000DA8"/>
    <w:rsid w:val="00000F3A"/>
    <w:rsid w:val="00000F4B"/>
    <w:rsid w:val="00000FAA"/>
    <w:rsid w:val="000010C9"/>
    <w:rsid w:val="000010CA"/>
    <w:rsid w:val="0000115D"/>
    <w:rsid w:val="0000131A"/>
    <w:rsid w:val="0000168F"/>
    <w:rsid w:val="0000171C"/>
    <w:rsid w:val="0000183F"/>
    <w:rsid w:val="0000184F"/>
    <w:rsid w:val="0000195B"/>
    <w:rsid w:val="00001B81"/>
    <w:rsid w:val="00001E68"/>
    <w:rsid w:val="00001EF5"/>
    <w:rsid w:val="00001F3A"/>
    <w:rsid w:val="00001F96"/>
    <w:rsid w:val="00002180"/>
    <w:rsid w:val="0000226E"/>
    <w:rsid w:val="00002352"/>
    <w:rsid w:val="000023C6"/>
    <w:rsid w:val="00002546"/>
    <w:rsid w:val="0000274E"/>
    <w:rsid w:val="00002791"/>
    <w:rsid w:val="00002AB4"/>
    <w:rsid w:val="00002B85"/>
    <w:rsid w:val="00002C7C"/>
    <w:rsid w:val="00002D2C"/>
    <w:rsid w:val="00002D93"/>
    <w:rsid w:val="00002F49"/>
    <w:rsid w:val="00003175"/>
    <w:rsid w:val="0000317A"/>
    <w:rsid w:val="0000335E"/>
    <w:rsid w:val="000033B3"/>
    <w:rsid w:val="000035A3"/>
    <w:rsid w:val="0000364E"/>
    <w:rsid w:val="000036C0"/>
    <w:rsid w:val="000037F5"/>
    <w:rsid w:val="000038B8"/>
    <w:rsid w:val="000038D4"/>
    <w:rsid w:val="00003A37"/>
    <w:rsid w:val="00003A5F"/>
    <w:rsid w:val="00003C21"/>
    <w:rsid w:val="00003D28"/>
    <w:rsid w:val="00003D71"/>
    <w:rsid w:val="000041D0"/>
    <w:rsid w:val="00004523"/>
    <w:rsid w:val="00004601"/>
    <w:rsid w:val="00004790"/>
    <w:rsid w:val="000047C5"/>
    <w:rsid w:val="00004949"/>
    <w:rsid w:val="00004C74"/>
    <w:rsid w:val="00004D52"/>
    <w:rsid w:val="00004DDE"/>
    <w:rsid w:val="00004EB9"/>
    <w:rsid w:val="00005071"/>
    <w:rsid w:val="000050A2"/>
    <w:rsid w:val="000055C0"/>
    <w:rsid w:val="00005612"/>
    <w:rsid w:val="00005663"/>
    <w:rsid w:val="00005773"/>
    <w:rsid w:val="000057B0"/>
    <w:rsid w:val="000059DE"/>
    <w:rsid w:val="00005A9D"/>
    <w:rsid w:val="00005DBB"/>
    <w:rsid w:val="000060C1"/>
    <w:rsid w:val="000061D5"/>
    <w:rsid w:val="0000630D"/>
    <w:rsid w:val="0000630F"/>
    <w:rsid w:val="00006369"/>
    <w:rsid w:val="00006426"/>
    <w:rsid w:val="00006447"/>
    <w:rsid w:val="0000660B"/>
    <w:rsid w:val="000067A7"/>
    <w:rsid w:val="0000688D"/>
    <w:rsid w:val="00006942"/>
    <w:rsid w:val="00006A17"/>
    <w:rsid w:val="00006C29"/>
    <w:rsid w:val="00006CC5"/>
    <w:rsid w:val="00006CD3"/>
    <w:rsid w:val="00006E66"/>
    <w:rsid w:val="00006F2D"/>
    <w:rsid w:val="000071BF"/>
    <w:rsid w:val="00007212"/>
    <w:rsid w:val="000075BE"/>
    <w:rsid w:val="00007623"/>
    <w:rsid w:val="0000786D"/>
    <w:rsid w:val="00007906"/>
    <w:rsid w:val="00007AB6"/>
    <w:rsid w:val="00007B49"/>
    <w:rsid w:val="00007DFF"/>
    <w:rsid w:val="00007E19"/>
    <w:rsid w:val="00007F1A"/>
    <w:rsid w:val="00007F26"/>
    <w:rsid w:val="00010140"/>
    <w:rsid w:val="00010305"/>
    <w:rsid w:val="0001078D"/>
    <w:rsid w:val="000107C0"/>
    <w:rsid w:val="000107EE"/>
    <w:rsid w:val="00010869"/>
    <w:rsid w:val="000108DB"/>
    <w:rsid w:val="000108F2"/>
    <w:rsid w:val="0001098B"/>
    <w:rsid w:val="00010E6B"/>
    <w:rsid w:val="00010ED0"/>
    <w:rsid w:val="00010F31"/>
    <w:rsid w:val="0001134B"/>
    <w:rsid w:val="00011358"/>
    <w:rsid w:val="00011388"/>
    <w:rsid w:val="000113B1"/>
    <w:rsid w:val="00011519"/>
    <w:rsid w:val="0001153D"/>
    <w:rsid w:val="00011603"/>
    <w:rsid w:val="00011635"/>
    <w:rsid w:val="0001187D"/>
    <w:rsid w:val="000118DC"/>
    <w:rsid w:val="000118EE"/>
    <w:rsid w:val="00011A11"/>
    <w:rsid w:val="00011CAE"/>
    <w:rsid w:val="00011D0B"/>
    <w:rsid w:val="00011F07"/>
    <w:rsid w:val="00011F09"/>
    <w:rsid w:val="00011F11"/>
    <w:rsid w:val="000120F1"/>
    <w:rsid w:val="0001210B"/>
    <w:rsid w:val="00012141"/>
    <w:rsid w:val="0001245C"/>
    <w:rsid w:val="00012490"/>
    <w:rsid w:val="00012981"/>
    <w:rsid w:val="00012A25"/>
    <w:rsid w:val="00012C22"/>
    <w:rsid w:val="00012C31"/>
    <w:rsid w:val="00012DF0"/>
    <w:rsid w:val="00012F4F"/>
    <w:rsid w:val="00012F6C"/>
    <w:rsid w:val="00013012"/>
    <w:rsid w:val="00013013"/>
    <w:rsid w:val="000131FC"/>
    <w:rsid w:val="000133D3"/>
    <w:rsid w:val="0001340B"/>
    <w:rsid w:val="00013492"/>
    <w:rsid w:val="000134D7"/>
    <w:rsid w:val="0001375A"/>
    <w:rsid w:val="0001382F"/>
    <w:rsid w:val="00013861"/>
    <w:rsid w:val="00013997"/>
    <w:rsid w:val="00013AE6"/>
    <w:rsid w:val="00013B5B"/>
    <w:rsid w:val="00013B64"/>
    <w:rsid w:val="00013B94"/>
    <w:rsid w:val="00013CA2"/>
    <w:rsid w:val="00013DBC"/>
    <w:rsid w:val="00013E35"/>
    <w:rsid w:val="00013E61"/>
    <w:rsid w:val="000140A3"/>
    <w:rsid w:val="0001415A"/>
    <w:rsid w:val="000142B2"/>
    <w:rsid w:val="00014381"/>
    <w:rsid w:val="00014604"/>
    <w:rsid w:val="0001466F"/>
    <w:rsid w:val="000146E8"/>
    <w:rsid w:val="00014725"/>
    <w:rsid w:val="0001476A"/>
    <w:rsid w:val="000148F1"/>
    <w:rsid w:val="00014967"/>
    <w:rsid w:val="000149AE"/>
    <w:rsid w:val="00014A0C"/>
    <w:rsid w:val="00014AA2"/>
    <w:rsid w:val="00014DC1"/>
    <w:rsid w:val="00014E30"/>
    <w:rsid w:val="00014F7A"/>
    <w:rsid w:val="00014FC2"/>
    <w:rsid w:val="000152EF"/>
    <w:rsid w:val="000154F3"/>
    <w:rsid w:val="000155A3"/>
    <w:rsid w:val="000155B8"/>
    <w:rsid w:val="00015848"/>
    <w:rsid w:val="00015897"/>
    <w:rsid w:val="00015926"/>
    <w:rsid w:val="00015C95"/>
    <w:rsid w:val="00015D5C"/>
    <w:rsid w:val="00015E65"/>
    <w:rsid w:val="00016014"/>
    <w:rsid w:val="000162C3"/>
    <w:rsid w:val="00016380"/>
    <w:rsid w:val="0001640B"/>
    <w:rsid w:val="000164D1"/>
    <w:rsid w:val="00016767"/>
    <w:rsid w:val="00016811"/>
    <w:rsid w:val="00016A28"/>
    <w:rsid w:val="00016AA3"/>
    <w:rsid w:val="00016B12"/>
    <w:rsid w:val="00016C22"/>
    <w:rsid w:val="00016E51"/>
    <w:rsid w:val="0001700B"/>
    <w:rsid w:val="0001706A"/>
    <w:rsid w:val="000176A6"/>
    <w:rsid w:val="00017A13"/>
    <w:rsid w:val="00017A32"/>
    <w:rsid w:val="00017BDA"/>
    <w:rsid w:val="00017E66"/>
    <w:rsid w:val="00017EC9"/>
    <w:rsid w:val="00020040"/>
    <w:rsid w:val="000200B8"/>
    <w:rsid w:val="00020124"/>
    <w:rsid w:val="0002014A"/>
    <w:rsid w:val="000201A3"/>
    <w:rsid w:val="000201F5"/>
    <w:rsid w:val="0002023E"/>
    <w:rsid w:val="000205AA"/>
    <w:rsid w:val="0002082B"/>
    <w:rsid w:val="00020B37"/>
    <w:rsid w:val="00020BA9"/>
    <w:rsid w:val="00020C66"/>
    <w:rsid w:val="000210D4"/>
    <w:rsid w:val="00021427"/>
    <w:rsid w:val="000214B9"/>
    <w:rsid w:val="0002172A"/>
    <w:rsid w:val="00021897"/>
    <w:rsid w:val="00021BBE"/>
    <w:rsid w:val="00021BE8"/>
    <w:rsid w:val="00021D85"/>
    <w:rsid w:val="00021E08"/>
    <w:rsid w:val="00021FCA"/>
    <w:rsid w:val="00021FD1"/>
    <w:rsid w:val="0002205D"/>
    <w:rsid w:val="00022068"/>
    <w:rsid w:val="00022260"/>
    <w:rsid w:val="000222A0"/>
    <w:rsid w:val="00022458"/>
    <w:rsid w:val="00022610"/>
    <w:rsid w:val="00022DC3"/>
    <w:rsid w:val="00022EC0"/>
    <w:rsid w:val="00022FDB"/>
    <w:rsid w:val="00023014"/>
    <w:rsid w:val="0002303E"/>
    <w:rsid w:val="00023112"/>
    <w:rsid w:val="0002314D"/>
    <w:rsid w:val="000232F7"/>
    <w:rsid w:val="000233F5"/>
    <w:rsid w:val="00023484"/>
    <w:rsid w:val="000234F8"/>
    <w:rsid w:val="00023585"/>
    <w:rsid w:val="00023769"/>
    <w:rsid w:val="000237CA"/>
    <w:rsid w:val="000238F5"/>
    <w:rsid w:val="000239A0"/>
    <w:rsid w:val="00023A67"/>
    <w:rsid w:val="00023C39"/>
    <w:rsid w:val="00023C7F"/>
    <w:rsid w:val="00023CE9"/>
    <w:rsid w:val="00023D8E"/>
    <w:rsid w:val="00023F37"/>
    <w:rsid w:val="00023F6D"/>
    <w:rsid w:val="00023F73"/>
    <w:rsid w:val="0002414B"/>
    <w:rsid w:val="00024205"/>
    <w:rsid w:val="00024251"/>
    <w:rsid w:val="00024273"/>
    <w:rsid w:val="000242B9"/>
    <w:rsid w:val="00024771"/>
    <w:rsid w:val="000247A1"/>
    <w:rsid w:val="000247F7"/>
    <w:rsid w:val="00024847"/>
    <w:rsid w:val="00024A50"/>
    <w:rsid w:val="00024A64"/>
    <w:rsid w:val="00024AE7"/>
    <w:rsid w:val="00024B11"/>
    <w:rsid w:val="00024B32"/>
    <w:rsid w:val="00024CBC"/>
    <w:rsid w:val="00024D31"/>
    <w:rsid w:val="00024D63"/>
    <w:rsid w:val="00024DB0"/>
    <w:rsid w:val="00024FC3"/>
    <w:rsid w:val="0002506D"/>
    <w:rsid w:val="0002507A"/>
    <w:rsid w:val="00025182"/>
    <w:rsid w:val="000251A9"/>
    <w:rsid w:val="000252FE"/>
    <w:rsid w:val="00025359"/>
    <w:rsid w:val="00025482"/>
    <w:rsid w:val="0002550A"/>
    <w:rsid w:val="0002555C"/>
    <w:rsid w:val="000255CB"/>
    <w:rsid w:val="0002563E"/>
    <w:rsid w:val="00025684"/>
    <w:rsid w:val="000256B3"/>
    <w:rsid w:val="0002572F"/>
    <w:rsid w:val="00025741"/>
    <w:rsid w:val="0002578B"/>
    <w:rsid w:val="00025853"/>
    <w:rsid w:val="0002599C"/>
    <w:rsid w:val="00025A9A"/>
    <w:rsid w:val="00025B88"/>
    <w:rsid w:val="00025E45"/>
    <w:rsid w:val="00025E73"/>
    <w:rsid w:val="00025F8F"/>
    <w:rsid w:val="00025FF2"/>
    <w:rsid w:val="0002603B"/>
    <w:rsid w:val="00026060"/>
    <w:rsid w:val="000260AF"/>
    <w:rsid w:val="000263D2"/>
    <w:rsid w:val="000264E9"/>
    <w:rsid w:val="00026573"/>
    <w:rsid w:val="000265D1"/>
    <w:rsid w:val="000267B4"/>
    <w:rsid w:val="000268EA"/>
    <w:rsid w:val="000269BB"/>
    <w:rsid w:val="00026A53"/>
    <w:rsid w:val="00026ACE"/>
    <w:rsid w:val="00026AD9"/>
    <w:rsid w:val="00026C67"/>
    <w:rsid w:val="00026DB3"/>
    <w:rsid w:val="00026F9E"/>
    <w:rsid w:val="00027138"/>
    <w:rsid w:val="000271C5"/>
    <w:rsid w:val="000271E0"/>
    <w:rsid w:val="0002733F"/>
    <w:rsid w:val="0002739B"/>
    <w:rsid w:val="0002740E"/>
    <w:rsid w:val="0002751F"/>
    <w:rsid w:val="00027573"/>
    <w:rsid w:val="000275FC"/>
    <w:rsid w:val="00027611"/>
    <w:rsid w:val="00027824"/>
    <w:rsid w:val="00027884"/>
    <w:rsid w:val="000279F7"/>
    <w:rsid w:val="00027ADC"/>
    <w:rsid w:val="00027B29"/>
    <w:rsid w:val="00027B7B"/>
    <w:rsid w:val="00027C46"/>
    <w:rsid w:val="00027D2D"/>
    <w:rsid w:val="00027D9F"/>
    <w:rsid w:val="00027FBF"/>
    <w:rsid w:val="00030282"/>
    <w:rsid w:val="00030340"/>
    <w:rsid w:val="0003039E"/>
    <w:rsid w:val="00030482"/>
    <w:rsid w:val="0003048F"/>
    <w:rsid w:val="000306A9"/>
    <w:rsid w:val="00030787"/>
    <w:rsid w:val="0003079C"/>
    <w:rsid w:val="0003079F"/>
    <w:rsid w:val="000307CE"/>
    <w:rsid w:val="00030920"/>
    <w:rsid w:val="00030ADF"/>
    <w:rsid w:val="00030BF1"/>
    <w:rsid w:val="00030EC8"/>
    <w:rsid w:val="00030FB0"/>
    <w:rsid w:val="00031025"/>
    <w:rsid w:val="00031037"/>
    <w:rsid w:val="00031041"/>
    <w:rsid w:val="0003107F"/>
    <w:rsid w:val="00031229"/>
    <w:rsid w:val="000313A4"/>
    <w:rsid w:val="0003140C"/>
    <w:rsid w:val="00031504"/>
    <w:rsid w:val="000318A4"/>
    <w:rsid w:val="00031A6D"/>
    <w:rsid w:val="00031C05"/>
    <w:rsid w:val="00031D3B"/>
    <w:rsid w:val="00031E2B"/>
    <w:rsid w:val="000320C5"/>
    <w:rsid w:val="00032138"/>
    <w:rsid w:val="0003230C"/>
    <w:rsid w:val="00032325"/>
    <w:rsid w:val="000323AE"/>
    <w:rsid w:val="000327AA"/>
    <w:rsid w:val="00032A69"/>
    <w:rsid w:val="00032C99"/>
    <w:rsid w:val="00032D64"/>
    <w:rsid w:val="00033083"/>
    <w:rsid w:val="000331D4"/>
    <w:rsid w:val="000331E4"/>
    <w:rsid w:val="000331EB"/>
    <w:rsid w:val="000333E5"/>
    <w:rsid w:val="000335C8"/>
    <w:rsid w:val="00033649"/>
    <w:rsid w:val="000336B5"/>
    <w:rsid w:val="0003372A"/>
    <w:rsid w:val="00033774"/>
    <w:rsid w:val="000337BF"/>
    <w:rsid w:val="000338A7"/>
    <w:rsid w:val="00033A58"/>
    <w:rsid w:val="00033B54"/>
    <w:rsid w:val="00033B9E"/>
    <w:rsid w:val="00033BA4"/>
    <w:rsid w:val="00033D19"/>
    <w:rsid w:val="00033F56"/>
    <w:rsid w:val="000341CC"/>
    <w:rsid w:val="00034323"/>
    <w:rsid w:val="00034581"/>
    <w:rsid w:val="000347D9"/>
    <w:rsid w:val="000348D8"/>
    <w:rsid w:val="000349C7"/>
    <w:rsid w:val="00034A2F"/>
    <w:rsid w:val="000350A0"/>
    <w:rsid w:val="00035224"/>
    <w:rsid w:val="00035231"/>
    <w:rsid w:val="00035288"/>
    <w:rsid w:val="00035386"/>
    <w:rsid w:val="000353AB"/>
    <w:rsid w:val="000353CA"/>
    <w:rsid w:val="00035419"/>
    <w:rsid w:val="000355EA"/>
    <w:rsid w:val="000356B7"/>
    <w:rsid w:val="000356C1"/>
    <w:rsid w:val="000356C6"/>
    <w:rsid w:val="00035828"/>
    <w:rsid w:val="0003590F"/>
    <w:rsid w:val="000359EB"/>
    <w:rsid w:val="00035ACD"/>
    <w:rsid w:val="00035C00"/>
    <w:rsid w:val="00035C85"/>
    <w:rsid w:val="00035C91"/>
    <w:rsid w:val="00035CC9"/>
    <w:rsid w:val="00035E0C"/>
    <w:rsid w:val="00035E13"/>
    <w:rsid w:val="00035EFD"/>
    <w:rsid w:val="00035F9B"/>
    <w:rsid w:val="00036057"/>
    <w:rsid w:val="000360BA"/>
    <w:rsid w:val="00036115"/>
    <w:rsid w:val="0003614F"/>
    <w:rsid w:val="00036183"/>
    <w:rsid w:val="00036313"/>
    <w:rsid w:val="0003635E"/>
    <w:rsid w:val="0003638C"/>
    <w:rsid w:val="00036510"/>
    <w:rsid w:val="00036603"/>
    <w:rsid w:val="000367B3"/>
    <w:rsid w:val="0003697F"/>
    <w:rsid w:val="00036A77"/>
    <w:rsid w:val="00036C38"/>
    <w:rsid w:val="00036C54"/>
    <w:rsid w:val="00036D4F"/>
    <w:rsid w:val="00036DE0"/>
    <w:rsid w:val="000371AF"/>
    <w:rsid w:val="000371B0"/>
    <w:rsid w:val="000371EE"/>
    <w:rsid w:val="000372C7"/>
    <w:rsid w:val="0003737D"/>
    <w:rsid w:val="00037571"/>
    <w:rsid w:val="00037607"/>
    <w:rsid w:val="000376F2"/>
    <w:rsid w:val="0003776E"/>
    <w:rsid w:val="00037B85"/>
    <w:rsid w:val="00037C62"/>
    <w:rsid w:val="00037C88"/>
    <w:rsid w:val="00037CCE"/>
    <w:rsid w:val="00037D26"/>
    <w:rsid w:val="00037DCA"/>
    <w:rsid w:val="00037E10"/>
    <w:rsid w:val="00037F9A"/>
    <w:rsid w:val="0004019C"/>
    <w:rsid w:val="000402AD"/>
    <w:rsid w:val="000403A0"/>
    <w:rsid w:val="000403C8"/>
    <w:rsid w:val="0004067A"/>
    <w:rsid w:val="000407D8"/>
    <w:rsid w:val="00040A03"/>
    <w:rsid w:val="00040AC3"/>
    <w:rsid w:val="00040AFF"/>
    <w:rsid w:val="00040BBB"/>
    <w:rsid w:val="00040D21"/>
    <w:rsid w:val="00040D68"/>
    <w:rsid w:val="000410C7"/>
    <w:rsid w:val="00041101"/>
    <w:rsid w:val="00041146"/>
    <w:rsid w:val="00041339"/>
    <w:rsid w:val="000413CE"/>
    <w:rsid w:val="00041415"/>
    <w:rsid w:val="000415B5"/>
    <w:rsid w:val="00041983"/>
    <w:rsid w:val="00041C78"/>
    <w:rsid w:val="00041DFA"/>
    <w:rsid w:val="00042064"/>
    <w:rsid w:val="00042083"/>
    <w:rsid w:val="000421AC"/>
    <w:rsid w:val="000422E6"/>
    <w:rsid w:val="00042345"/>
    <w:rsid w:val="000423AE"/>
    <w:rsid w:val="0004245D"/>
    <w:rsid w:val="000424AC"/>
    <w:rsid w:val="0004254B"/>
    <w:rsid w:val="0004258B"/>
    <w:rsid w:val="000425B3"/>
    <w:rsid w:val="000427A1"/>
    <w:rsid w:val="000427F9"/>
    <w:rsid w:val="00042977"/>
    <w:rsid w:val="00042A4F"/>
    <w:rsid w:val="00042A5F"/>
    <w:rsid w:val="00042A9C"/>
    <w:rsid w:val="00042AD8"/>
    <w:rsid w:val="00042BD9"/>
    <w:rsid w:val="00042D59"/>
    <w:rsid w:val="00042DB4"/>
    <w:rsid w:val="00042DE6"/>
    <w:rsid w:val="0004314A"/>
    <w:rsid w:val="000432E3"/>
    <w:rsid w:val="000435A2"/>
    <w:rsid w:val="00043789"/>
    <w:rsid w:val="00043794"/>
    <w:rsid w:val="000437EA"/>
    <w:rsid w:val="0004388C"/>
    <w:rsid w:val="000438EC"/>
    <w:rsid w:val="000439F2"/>
    <w:rsid w:val="00043D9C"/>
    <w:rsid w:val="00043E35"/>
    <w:rsid w:val="000442BC"/>
    <w:rsid w:val="0004436E"/>
    <w:rsid w:val="00044374"/>
    <w:rsid w:val="0004446C"/>
    <w:rsid w:val="0004453B"/>
    <w:rsid w:val="0004466C"/>
    <w:rsid w:val="00044772"/>
    <w:rsid w:val="00044788"/>
    <w:rsid w:val="0004478E"/>
    <w:rsid w:val="0004488B"/>
    <w:rsid w:val="00044B1C"/>
    <w:rsid w:val="00044B99"/>
    <w:rsid w:val="00044C2F"/>
    <w:rsid w:val="00044D69"/>
    <w:rsid w:val="00044D90"/>
    <w:rsid w:val="00044E5F"/>
    <w:rsid w:val="00044E6D"/>
    <w:rsid w:val="00044EC9"/>
    <w:rsid w:val="0004508C"/>
    <w:rsid w:val="000450E3"/>
    <w:rsid w:val="000452BE"/>
    <w:rsid w:val="000452F6"/>
    <w:rsid w:val="000453CA"/>
    <w:rsid w:val="000455C7"/>
    <w:rsid w:val="00045652"/>
    <w:rsid w:val="00045804"/>
    <w:rsid w:val="00045819"/>
    <w:rsid w:val="00045C31"/>
    <w:rsid w:val="00045D4C"/>
    <w:rsid w:val="00045E43"/>
    <w:rsid w:val="00045E8B"/>
    <w:rsid w:val="00045F19"/>
    <w:rsid w:val="0004601B"/>
    <w:rsid w:val="00046084"/>
    <w:rsid w:val="000460B1"/>
    <w:rsid w:val="000462E1"/>
    <w:rsid w:val="00046355"/>
    <w:rsid w:val="00046369"/>
    <w:rsid w:val="000463E5"/>
    <w:rsid w:val="00046483"/>
    <w:rsid w:val="000465EC"/>
    <w:rsid w:val="000466D1"/>
    <w:rsid w:val="0004672B"/>
    <w:rsid w:val="00046853"/>
    <w:rsid w:val="00046890"/>
    <w:rsid w:val="00046B61"/>
    <w:rsid w:val="00046E72"/>
    <w:rsid w:val="00047091"/>
    <w:rsid w:val="0004723C"/>
    <w:rsid w:val="0004727E"/>
    <w:rsid w:val="0004759C"/>
    <w:rsid w:val="000476DF"/>
    <w:rsid w:val="00047734"/>
    <w:rsid w:val="00047CC5"/>
    <w:rsid w:val="00047DE0"/>
    <w:rsid w:val="00047E26"/>
    <w:rsid w:val="00047E84"/>
    <w:rsid w:val="00047EF0"/>
    <w:rsid w:val="00047F24"/>
    <w:rsid w:val="00047F34"/>
    <w:rsid w:val="00047F44"/>
    <w:rsid w:val="000500F0"/>
    <w:rsid w:val="00050190"/>
    <w:rsid w:val="00050338"/>
    <w:rsid w:val="000503B2"/>
    <w:rsid w:val="000503C4"/>
    <w:rsid w:val="00050504"/>
    <w:rsid w:val="0005056A"/>
    <w:rsid w:val="0005060D"/>
    <w:rsid w:val="0005068C"/>
    <w:rsid w:val="00050710"/>
    <w:rsid w:val="000508F7"/>
    <w:rsid w:val="000509A3"/>
    <w:rsid w:val="000509B2"/>
    <w:rsid w:val="00050AA4"/>
    <w:rsid w:val="00050AEB"/>
    <w:rsid w:val="00050B4C"/>
    <w:rsid w:val="00050BD4"/>
    <w:rsid w:val="00050C43"/>
    <w:rsid w:val="00050CC2"/>
    <w:rsid w:val="00050D1B"/>
    <w:rsid w:val="00050DC1"/>
    <w:rsid w:val="00050DD3"/>
    <w:rsid w:val="00050F56"/>
    <w:rsid w:val="00051033"/>
    <w:rsid w:val="000510A8"/>
    <w:rsid w:val="00051454"/>
    <w:rsid w:val="00051594"/>
    <w:rsid w:val="0005189D"/>
    <w:rsid w:val="000518EA"/>
    <w:rsid w:val="00051A2E"/>
    <w:rsid w:val="00051A6D"/>
    <w:rsid w:val="00051CBE"/>
    <w:rsid w:val="00051FFA"/>
    <w:rsid w:val="00052110"/>
    <w:rsid w:val="0005217B"/>
    <w:rsid w:val="0005224F"/>
    <w:rsid w:val="0005229C"/>
    <w:rsid w:val="000523D6"/>
    <w:rsid w:val="00052503"/>
    <w:rsid w:val="000525EE"/>
    <w:rsid w:val="000527F6"/>
    <w:rsid w:val="00052861"/>
    <w:rsid w:val="000529BA"/>
    <w:rsid w:val="00052B42"/>
    <w:rsid w:val="00052B46"/>
    <w:rsid w:val="00052C7C"/>
    <w:rsid w:val="00052CFB"/>
    <w:rsid w:val="00052EEF"/>
    <w:rsid w:val="00052F49"/>
    <w:rsid w:val="00053040"/>
    <w:rsid w:val="0005324D"/>
    <w:rsid w:val="000536DD"/>
    <w:rsid w:val="00053948"/>
    <w:rsid w:val="00053960"/>
    <w:rsid w:val="0005399D"/>
    <w:rsid w:val="00053A4A"/>
    <w:rsid w:val="00053A56"/>
    <w:rsid w:val="00053AD5"/>
    <w:rsid w:val="00053B18"/>
    <w:rsid w:val="00053B6C"/>
    <w:rsid w:val="00053C41"/>
    <w:rsid w:val="00053D11"/>
    <w:rsid w:val="00053D68"/>
    <w:rsid w:val="00053E6B"/>
    <w:rsid w:val="0005418D"/>
    <w:rsid w:val="000541F2"/>
    <w:rsid w:val="00054241"/>
    <w:rsid w:val="00054342"/>
    <w:rsid w:val="000543BB"/>
    <w:rsid w:val="0005475B"/>
    <w:rsid w:val="00054775"/>
    <w:rsid w:val="000547A1"/>
    <w:rsid w:val="00054826"/>
    <w:rsid w:val="0005492C"/>
    <w:rsid w:val="00054972"/>
    <w:rsid w:val="00054985"/>
    <w:rsid w:val="000549D5"/>
    <w:rsid w:val="00054C77"/>
    <w:rsid w:val="00054CC5"/>
    <w:rsid w:val="00054D07"/>
    <w:rsid w:val="00054EAA"/>
    <w:rsid w:val="00054F58"/>
    <w:rsid w:val="00054FC6"/>
    <w:rsid w:val="00055152"/>
    <w:rsid w:val="00055369"/>
    <w:rsid w:val="00055527"/>
    <w:rsid w:val="00055531"/>
    <w:rsid w:val="000555FB"/>
    <w:rsid w:val="000557B9"/>
    <w:rsid w:val="00055884"/>
    <w:rsid w:val="00055B20"/>
    <w:rsid w:val="00055FDA"/>
    <w:rsid w:val="000562DF"/>
    <w:rsid w:val="00056351"/>
    <w:rsid w:val="0005638B"/>
    <w:rsid w:val="00056526"/>
    <w:rsid w:val="000565E2"/>
    <w:rsid w:val="000565FE"/>
    <w:rsid w:val="000566B2"/>
    <w:rsid w:val="00056726"/>
    <w:rsid w:val="000567F8"/>
    <w:rsid w:val="00056813"/>
    <w:rsid w:val="000569E1"/>
    <w:rsid w:val="00056B47"/>
    <w:rsid w:val="00056B6C"/>
    <w:rsid w:val="00056BB4"/>
    <w:rsid w:val="00056C72"/>
    <w:rsid w:val="00056CCB"/>
    <w:rsid w:val="00056E56"/>
    <w:rsid w:val="00056F43"/>
    <w:rsid w:val="00056FF9"/>
    <w:rsid w:val="00057048"/>
    <w:rsid w:val="0005705C"/>
    <w:rsid w:val="0005723D"/>
    <w:rsid w:val="00057456"/>
    <w:rsid w:val="00057474"/>
    <w:rsid w:val="000574C5"/>
    <w:rsid w:val="000574F3"/>
    <w:rsid w:val="00057563"/>
    <w:rsid w:val="00057585"/>
    <w:rsid w:val="0005773A"/>
    <w:rsid w:val="000578E2"/>
    <w:rsid w:val="00057936"/>
    <w:rsid w:val="000579D9"/>
    <w:rsid w:val="00057A2D"/>
    <w:rsid w:val="00057B40"/>
    <w:rsid w:val="00057C9C"/>
    <w:rsid w:val="00057CDB"/>
    <w:rsid w:val="00057E20"/>
    <w:rsid w:val="00057E9B"/>
    <w:rsid w:val="00057F53"/>
    <w:rsid w:val="00057FCE"/>
    <w:rsid w:val="00060227"/>
    <w:rsid w:val="00060418"/>
    <w:rsid w:val="00060508"/>
    <w:rsid w:val="00060516"/>
    <w:rsid w:val="000605E4"/>
    <w:rsid w:val="0006064A"/>
    <w:rsid w:val="00060902"/>
    <w:rsid w:val="00060BA6"/>
    <w:rsid w:val="00060BFF"/>
    <w:rsid w:val="00060D1E"/>
    <w:rsid w:val="00060D27"/>
    <w:rsid w:val="00060F25"/>
    <w:rsid w:val="00061079"/>
    <w:rsid w:val="000612D9"/>
    <w:rsid w:val="0006131D"/>
    <w:rsid w:val="000614C7"/>
    <w:rsid w:val="000614F4"/>
    <w:rsid w:val="000616EE"/>
    <w:rsid w:val="000617A3"/>
    <w:rsid w:val="00061814"/>
    <w:rsid w:val="0006182A"/>
    <w:rsid w:val="00061956"/>
    <w:rsid w:val="00061B5D"/>
    <w:rsid w:val="00061BEF"/>
    <w:rsid w:val="00061E25"/>
    <w:rsid w:val="00061E7A"/>
    <w:rsid w:val="00061FAF"/>
    <w:rsid w:val="00062063"/>
    <w:rsid w:val="000620B4"/>
    <w:rsid w:val="00062270"/>
    <w:rsid w:val="0006239E"/>
    <w:rsid w:val="00062426"/>
    <w:rsid w:val="00062563"/>
    <w:rsid w:val="00062648"/>
    <w:rsid w:val="00062689"/>
    <w:rsid w:val="00062983"/>
    <w:rsid w:val="00062A1B"/>
    <w:rsid w:val="00062A3E"/>
    <w:rsid w:val="00062CBA"/>
    <w:rsid w:val="00062CD8"/>
    <w:rsid w:val="00062CDF"/>
    <w:rsid w:val="00062E69"/>
    <w:rsid w:val="00062EEA"/>
    <w:rsid w:val="00062FC9"/>
    <w:rsid w:val="00062FFF"/>
    <w:rsid w:val="000630BD"/>
    <w:rsid w:val="000631CE"/>
    <w:rsid w:val="000632B4"/>
    <w:rsid w:val="000633A1"/>
    <w:rsid w:val="000633E4"/>
    <w:rsid w:val="000634DA"/>
    <w:rsid w:val="00063BB0"/>
    <w:rsid w:val="00063C4C"/>
    <w:rsid w:val="00063E2D"/>
    <w:rsid w:val="00063E3A"/>
    <w:rsid w:val="00063E6D"/>
    <w:rsid w:val="00063E70"/>
    <w:rsid w:val="00063F1E"/>
    <w:rsid w:val="00063FA1"/>
    <w:rsid w:val="00064053"/>
    <w:rsid w:val="0006408E"/>
    <w:rsid w:val="000640F7"/>
    <w:rsid w:val="0006421D"/>
    <w:rsid w:val="0006427F"/>
    <w:rsid w:val="0006469A"/>
    <w:rsid w:val="00064C5A"/>
    <w:rsid w:val="00064DD9"/>
    <w:rsid w:val="00064E55"/>
    <w:rsid w:val="00065012"/>
    <w:rsid w:val="0006504A"/>
    <w:rsid w:val="00065289"/>
    <w:rsid w:val="0006528A"/>
    <w:rsid w:val="00065318"/>
    <w:rsid w:val="00065364"/>
    <w:rsid w:val="000653BA"/>
    <w:rsid w:val="000653F6"/>
    <w:rsid w:val="00065554"/>
    <w:rsid w:val="00065924"/>
    <w:rsid w:val="00065AC3"/>
    <w:rsid w:val="00065C77"/>
    <w:rsid w:val="00065C8D"/>
    <w:rsid w:val="00065E88"/>
    <w:rsid w:val="00065EF2"/>
    <w:rsid w:val="00065F34"/>
    <w:rsid w:val="000660C5"/>
    <w:rsid w:val="00066126"/>
    <w:rsid w:val="00066189"/>
    <w:rsid w:val="000661EF"/>
    <w:rsid w:val="0006625D"/>
    <w:rsid w:val="0006628C"/>
    <w:rsid w:val="00066921"/>
    <w:rsid w:val="00066946"/>
    <w:rsid w:val="0006696A"/>
    <w:rsid w:val="00066DBD"/>
    <w:rsid w:val="00066EBB"/>
    <w:rsid w:val="00066F0F"/>
    <w:rsid w:val="00066FAD"/>
    <w:rsid w:val="000672D9"/>
    <w:rsid w:val="0006732F"/>
    <w:rsid w:val="0006736D"/>
    <w:rsid w:val="0006760C"/>
    <w:rsid w:val="00067630"/>
    <w:rsid w:val="00067698"/>
    <w:rsid w:val="000678C2"/>
    <w:rsid w:val="000679C0"/>
    <w:rsid w:val="000679CB"/>
    <w:rsid w:val="00067A34"/>
    <w:rsid w:val="00067A46"/>
    <w:rsid w:val="00067C5C"/>
    <w:rsid w:val="00067E8C"/>
    <w:rsid w:val="00067ECF"/>
    <w:rsid w:val="00067FD8"/>
    <w:rsid w:val="0007003D"/>
    <w:rsid w:val="00070087"/>
    <w:rsid w:val="0007009E"/>
    <w:rsid w:val="00070166"/>
    <w:rsid w:val="000701B6"/>
    <w:rsid w:val="000706A6"/>
    <w:rsid w:val="000706C5"/>
    <w:rsid w:val="000707CF"/>
    <w:rsid w:val="00070A56"/>
    <w:rsid w:val="00070A85"/>
    <w:rsid w:val="00070E0E"/>
    <w:rsid w:val="00070EE5"/>
    <w:rsid w:val="00070F44"/>
    <w:rsid w:val="000710AC"/>
    <w:rsid w:val="000710EF"/>
    <w:rsid w:val="000711C8"/>
    <w:rsid w:val="000713F6"/>
    <w:rsid w:val="00071437"/>
    <w:rsid w:val="00071452"/>
    <w:rsid w:val="00071734"/>
    <w:rsid w:val="00071774"/>
    <w:rsid w:val="000717BA"/>
    <w:rsid w:val="000718AB"/>
    <w:rsid w:val="00071962"/>
    <w:rsid w:val="00071969"/>
    <w:rsid w:val="00071A4A"/>
    <w:rsid w:val="00071A91"/>
    <w:rsid w:val="00071E78"/>
    <w:rsid w:val="00071E92"/>
    <w:rsid w:val="00071F69"/>
    <w:rsid w:val="00071F73"/>
    <w:rsid w:val="00071F98"/>
    <w:rsid w:val="000722E4"/>
    <w:rsid w:val="000723C3"/>
    <w:rsid w:val="00072449"/>
    <w:rsid w:val="00072577"/>
    <w:rsid w:val="000726AF"/>
    <w:rsid w:val="000729D2"/>
    <w:rsid w:val="00072A63"/>
    <w:rsid w:val="00072C06"/>
    <w:rsid w:val="00072DB1"/>
    <w:rsid w:val="00072DF2"/>
    <w:rsid w:val="00072ECD"/>
    <w:rsid w:val="00072EDA"/>
    <w:rsid w:val="00072F75"/>
    <w:rsid w:val="00072FE5"/>
    <w:rsid w:val="0007304A"/>
    <w:rsid w:val="00073098"/>
    <w:rsid w:val="00073152"/>
    <w:rsid w:val="00073308"/>
    <w:rsid w:val="00073327"/>
    <w:rsid w:val="0007343A"/>
    <w:rsid w:val="000734E6"/>
    <w:rsid w:val="00073789"/>
    <w:rsid w:val="0007380A"/>
    <w:rsid w:val="000738B4"/>
    <w:rsid w:val="000738D7"/>
    <w:rsid w:val="0007393A"/>
    <w:rsid w:val="00073A13"/>
    <w:rsid w:val="00073AB2"/>
    <w:rsid w:val="00073E3E"/>
    <w:rsid w:val="00073E86"/>
    <w:rsid w:val="00073EDA"/>
    <w:rsid w:val="000741D9"/>
    <w:rsid w:val="0007427C"/>
    <w:rsid w:val="000743E1"/>
    <w:rsid w:val="0007449F"/>
    <w:rsid w:val="00074553"/>
    <w:rsid w:val="00074691"/>
    <w:rsid w:val="00074769"/>
    <w:rsid w:val="00074843"/>
    <w:rsid w:val="00074882"/>
    <w:rsid w:val="00074A1D"/>
    <w:rsid w:val="00074D08"/>
    <w:rsid w:val="00074E2F"/>
    <w:rsid w:val="00075031"/>
    <w:rsid w:val="0007505D"/>
    <w:rsid w:val="000752FD"/>
    <w:rsid w:val="00075656"/>
    <w:rsid w:val="000757E2"/>
    <w:rsid w:val="000758C5"/>
    <w:rsid w:val="00075B35"/>
    <w:rsid w:val="00075CA1"/>
    <w:rsid w:val="00075CAE"/>
    <w:rsid w:val="00075ED2"/>
    <w:rsid w:val="00075F1D"/>
    <w:rsid w:val="0007613D"/>
    <w:rsid w:val="00076258"/>
    <w:rsid w:val="0007626B"/>
    <w:rsid w:val="0007628F"/>
    <w:rsid w:val="00076361"/>
    <w:rsid w:val="00076517"/>
    <w:rsid w:val="00076608"/>
    <w:rsid w:val="0007660C"/>
    <w:rsid w:val="00076644"/>
    <w:rsid w:val="00076673"/>
    <w:rsid w:val="00076696"/>
    <w:rsid w:val="000766CD"/>
    <w:rsid w:val="0007670D"/>
    <w:rsid w:val="000767E3"/>
    <w:rsid w:val="000767F8"/>
    <w:rsid w:val="00076832"/>
    <w:rsid w:val="0007687C"/>
    <w:rsid w:val="00076952"/>
    <w:rsid w:val="00076974"/>
    <w:rsid w:val="00076A6F"/>
    <w:rsid w:val="00076A80"/>
    <w:rsid w:val="00076F16"/>
    <w:rsid w:val="00077104"/>
    <w:rsid w:val="0007720B"/>
    <w:rsid w:val="0007732B"/>
    <w:rsid w:val="00077513"/>
    <w:rsid w:val="000776E4"/>
    <w:rsid w:val="000777CC"/>
    <w:rsid w:val="000778B4"/>
    <w:rsid w:val="00077A06"/>
    <w:rsid w:val="00077A2E"/>
    <w:rsid w:val="00077A5D"/>
    <w:rsid w:val="00077D25"/>
    <w:rsid w:val="00077DC3"/>
    <w:rsid w:val="00077F76"/>
    <w:rsid w:val="0008017B"/>
    <w:rsid w:val="00080832"/>
    <w:rsid w:val="0008091E"/>
    <w:rsid w:val="0008092B"/>
    <w:rsid w:val="000809F7"/>
    <w:rsid w:val="00080A58"/>
    <w:rsid w:val="00080B27"/>
    <w:rsid w:val="00080B59"/>
    <w:rsid w:val="00080C54"/>
    <w:rsid w:val="00080CF2"/>
    <w:rsid w:val="00080D62"/>
    <w:rsid w:val="00080E38"/>
    <w:rsid w:val="00080E3A"/>
    <w:rsid w:val="00080EDA"/>
    <w:rsid w:val="000811A7"/>
    <w:rsid w:val="0008123A"/>
    <w:rsid w:val="000812BC"/>
    <w:rsid w:val="0008137A"/>
    <w:rsid w:val="000813AA"/>
    <w:rsid w:val="000814F9"/>
    <w:rsid w:val="000816BF"/>
    <w:rsid w:val="000818F8"/>
    <w:rsid w:val="000819FB"/>
    <w:rsid w:val="00081A95"/>
    <w:rsid w:val="00081AE3"/>
    <w:rsid w:val="00081CBE"/>
    <w:rsid w:val="00081CF6"/>
    <w:rsid w:val="00081D95"/>
    <w:rsid w:val="00081EFC"/>
    <w:rsid w:val="00081FA1"/>
    <w:rsid w:val="00082069"/>
    <w:rsid w:val="0008208D"/>
    <w:rsid w:val="000820B9"/>
    <w:rsid w:val="00082167"/>
    <w:rsid w:val="0008236D"/>
    <w:rsid w:val="00082D7B"/>
    <w:rsid w:val="00082D92"/>
    <w:rsid w:val="00082EB0"/>
    <w:rsid w:val="000830F4"/>
    <w:rsid w:val="00083175"/>
    <w:rsid w:val="000831AD"/>
    <w:rsid w:val="000833DB"/>
    <w:rsid w:val="000833E6"/>
    <w:rsid w:val="0008343F"/>
    <w:rsid w:val="0008344A"/>
    <w:rsid w:val="000834D0"/>
    <w:rsid w:val="000834FF"/>
    <w:rsid w:val="0008351D"/>
    <w:rsid w:val="00083585"/>
    <w:rsid w:val="0008360E"/>
    <w:rsid w:val="00083647"/>
    <w:rsid w:val="000836AF"/>
    <w:rsid w:val="000836DA"/>
    <w:rsid w:val="000838A2"/>
    <w:rsid w:val="00083991"/>
    <w:rsid w:val="00083A0C"/>
    <w:rsid w:val="00083BFC"/>
    <w:rsid w:val="00083C0F"/>
    <w:rsid w:val="00083D9A"/>
    <w:rsid w:val="00083E43"/>
    <w:rsid w:val="00083E99"/>
    <w:rsid w:val="00083F7E"/>
    <w:rsid w:val="00084088"/>
    <w:rsid w:val="00084118"/>
    <w:rsid w:val="000843A3"/>
    <w:rsid w:val="000844B9"/>
    <w:rsid w:val="0008461E"/>
    <w:rsid w:val="00084664"/>
    <w:rsid w:val="00084796"/>
    <w:rsid w:val="0008479E"/>
    <w:rsid w:val="00084BE6"/>
    <w:rsid w:val="00084C06"/>
    <w:rsid w:val="00084E7C"/>
    <w:rsid w:val="00084E88"/>
    <w:rsid w:val="00084FB7"/>
    <w:rsid w:val="00085205"/>
    <w:rsid w:val="0008532B"/>
    <w:rsid w:val="000855A0"/>
    <w:rsid w:val="0008586F"/>
    <w:rsid w:val="0008589A"/>
    <w:rsid w:val="000858D1"/>
    <w:rsid w:val="00085904"/>
    <w:rsid w:val="00085A6F"/>
    <w:rsid w:val="00085B2F"/>
    <w:rsid w:val="00085C9D"/>
    <w:rsid w:val="00086001"/>
    <w:rsid w:val="00086157"/>
    <w:rsid w:val="00086173"/>
    <w:rsid w:val="00086479"/>
    <w:rsid w:val="00086607"/>
    <w:rsid w:val="000866E5"/>
    <w:rsid w:val="00086851"/>
    <w:rsid w:val="00086900"/>
    <w:rsid w:val="0008698C"/>
    <w:rsid w:val="000869A2"/>
    <w:rsid w:val="00086BCB"/>
    <w:rsid w:val="00086C62"/>
    <w:rsid w:val="00086CAA"/>
    <w:rsid w:val="00086E03"/>
    <w:rsid w:val="00086F4B"/>
    <w:rsid w:val="00087066"/>
    <w:rsid w:val="000870D2"/>
    <w:rsid w:val="0008711E"/>
    <w:rsid w:val="0008717C"/>
    <w:rsid w:val="000871AE"/>
    <w:rsid w:val="00087477"/>
    <w:rsid w:val="0008750C"/>
    <w:rsid w:val="00087547"/>
    <w:rsid w:val="000875F6"/>
    <w:rsid w:val="00087717"/>
    <w:rsid w:val="00087934"/>
    <w:rsid w:val="0008799A"/>
    <w:rsid w:val="00087A54"/>
    <w:rsid w:val="00087BC7"/>
    <w:rsid w:val="00087E96"/>
    <w:rsid w:val="00087FF6"/>
    <w:rsid w:val="00090191"/>
    <w:rsid w:val="00090192"/>
    <w:rsid w:val="0009030C"/>
    <w:rsid w:val="00090311"/>
    <w:rsid w:val="00090323"/>
    <w:rsid w:val="000904D5"/>
    <w:rsid w:val="00090684"/>
    <w:rsid w:val="000906DA"/>
    <w:rsid w:val="000906FC"/>
    <w:rsid w:val="00090A7C"/>
    <w:rsid w:val="00090BAB"/>
    <w:rsid w:val="00090BFA"/>
    <w:rsid w:val="00090CD3"/>
    <w:rsid w:val="00090E19"/>
    <w:rsid w:val="00090F78"/>
    <w:rsid w:val="0009108A"/>
    <w:rsid w:val="0009109C"/>
    <w:rsid w:val="00091100"/>
    <w:rsid w:val="00091289"/>
    <w:rsid w:val="00091328"/>
    <w:rsid w:val="00091356"/>
    <w:rsid w:val="00091546"/>
    <w:rsid w:val="0009164E"/>
    <w:rsid w:val="000916A7"/>
    <w:rsid w:val="00091925"/>
    <w:rsid w:val="0009198F"/>
    <w:rsid w:val="00091AFD"/>
    <w:rsid w:val="00091B30"/>
    <w:rsid w:val="00091BBB"/>
    <w:rsid w:val="00091C30"/>
    <w:rsid w:val="00091CFB"/>
    <w:rsid w:val="00091DD3"/>
    <w:rsid w:val="00091E8D"/>
    <w:rsid w:val="00091F32"/>
    <w:rsid w:val="00091F69"/>
    <w:rsid w:val="00091FB4"/>
    <w:rsid w:val="000921E4"/>
    <w:rsid w:val="00092212"/>
    <w:rsid w:val="000922FB"/>
    <w:rsid w:val="00092339"/>
    <w:rsid w:val="0009236E"/>
    <w:rsid w:val="000923A8"/>
    <w:rsid w:val="000923B1"/>
    <w:rsid w:val="00092437"/>
    <w:rsid w:val="00092475"/>
    <w:rsid w:val="0009251D"/>
    <w:rsid w:val="00092C9C"/>
    <w:rsid w:val="00092DD0"/>
    <w:rsid w:val="0009310C"/>
    <w:rsid w:val="00093245"/>
    <w:rsid w:val="00093390"/>
    <w:rsid w:val="00093449"/>
    <w:rsid w:val="000936CF"/>
    <w:rsid w:val="00093721"/>
    <w:rsid w:val="0009380A"/>
    <w:rsid w:val="000938D5"/>
    <w:rsid w:val="00093920"/>
    <w:rsid w:val="00093BD2"/>
    <w:rsid w:val="00093C5A"/>
    <w:rsid w:val="00093D65"/>
    <w:rsid w:val="00093ED8"/>
    <w:rsid w:val="00093F3D"/>
    <w:rsid w:val="00093FA2"/>
    <w:rsid w:val="000940C2"/>
    <w:rsid w:val="0009414B"/>
    <w:rsid w:val="000942E0"/>
    <w:rsid w:val="00094329"/>
    <w:rsid w:val="000948CC"/>
    <w:rsid w:val="00094969"/>
    <w:rsid w:val="000949E9"/>
    <w:rsid w:val="00094B00"/>
    <w:rsid w:val="00094B53"/>
    <w:rsid w:val="00094D09"/>
    <w:rsid w:val="00094DB4"/>
    <w:rsid w:val="00094E6D"/>
    <w:rsid w:val="000950B6"/>
    <w:rsid w:val="0009511E"/>
    <w:rsid w:val="0009520D"/>
    <w:rsid w:val="0009530F"/>
    <w:rsid w:val="00095356"/>
    <w:rsid w:val="00095374"/>
    <w:rsid w:val="0009563C"/>
    <w:rsid w:val="000956F1"/>
    <w:rsid w:val="0009576B"/>
    <w:rsid w:val="00095814"/>
    <w:rsid w:val="000958A4"/>
    <w:rsid w:val="0009599B"/>
    <w:rsid w:val="00095B5E"/>
    <w:rsid w:val="00095C67"/>
    <w:rsid w:val="00095CD3"/>
    <w:rsid w:val="00095E6B"/>
    <w:rsid w:val="00095EDD"/>
    <w:rsid w:val="00095F37"/>
    <w:rsid w:val="00095FA0"/>
    <w:rsid w:val="00095FF7"/>
    <w:rsid w:val="00096190"/>
    <w:rsid w:val="000963CF"/>
    <w:rsid w:val="000963DC"/>
    <w:rsid w:val="0009650D"/>
    <w:rsid w:val="00096531"/>
    <w:rsid w:val="0009687F"/>
    <w:rsid w:val="00096D81"/>
    <w:rsid w:val="00096E1C"/>
    <w:rsid w:val="00096E40"/>
    <w:rsid w:val="00096FFC"/>
    <w:rsid w:val="00097230"/>
    <w:rsid w:val="000974DA"/>
    <w:rsid w:val="000975F1"/>
    <w:rsid w:val="000977FA"/>
    <w:rsid w:val="000979E0"/>
    <w:rsid w:val="00097B37"/>
    <w:rsid w:val="00097E7B"/>
    <w:rsid w:val="000A004E"/>
    <w:rsid w:val="000A0197"/>
    <w:rsid w:val="000A029A"/>
    <w:rsid w:val="000A043D"/>
    <w:rsid w:val="000A05DC"/>
    <w:rsid w:val="000A05F8"/>
    <w:rsid w:val="000A05FE"/>
    <w:rsid w:val="000A07A2"/>
    <w:rsid w:val="000A07B7"/>
    <w:rsid w:val="000A08C0"/>
    <w:rsid w:val="000A09A5"/>
    <w:rsid w:val="000A0C9C"/>
    <w:rsid w:val="000A0CF5"/>
    <w:rsid w:val="000A0D64"/>
    <w:rsid w:val="000A0DA3"/>
    <w:rsid w:val="000A1044"/>
    <w:rsid w:val="000A1221"/>
    <w:rsid w:val="000A1282"/>
    <w:rsid w:val="000A12AC"/>
    <w:rsid w:val="000A12C5"/>
    <w:rsid w:val="000A135C"/>
    <w:rsid w:val="000A1653"/>
    <w:rsid w:val="000A1681"/>
    <w:rsid w:val="000A16E9"/>
    <w:rsid w:val="000A175D"/>
    <w:rsid w:val="000A1843"/>
    <w:rsid w:val="000A185B"/>
    <w:rsid w:val="000A1999"/>
    <w:rsid w:val="000A1A2E"/>
    <w:rsid w:val="000A1A49"/>
    <w:rsid w:val="000A1B6E"/>
    <w:rsid w:val="000A1B86"/>
    <w:rsid w:val="000A1BD1"/>
    <w:rsid w:val="000A1C67"/>
    <w:rsid w:val="000A1CC1"/>
    <w:rsid w:val="000A1F0D"/>
    <w:rsid w:val="000A1F60"/>
    <w:rsid w:val="000A202B"/>
    <w:rsid w:val="000A20B7"/>
    <w:rsid w:val="000A2142"/>
    <w:rsid w:val="000A2186"/>
    <w:rsid w:val="000A2359"/>
    <w:rsid w:val="000A2410"/>
    <w:rsid w:val="000A2526"/>
    <w:rsid w:val="000A274D"/>
    <w:rsid w:val="000A2825"/>
    <w:rsid w:val="000A2919"/>
    <w:rsid w:val="000A2B42"/>
    <w:rsid w:val="000A2CD4"/>
    <w:rsid w:val="000A3408"/>
    <w:rsid w:val="000A35E7"/>
    <w:rsid w:val="000A3607"/>
    <w:rsid w:val="000A367B"/>
    <w:rsid w:val="000A36E0"/>
    <w:rsid w:val="000A38D9"/>
    <w:rsid w:val="000A393B"/>
    <w:rsid w:val="000A3A4B"/>
    <w:rsid w:val="000A3AD3"/>
    <w:rsid w:val="000A3B9B"/>
    <w:rsid w:val="000A3BDF"/>
    <w:rsid w:val="000A3D5C"/>
    <w:rsid w:val="000A3D7E"/>
    <w:rsid w:val="000A4223"/>
    <w:rsid w:val="000A4232"/>
    <w:rsid w:val="000A432F"/>
    <w:rsid w:val="000A43CC"/>
    <w:rsid w:val="000A4538"/>
    <w:rsid w:val="000A4550"/>
    <w:rsid w:val="000A45C1"/>
    <w:rsid w:val="000A4920"/>
    <w:rsid w:val="000A4A29"/>
    <w:rsid w:val="000A4B03"/>
    <w:rsid w:val="000A4BE2"/>
    <w:rsid w:val="000A4BE4"/>
    <w:rsid w:val="000A4D74"/>
    <w:rsid w:val="000A4DF3"/>
    <w:rsid w:val="000A4EC1"/>
    <w:rsid w:val="000A502E"/>
    <w:rsid w:val="000A5157"/>
    <w:rsid w:val="000A520A"/>
    <w:rsid w:val="000A5245"/>
    <w:rsid w:val="000A5480"/>
    <w:rsid w:val="000A5564"/>
    <w:rsid w:val="000A57A4"/>
    <w:rsid w:val="000A57B6"/>
    <w:rsid w:val="000A58B2"/>
    <w:rsid w:val="000A5950"/>
    <w:rsid w:val="000A596C"/>
    <w:rsid w:val="000A5999"/>
    <w:rsid w:val="000A599D"/>
    <w:rsid w:val="000A59F9"/>
    <w:rsid w:val="000A5A6C"/>
    <w:rsid w:val="000A5BF6"/>
    <w:rsid w:val="000A5C64"/>
    <w:rsid w:val="000A5C77"/>
    <w:rsid w:val="000A5CA3"/>
    <w:rsid w:val="000A5D34"/>
    <w:rsid w:val="000A5D6E"/>
    <w:rsid w:val="000A5D9A"/>
    <w:rsid w:val="000A6012"/>
    <w:rsid w:val="000A6065"/>
    <w:rsid w:val="000A607F"/>
    <w:rsid w:val="000A6101"/>
    <w:rsid w:val="000A6165"/>
    <w:rsid w:val="000A62A8"/>
    <w:rsid w:val="000A62CA"/>
    <w:rsid w:val="000A657D"/>
    <w:rsid w:val="000A6AC8"/>
    <w:rsid w:val="000A6C5E"/>
    <w:rsid w:val="000A6D2F"/>
    <w:rsid w:val="000A6D3E"/>
    <w:rsid w:val="000A6E11"/>
    <w:rsid w:val="000A700A"/>
    <w:rsid w:val="000A7110"/>
    <w:rsid w:val="000A7252"/>
    <w:rsid w:val="000A7327"/>
    <w:rsid w:val="000A75E0"/>
    <w:rsid w:val="000A77D5"/>
    <w:rsid w:val="000A7CCA"/>
    <w:rsid w:val="000A7F5C"/>
    <w:rsid w:val="000A7FB3"/>
    <w:rsid w:val="000B0069"/>
    <w:rsid w:val="000B0117"/>
    <w:rsid w:val="000B01D7"/>
    <w:rsid w:val="000B0352"/>
    <w:rsid w:val="000B0461"/>
    <w:rsid w:val="000B046B"/>
    <w:rsid w:val="000B0576"/>
    <w:rsid w:val="000B0A1D"/>
    <w:rsid w:val="000B0B41"/>
    <w:rsid w:val="000B0CCD"/>
    <w:rsid w:val="000B0CE7"/>
    <w:rsid w:val="000B0DEC"/>
    <w:rsid w:val="000B0EDD"/>
    <w:rsid w:val="000B0FF6"/>
    <w:rsid w:val="000B1035"/>
    <w:rsid w:val="000B10B7"/>
    <w:rsid w:val="000B11E5"/>
    <w:rsid w:val="000B1209"/>
    <w:rsid w:val="000B1228"/>
    <w:rsid w:val="000B1236"/>
    <w:rsid w:val="000B14A9"/>
    <w:rsid w:val="000B1530"/>
    <w:rsid w:val="000B15DD"/>
    <w:rsid w:val="000B160B"/>
    <w:rsid w:val="000B16DF"/>
    <w:rsid w:val="000B1935"/>
    <w:rsid w:val="000B1A18"/>
    <w:rsid w:val="000B1A92"/>
    <w:rsid w:val="000B1B4E"/>
    <w:rsid w:val="000B1DE2"/>
    <w:rsid w:val="000B1FDB"/>
    <w:rsid w:val="000B2278"/>
    <w:rsid w:val="000B22B0"/>
    <w:rsid w:val="000B23B4"/>
    <w:rsid w:val="000B276C"/>
    <w:rsid w:val="000B287B"/>
    <w:rsid w:val="000B2B22"/>
    <w:rsid w:val="000B2B71"/>
    <w:rsid w:val="000B2B74"/>
    <w:rsid w:val="000B2BE8"/>
    <w:rsid w:val="000B2CA5"/>
    <w:rsid w:val="000B2D54"/>
    <w:rsid w:val="000B2E2F"/>
    <w:rsid w:val="000B2E8B"/>
    <w:rsid w:val="000B3054"/>
    <w:rsid w:val="000B3292"/>
    <w:rsid w:val="000B343E"/>
    <w:rsid w:val="000B35F9"/>
    <w:rsid w:val="000B3619"/>
    <w:rsid w:val="000B38B3"/>
    <w:rsid w:val="000B38CB"/>
    <w:rsid w:val="000B39E5"/>
    <w:rsid w:val="000B3A3E"/>
    <w:rsid w:val="000B3BF4"/>
    <w:rsid w:val="000B3C2B"/>
    <w:rsid w:val="000B3DA9"/>
    <w:rsid w:val="000B4265"/>
    <w:rsid w:val="000B455B"/>
    <w:rsid w:val="000B4665"/>
    <w:rsid w:val="000B46A3"/>
    <w:rsid w:val="000B46C4"/>
    <w:rsid w:val="000B494B"/>
    <w:rsid w:val="000B4B81"/>
    <w:rsid w:val="000B4BD7"/>
    <w:rsid w:val="000B4D30"/>
    <w:rsid w:val="000B4E34"/>
    <w:rsid w:val="000B4E99"/>
    <w:rsid w:val="000B5019"/>
    <w:rsid w:val="000B5042"/>
    <w:rsid w:val="000B505B"/>
    <w:rsid w:val="000B520D"/>
    <w:rsid w:val="000B5281"/>
    <w:rsid w:val="000B54A7"/>
    <w:rsid w:val="000B551B"/>
    <w:rsid w:val="000B55DE"/>
    <w:rsid w:val="000B565D"/>
    <w:rsid w:val="000B578D"/>
    <w:rsid w:val="000B58B7"/>
    <w:rsid w:val="000B5A1C"/>
    <w:rsid w:val="000B5B1E"/>
    <w:rsid w:val="000B5DFE"/>
    <w:rsid w:val="000B5E59"/>
    <w:rsid w:val="000B5F70"/>
    <w:rsid w:val="000B5F7B"/>
    <w:rsid w:val="000B613F"/>
    <w:rsid w:val="000B618E"/>
    <w:rsid w:val="000B621D"/>
    <w:rsid w:val="000B631C"/>
    <w:rsid w:val="000B64D5"/>
    <w:rsid w:val="000B67AD"/>
    <w:rsid w:val="000B67DB"/>
    <w:rsid w:val="000B6A17"/>
    <w:rsid w:val="000B6BD7"/>
    <w:rsid w:val="000B6C6F"/>
    <w:rsid w:val="000B6CF0"/>
    <w:rsid w:val="000B6FB1"/>
    <w:rsid w:val="000B6FD0"/>
    <w:rsid w:val="000B7143"/>
    <w:rsid w:val="000B7228"/>
    <w:rsid w:val="000B7240"/>
    <w:rsid w:val="000B7310"/>
    <w:rsid w:val="000B73ED"/>
    <w:rsid w:val="000B7445"/>
    <w:rsid w:val="000B7817"/>
    <w:rsid w:val="000B7865"/>
    <w:rsid w:val="000B78D9"/>
    <w:rsid w:val="000B79C8"/>
    <w:rsid w:val="000B7B13"/>
    <w:rsid w:val="000B7C82"/>
    <w:rsid w:val="000B7D1A"/>
    <w:rsid w:val="000B7DD0"/>
    <w:rsid w:val="000B7F76"/>
    <w:rsid w:val="000B7FA3"/>
    <w:rsid w:val="000C053E"/>
    <w:rsid w:val="000C076E"/>
    <w:rsid w:val="000C08DA"/>
    <w:rsid w:val="000C093D"/>
    <w:rsid w:val="000C0BFC"/>
    <w:rsid w:val="000C0CF7"/>
    <w:rsid w:val="000C0FB2"/>
    <w:rsid w:val="000C1208"/>
    <w:rsid w:val="000C149A"/>
    <w:rsid w:val="000C14F8"/>
    <w:rsid w:val="000C1687"/>
    <w:rsid w:val="000C1796"/>
    <w:rsid w:val="000C181E"/>
    <w:rsid w:val="000C188B"/>
    <w:rsid w:val="000C188C"/>
    <w:rsid w:val="000C189C"/>
    <w:rsid w:val="000C18AD"/>
    <w:rsid w:val="000C1B4C"/>
    <w:rsid w:val="000C1BF1"/>
    <w:rsid w:val="000C1CB6"/>
    <w:rsid w:val="000C1F36"/>
    <w:rsid w:val="000C1F85"/>
    <w:rsid w:val="000C1F95"/>
    <w:rsid w:val="000C2031"/>
    <w:rsid w:val="000C2070"/>
    <w:rsid w:val="000C21F1"/>
    <w:rsid w:val="000C235A"/>
    <w:rsid w:val="000C2360"/>
    <w:rsid w:val="000C23D2"/>
    <w:rsid w:val="000C256A"/>
    <w:rsid w:val="000C285D"/>
    <w:rsid w:val="000C2993"/>
    <w:rsid w:val="000C2A16"/>
    <w:rsid w:val="000C2A88"/>
    <w:rsid w:val="000C2A96"/>
    <w:rsid w:val="000C2ADA"/>
    <w:rsid w:val="000C2AFF"/>
    <w:rsid w:val="000C2BC8"/>
    <w:rsid w:val="000C2CA7"/>
    <w:rsid w:val="000C2CD8"/>
    <w:rsid w:val="000C2CD9"/>
    <w:rsid w:val="000C2D1D"/>
    <w:rsid w:val="000C2E1B"/>
    <w:rsid w:val="000C2ED6"/>
    <w:rsid w:val="000C2FCF"/>
    <w:rsid w:val="000C30A2"/>
    <w:rsid w:val="000C32C7"/>
    <w:rsid w:val="000C3377"/>
    <w:rsid w:val="000C3549"/>
    <w:rsid w:val="000C39E5"/>
    <w:rsid w:val="000C3A44"/>
    <w:rsid w:val="000C3B5A"/>
    <w:rsid w:val="000C3CC3"/>
    <w:rsid w:val="000C3DBD"/>
    <w:rsid w:val="000C3F6D"/>
    <w:rsid w:val="000C4259"/>
    <w:rsid w:val="000C425D"/>
    <w:rsid w:val="000C4759"/>
    <w:rsid w:val="000C4BAB"/>
    <w:rsid w:val="000C4C3A"/>
    <w:rsid w:val="000C4DFE"/>
    <w:rsid w:val="000C4E34"/>
    <w:rsid w:val="000C4EA5"/>
    <w:rsid w:val="000C4F5E"/>
    <w:rsid w:val="000C502B"/>
    <w:rsid w:val="000C52AB"/>
    <w:rsid w:val="000C5412"/>
    <w:rsid w:val="000C56B5"/>
    <w:rsid w:val="000C571E"/>
    <w:rsid w:val="000C573A"/>
    <w:rsid w:val="000C5790"/>
    <w:rsid w:val="000C594D"/>
    <w:rsid w:val="000C5C03"/>
    <w:rsid w:val="000C5C1C"/>
    <w:rsid w:val="000C5CBF"/>
    <w:rsid w:val="000C5DE8"/>
    <w:rsid w:val="000C5E95"/>
    <w:rsid w:val="000C5EDD"/>
    <w:rsid w:val="000C5F5F"/>
    <w:rsid w:val="000C5F97"/>
    <w:rsid w:val="000C6090"/>
    <w:rsid w:val="000C60E1"/>
    <w:rsid w:val="000C6215"/>
    <w:rsid w:val="000C6279"/>
    <w:rsid w:val="000C645C"/>
    <w:rsid w:val="000C6496"/>
    <w:rsid w:val="000C650E"/>
    <w:rsid w:val="000C655C"/>
    <w:rsid w:val="000C656C"/>
    <w:rsid w:val="000C656D"/>
    <w:rsid w:val="000C66D7"/>
    <w:rsid w:val="000C6725"/>
    <w:rsid w:val="000C67CF"/>
    <w:rsid w:val="000C6831"/>
    <w:rsid w:val="000C68D2"/>
    <w:rsid w:val="000C69F0"/>
    <w:rsid w:val="000C6A51"/>
    <w:rsid w:val="000C6C81"/>
    <w:rsid w:val="000C6F3B"/>
    <w:rsid w:val="000C7001"/>
    <w:rsid w:val="000C7091"/>
    <w:rsid w:val="000C710E"/>
    <w:rsid w:val="000C76B6"/>
    <w:rsid w:val="000C770F"/>
    <w:rsid w:val="000C788D"/>
    <w:rsid w:val="000C796A"/>
    <w:rsid w:val="000C7C1D"/>
    <w:rsid w:val="000C7CE2"/>
    <w:rsid w:val="000C7D27"/>
    <w:rsid w:val="000D015B"/>
    <w:rsid w:val="000D01E6"/>
    <w:rsid w:val="000D0256"/>
    <w:rsid w:val="000D0326"/>
    <w:rsid w:val="000D0340"/>
    <w:rsid w:val="000D037A"/>
    <w:rsid w:val="000D0441"/>
    <w:rsid w:val="000D0663"/>
    <w:rsid w:val="000D06B8"/>
    <w:rsid w:val="000D0722"/>
    <w:rsid w:val="000D07AE"/>
    <w:rsid w:val="000D0826"/>
    <w:rsid w:val="000D0A28"/>
    <w:rsid w:val="000D0C3A"/>
    <w:rsid w:val="000D0D86"/>
    <w:rsid w:val="000D0E7B"/>
    <w:rsid w:val="000D1150"/>
    <w:rsid w:val="000D11EF"/>
    <w:rsid w:val="000D1763"/>
    <w:rsid w:val="000D1B66"/>
    <w:rsid w:val="000D1BAA"/>
    <w:rsid w:val="000D220C"/>
    <w:rsid w:val="000D2325"/>
    <w:rsid w:val="000D24DA"/>
    <w:rsid w:val="000D2588"/>
    <w:rsid w:val="000D275A"/>
    <w:rsid w:val="000D292E"/>
    <w:rsid w:val="000D2958"/>
    <w:rsid w:val="000D2967"/>
    <w:rsid w:val="000D2DCF"/>
    <w:rsid w:val="000D2E9F"/>
    <w:rsid w:val="000D2EC5"/>
    <w:rsid w:val="000D31D7"/>
    <w:rsid w:val="000D3204"/>
    <w:rsid w:val="000D32A3"/>
    <w:rsid w:val="000D3452"/>
    <w:rsid w:val="000D3500"/>
    <w:rsid w:val="000D356E"/>
    <w:rsid w:val="000D375A"/>
    <w:rsid w:val="000D38BD"/>
    <w:rsid w:val="000D38E8"/>
    <w:rsid w:val="000D3A4B"/>
    <w:rsid w:val="000D3B33"/>
    <w:rsid w:val="000D3C56"/>
    <w:rsid w:val="000D3C5D"/>
    <w:rsid w:val="000D3CB4"/>
    <w:rsid w:val="000D3F5B"/>
    <w:rsid w:val="000D3FC2"/>
    <w:rsid w:val="000D3FC4"/>
    <w:rsid w:val="000D4130"/>
    <w:rsid w:val="000D41CB"/>
    <w:rsid w:val="000D44D0"/>
    <w:rsid w:val="000D44ED"/>
    <w:rsid w:val="000D4547"/>
    <w:rsid w:val="000D4694"/>
    <w:rsid w:val="000D47CD"/>
    <w:rsid w:val="000D4936"/>
    <w:rsid w:val="000D49E4"/>
    <w:rsid w:val="000D4B5F"/>
    <w:rsid w:val="000D4BA4"/>
    <w:rsid w:val="000D4D8B"/>
    <w:rsid w:val="000D4E40"/>
    <w:rsid w:val="000D5001"/>
    <w:rsid w:val="000D519C"/>
    <w:rsid w:val="000D51C9"/>
    <w:rsid w:val="000D547C"/>
    <w:rsid w:val="000D54ED"/>
    <w:rsid w:val="000D554A"/>
    <w:rsid w:val="000D5635"/>
    <w:rsid w:val="000D58B8"/>
    <w:rsid w:val="000D59F0"/>
    <w:rsid w:val="000D5A86"/>
    <w:rsid w:val="000D5AA9"/>
    <w:rsid w:val="000D5AB4"/>
    <w:rsid w:val="000D5BA4"/>
    <w:rsid w:val="000D5EFC"/>
    <w:rsid w:val="000D5FEA"/>
    <w:rsid w:val="000D6099"/>
    <w:rsid w:val="000D634E"/>
    <w:rsid w:val="000D63E6"/>
    <w:rsid w:val="000D6444"/>
    <w:rsid w:val="000D64AD"/>
    <w:rsid w:val="000D650D"/>
    <w:rsid w:val="000D6540"/>
    <w:rsid w:val="000D6852"/>
    <w:rsid w:val="000D6B91"/>
    <w:rsid w:val="000D6BE1"/>
    <w:rsid w:val="000D6CCC"/>
    <w:rsid w:val="000D6D1F"/>
    <w:rsid w:val="000D6E30"/>
    <w:rsid w:val="000D6E5D"/>
    <w:rsid w:val="000D6EAA"/>
    <w:rsid w:val="000D6F7A"/>
    <w:rsid w:val="000D703B"/>
    <w:rsid w:val="000D7075"/>
    <w:rsid w:val="000D708A"/>
    <w:rsid w:val="000D70CD"/>
    <w:rsid w:val="000D711F"/>
    <w:rsid w:val="000D71D5"/>
    <w:rsid w:val="000D7236"/>
    <w:rsid w:val="000D7500"/>
    <w:rsid w:val="000D7575"/>
    <w:rsid w:val="000D793C"/>
    <w:rsid w:val="000D7940"/>
    <w:rsid w:val="000D7A01"/>
    <w:rsid w:val="000D7A9B"/>
    <w:rsid w:val="000D7BB7"/>
    <w:rsid w:val="000D7BF5"/>
    <w:rsid w:val="000D7E93"/>
    <w:rsid w:val="000D7F86"/>
    <w:rsid w:val="000E0313"/>
    <w:rsid w:val="000E039D"/>
    <w:rsid w:val="000E0590"/>
    <w:rsid w:val="000E0619"/>
    <w:rsid w:val="000E069A"/>
    <w:rsid w:val="000E0BD4"/>
    <w:rsid w:val="000E0F30"/>
    <w:rsid w:val="000E0FE1"/>
    <w:rsid w:val="000E1106"/>
    <w:rsid w:val="000E112F"/>
    <w:rsid w:val="000E12A3"/>
    <w:rsid w:val="000E1337"/>
    <w:rsid w:val="000E14DA"/>
    <w:rsid w:val="000E1623"/>
    <w:rsid w:val="000E168C"/>
    <w:rsid w:val="000E1758"/>
    <w:rsid w:val="000E1809"/>
    <w:rsid w:val="000E1920"/>
    <w:rsid w:val="000E1957"/>
    <w:rsid w:val="000E1975"/>
    <w:rsid w:val="000E19C5"/>
    <w:rsid w:val="000E19D3"/>
    <w:rsid w:val="000E1A08"/>
    <w:rsid w:val="000E1A86"/>
    <w:rsid w:val="000E1A9D"/>
    <w:rsid w:val="000E1B88"/>
    <w:rsid w:val="000E1DE2"/>
    <w:rsid w:val="000E1E6A"/>
    <w:rsid w:val="000E203E"/>
    <w:rsid w:val="000E2067"/>
    <w:rsid w:val="000E20E5"/>
    <w:rsid w:val="000E2121"/>
    <w:rsid w:val="000E2626"/>
    <w:rsid w:val="000E2683"/>
    <w:rsid w:val="000E28C4"/>
    <w:rsid w:val="000E293B"/>
    <w:rsid w:val="000E2955"/>
    <w:rsid w:val="000E2970"/>
    <w:rsid w:val="000E2984"/>
    <w:rsid w:val="000E2B24"/>
    <w:rsid w:val="000E2C21"/>
    <w:rsid w:val="000E2C23"/>
    <w:rsid w:val="000E2CFB"/>
    <w:rsid w:val="000E2D1D"/>
    <w:rsid w:val="000E2E4B"/>
    <w:rsid w:val="000E2E83"/>
    <w:rsid w:val="000E2EAD"/>
    <w:rsid w:val="000E309E"/>
    <w:rsid w:val="000E34C0"/>
    <w:rsid w:val="000E34E6"/>
    <w:rsid w:val="000E3524"/>
    <w:rsid w:val="000E3559"/>
    <w:rsid w:val="000E35AD"/>
    <w:rsid w:val="000E360D"/>
    <w:rsid w:val="000E3660"/>
    <w:rsid w:val="000E3690"/>
    <w:rsid w:val="000E372C"/>
    <w:rsid w:val="000E3852"/>
    <w:rsid w:val="000E387D"/>
    <w:rsid w:val="000E3936"/>
    <w:rsid w:val="000E3B87"/>
    <w:rsid w:val="000E3BF6"/>
    <w:rsid w:val="000E3CDC"/>
    <w:rsid w:val="000E3E0C"/>
    <w:rsid w:val="000E4056"/>
    <w:rsid w:val="000E4237"/>
    <w:rsid w:val="000E4339"/>
    <w:rsid w:val="000E43CE"/>
    <w:rsid w:val="000E442A"/>
    <w:rsid w:val="000E44E0"/>
    <w:rsid w:val="000E466F"/>
    <w:rsid w:val="000E4746"/>
    <w:rsid w:val="000E4773"/>
    <w:rsid w:val="000E4896"/>
    <w:rsid w:val="000E496D"/>
    <w:rsid w:val="000E49FB"/>
    <w:rsid w:val="000E4A8D"/>
    <w:rsid w:val="000E4AA7"/>
    <w:rsid w:val="000E4BF4"/>
    <w:rsid w:val="000E4C5C"/>
    <w:rsid w:val="000E4C9E"/>
    <w:rsid w:val="000E4DFD"/>
    <w:rsid w:val="000E4F9E"/>
    <w:rsid w:val="000E51C2"/>
    <w:rsid w:val="000E5383"/>
    <w:rsid w:val="000E53F1"/>
    <w:rsid w:val="000E5468"/>
    <w:rsid w:val="000E54C8"/>
    <w:rsid w:val="000E559F"/>
    <w:rsid w:val="000E5925"/>
    <w:rsid w:val="000E5950"/>
    <w:rsid w:val="000E599C"/>
    <w:rsid w:val="000E59FA"/>
    <w:rsid w:val="000E5A1B"/>
    <w:rsid w:val="000E5A5C"/>
    <w:rsid w:val="000E5B27"/>
    <w:rsid w:val="000E5BC8"/>
    <w:rsid w:val="000E5C38"/>
    <w:rsid w:val="000E5EE0"/>
    <w:rsid w:val="000E5EFA"/>
    <w:rsid w:val="000E5F98"/>
    <w:rsid w:val="000E6112"/>
    <w:rsid w:val="000E61A9"/>
    <w:rsid w:val="000E6265"/>
    <w:rsid w:val="000E6323"/>
    <w:rsid w:val="000E6363"/>
    <w:rsid w:val="000E639D"/>
    <w:rsid w:val="000E64A4"/>
    <w:rsid w:val="000E6656"/>
    <w:rsid w:val="000E67A2"/>
    <w:rsid w:val="000E67AB"/>
    <w:rsid w:val="000E6865"/>
    <w:rsid w:val="000E69B2"/>
    <w:rsid w:val="000E6C59"/>
    <w:rsid w:val="000E6CF0"/>
    <w:rsid w:val="000E6E4E"/>
    <w:rsid w:val="000E6FB8"/>
    <w:rsid w:val="000E7077"/>
    <w:rsid w:val="000E7182"/>
    <w:rsid w:val="000E7219"/>
    <w:rsid w:val="000E722F"/>
    <w:rsid w:val="000E73E4"/>
    <w:rsid w:val="000E7473"/>
    <w:rsid w:val="000E74E4"/>
    <w:rsid w:val="000E7683"/>
    <w:rsid w:val="000E76C2"/>
    <w:rsid w:val="000E7C7C"/>
    <w:rsid w:val="000E7E3D"/>
    <w:rsid w:val="000E7E41"/>
    <w:rsid w:val="000E7F95"/>
    <w:rsid w:val="000F0125"/>
    <w:rsid w:val="000F0185"/>
    <w:rsid w:val="000F0203"/>
    <w:rsid w:val="000F02EF"/>
    <w:rsid w:val="000F030F"/>
    <w:rsid w:val="000F0371"/>
    <w:rsid w:val="000F0386"/>
    <w:rsid w:val="000F086E"/>
    <w:rsid w:val="000F08C2"/>
    <w:rsid w:val="000F093E"/>
    <w:rsid w:val="000F0B18"/>
    <w:rsid w:val="000F0B2D"/>
    <w:rsid w:val="000F0BCE"/>
    <w:rsid w:val="000F0BD8"/>
    <w:rsid w:val="000F0F4E"/>
    <w:rsid w:val="000F0F8A"/>
    <w:rsid w:val="000F0FDD"/>
    <w:rsid w:val="000F1172"/>
    <w:rsid w:val="000F11DE"/>
    <w:rsid w:val="000F1415"/>
    <w:rsid w:val="000F1473"/>
    <w:rsid w:val="000F14A8"/>
    <w:rsid w:val="000F14D8"/>
    <w:rsid w:val="000F153B"/>
    <w:rsid w:val="000F15F2"/>
    <w:rsid w:val="000F187D"/>
    <w:rsid w:val="000F1998"/>
    <w:rsid w:val="000F19D2"/>
    <w:rsid w:val="000F1A33"/>
    <w:rsid w:val="000F1A6A"/>
    <w:rsid w:val="000F1CE2"/>
    <w:rsid w:val="000F1D68"/>
    <w:rsid w:val="000F1EB2"/>
    <w:rsid w:val="000F2013"/>
    <w:rsid w:val="000F2197"/>
    <w:rsid w:val="000F2359"/>
    <w:rsid w:val="000F28D0"/>
    <w:rsid w:val="000F29CA"/>
    <w:rsid w:val="000F2B61"/>
    <w:rsid w:val="000F2CA1"/>
    <w:rsid w:val="000F2FCE"/>
    <w:rsid w:val="000F3079"/>
    <w:rsid w:val="000F307E"/>
    <w:rsid w:val="000F31B6"/>
    <w:rsid w:val="000F321F"/>
    <w:rsid w:val="000F350C"/>
    <w:rsid w:val="000F35C0"/>
    <w:rsid w:val="000F3679"/>
    <w:rsid w:val="000F3684"/>
    <w:rsid w:val="000F37AD"/>
    <w:rsid w:val="000F396A"/>
    <w:rsid w:val="000F3A6F"/>
    <w:rsid w:val="000F3C3E"/>
    <w:rsid w:val="000F3CC5"/>
    <w:rsid w:val="000F3DF8"/>
    <w:rsid w:val="000F3E43"/>
    <w:rsid w:val="000F3EAE"/>
    <w:rsid w:val="000F3FB3"/>
    <w:rsid w:val="000F3FF1"/>
    <w:rsid w:val="000F410A"/>
    <w:rsid w:val="000F42E1"/>
    <w:rsid w:val="000F446B"/>
    <w:rsid w:val="000F46C0"/>
    <w:rsid w:val="000F479E"/>
    <w:rsid w:val="000F48AD"/>
    <w:rsid w:val="000F48EC"/>
    <w:rsid w:val="000F4E07"/>
    <w:rsid w:val="000F4E74"/>
    <w:rsid w:val="000F512B"/>
    <w:rsid w:val="000F51AC"/>
    <w:rsid w:val="000F522C"/>
    <w:rsid w:val="000F523F"/>
    <w:rsid w:val="000F5240"/>
    <w:rsid w:val="000F5252"/>
    <w:rsid w:val="000F5291"/>
    <w:rsid w:val="000F5660"/>
    <w:rsid w:val="000F589D"/>
    <w:rsid w:val="000F59C8"/>
    <w:rsid w:val="000F5A01"/>
    <w:rsid w:val="000F5A1A"/>
    <w:rsid w:val="000F5AFA"/>
    <w:rsid w:val="000F5B70"/>
    <w:rsid w:val="000F5BFF"/>
    <w:rsid w:val="000F5C07"/>
    <w:rsid w:val="000F5D03"/>
    <w:rsid w:val="000F5E9C"/>
    <w:rsid w:val="000F5EF2"/>
    <w:rsid w:val="000F5F70"/>
    <w:rsid w:val="000F60D6"/>
    <w:rsid w:val="000F610D"/>
    <w:rsid w:val="000F6439"/>
    <w:rsid w:val="000F674D"/>
    <w:rsid w:val="000F677A"/>
    <w:rsid w:val="000F6868"/>
    <w:rsid w:val="000F68D4"/>
    <w:rsid w:val="000F68ED"/>
    <w:rsid w:val="000F6980"/>
    <w:rsid w:val="000F6D44"/>
    <w:rsid w:val="000F6D89"/>
    <w:rsid w:val="000F6EF8"/>
    <w:rsid w:val="000F709E"/>
    <w:rsid w:val="000F71CB"/>
    <w:rsid w:val="000F733B"/>
    <w:rsid w:val="000F734B"/>
    <w:rsid w:val="000F7671"/>
    <w:rsid w:val="000F771F"/>
    <w:rsid w:val="000F7854"/>
    <w:rsid w:val="000F7946"/>
    <w:rsid w:val="000F797D"/>
    <w:rsid w:val="000F7A7A"/>
    <w:rsid w:val="000F7B02"/>
    <w:rsid w:val="000F7B3C"/>
    <w:rsid w:val="000F7B6E"/>
    <w:rsid w:val="000F7BC6"/>
    <w:rsid w:val="000F7C28"/>
    <w:rsid w:val="000F7F3F"/>
    <w:rsid w:val="000F7FF5"/>
    <w:rsid w:val="0010018A"/>
    <w:rsid w:val="001003F4"/>
    <w:rsid w:val="00100448"/>
    <w:rsid w:val="001005B0"/>
    <w:rsid w:val="001005E1"/>
    <w:rsid w:val="0010070A"/>
    <w:rsid w:val="0010074D"/>
    <w:rsid w:val="001007E0"/>
    <w:rsid w:val="001007F2"/>
    <w:rsid w:val="00100979"/>
    <w:rsid w:val="00100A32"/>
    <w:rsid w:val="00100A5E"/>
    <w:rsid w:val="00100B88"/>
    <w:rsid w:val="00100DE2"/>
    <w:rsid w:val="00100E2E"/>
    <w:rsid w:val="00100EB6"/>
    <w:rsid w:val="001010A3"/>
    <w:rsid w:val="001014FB"/>
    <w:rsid w:val="00101681"/>
    <w:rsid w:val="00101957"/>
    <w:rsid w:val="00101A33"/>
    <w:rsid w:val="00101AA7"/>
    <w:rsid w:val="00101AE0"/>
    <w:rsid w:val="00101B3D"/>
    <w:rsid w:val="00101B85"/>
    <w:rsid w:val="00101C0C"/>
    <w:rsid w:val="00101C26"/>
    <w:rsid w:val="00101C40"/>
    <w:rsid w:val="00101CCE"/>
    <w:rsid w:val="00101F12"/>
    <w:rsid w:val="00102044"/>
    <w:rsid w:val="001023AA"/>
    <w:rsid w:val="0010259E"/>
    <w:rsid w:val="0010264E"/>
    <w:rsid w:val="0010287D"/>
    <w:rsid w:val="0010289E"/>
    <w:rsid w:val="001029E1"/>
    <w:rsid w:val="00102A49"/>
    <w:rsid w:val="00102CB4"/>
    <w:rsid w:val="00102CFD"/>
    <w:rsid w:val="00102D4A"/>
    <w:rsid w:val="00102D87"/>
    <w:rsid w:val="00102E30"/>
    <w:rsid w:val="00102F26"/>
    <w:rsid w:val="00102F6E"/>
    <w:rsid w:val="00102FD3"/>
    <w:rsid w:val="00103304"/>
    <w:rsid w:val="00103375"/>
    <w:rsid w:val="001033B8"/>
    <w:rsid w:val="00103461"/>
    <w:rsid w:val="00103792"/>
    <w:rsid w:val="001037FB"/>
    <w:rsid w:val="0010380A"/>
    <w:rsid w:val="001039DA"/>
    <w:rsid w:val="00103A04"/>
    <w:rsid w:val="00103A6B"/>
    <w:rsid w:val="00103AB8"/>
    <w:rsid w:val="00103AC6"/>
    <w:rsid w:val="00103CCF"/>
    <w:rsid w:val="00103DBE"/>
    <w:rsid w:val="00103F40"/>
    <w:rsid w:val="0010406A"/>
    <w:rsid w:val="001040B2"/>
    <w:rsid w:val="0010413B"/>
    <w:rsid w:val="0010425B"/>
    <w:rsid w:val="00104297"/>
    <w:rsid w:val="0010437B"/>
    <w:rsid w:val="0010439A"/>
    <w:rsid w:val="00104820"/>
    <w:rsid w:val="00104871"/>
    <w:rsid w:val="001049C0"/>
    <w:rsid w:val="00104A66"/>
    <w:rsid w:val="00104B74"/>
    <w:rsid w:val="00104C15"/>
    <w:rsid w:val="00104F0D"/>
    <w:rsid w:val="001050A1"/>
    <w:rsid w:val="00105132"/>
    <w:rsid w:val="001053E5"/>
    <w:rsid w:val="00105674"/>
    <w:rsid w:val="001056D5"/>
    <w:rsid w:val="00105747"/>
    <w:rsid w:val="00105789"/>
    <w:rsid w:val="001057E7"/>
    <w:rsid w:val="001057EA"/>
    <w:rsid w:val="0010593B"/>
    <w:rsid w:val="001059E8"/>
    <w:rsid w:val="00105A5E"/>
    <w:rsid w:val="00105AD7"/>
    <w:rsid w:val="00105B01"/>
    <w:rsid w:val="00105B6C"/>
    <w:rsid w:val="00105B75"/>
    <w:rsid w:val="00105D17"/>
    <w:rsid w:val="00105E64"/>
    <w:rsid w:val="00105EB9"/>
    <w:rsid w:val="00105F1D"/>
    <w:rsid w:val="00105F1F"/>
    <w:rsid w:val="00105F65"/>
    <w:rsid w:val="0010606A"/>
    <w:rsid w:val="001060A7"/>
    <w:rsid w:val="001061B4"/>
    <w:rsid w:val="00106298"/>
    <w:rsid w:val="0010632A"/>
    <w:rsid w:val="0010646A"/>
    <w:rsid w:val="00106543"/>
    <w:rsid w:val="001066E0"/>
    <w:rsid w:val="00106770"/>
    <w:rsid w:val="00106807"/>
    <w:rsid w:val="00106872"/>
    <w:rsid w:val="00106935"/>
    <w:rsid w:val="001069BC"/>
    <w:rsid w:val="00106B1E"/>
    <w:rsid w:val="00106B43"/>
    <w:rsid w:val="00106B95"/>
    <w:rsid w:val="00106C79"/>
    <w:rsid w:val="00106D44"/>
    <w:rsid w:val="00106D59"/>
    <w:rsid w:val="00106DFB"/>
    <w:rsid w:val="00106F16"/>
    <w:rsid w:val="00107015"/>
    <w:rsid w:val="001071C3"/>
    <w:rsid w:val="00107346"/>
    <w:rsid w:val="0010735E"/>
    <w:rsid w:val="0010738A"/>
    <w:rsid w:val="00107612"/>
    <w:rsid w:val="001079E9"/>
    <w:rsid w:val="001079EC"/>
    <w:rsid w:val="00107B0A"/>
    <w:rsid w:val="00107B5F"/>
    <w:rsid w:val="00107BC8"/>
    <w:rsid w:val="00107C67"/>
    <w:rsid w:val="00107D10"/>
    <w:rsid w:val="00107DC3"/>
    <w:rsid w:val="00110006"/>
    <w:rsid w:val="0011007C"/>
    <w:rsid w:val="0011019B"/>
    <w:rsid w:val="00110422"/>
    <w:rsid w:val="00110662"/>
    <w:rsid w:val="00110ABD"/>
    <w:rsid w:val="00110BB1"/>
    <w:rsid w:val="00110D32"/>
    <w:rsid w:val="00110D45"/>
    <w:rsid w:val="00110E53"/>
    <w:rsid w:val="00110F03"/>
    <w:rsid w:val="00110FB5"/>
    <w:rsid w:val="0011104C"/>
    <w:rsid w:val="001113F7"/>
    <w:rsid w:val="001114A9"/>
    <w:rsid w:val="00111670"/>
    <w:rsid w:val="00111691"/>
    <w:rsid w:val="001117F8"/>
    <w:rsid w:val="00111892"/>
    <w:rsid w:val="00111929"/>
    <w:rsid w:val="00111999"/>
    <w:rsid w:val="00111A56"/>
    <w:rsid w:val="00111A5C"/>
    <w:rsid w:val="00111A75"/>
    <w:rsid w:val="00111BA8"/>
    <w:rsid w:val="00111CB4"/>
    <w:rsid w:val="00111CC5"/>
    <w:rsid w:val="00111D04"/>
    <w:rsid w:val="00111FE6"/>
    <w:rsid w:val="00112168"/>
    <w:rsid w:val="00112453"/>
    <w:rsid w:val="0011246E"/>
    <w:rsid w:val="001124DF"/>
    <w:rsid w:val="00112560"/>
    <w:rsid w:val="00112651"/>
    <w:rsid w:val="001126FB"/>
    <w:rsid w:val="00112ABB"/>
    <w:rsid w:val="00112AFD"/>
    <w:rsid w:val="00112B13"/>
    <w:rsid w:val="00112BF2"/>
    <w:rsid w:val="00112C47"/>
    <w:rsid w:val="00112CFB"/>
    <w:rsid w:val="00112DC7"/>
    <w:rsid w:val="00112FE7"/>
    <w:rsid w:val="00113138"/>
    <w:rsid w:val="0011317D"/>
    <w:rsid w:val="00113267"/>
    <w:rsid w:val="001132F1"/>
    <w:rsid w:val="00113342"/>
    <w:rsid w:val="0011336B"/>
    <w:rsid w:val="001135AB"/>
    <w:rsid w:val="0011361E"/>
    <w:rsid w:val="0011365F"/>
    <w:rsid w:val="001136E3"/>
    <w:rsid w:val="001138AF"/>
    <w:rsid w:val="001139CA"/>
    <w:rsid w:val="00113A0A"/>
    <w:rsid w:val="00113C9A"/>
    <w:rsid w:val="00113E63"/>
    <w:rsid w:val="00113F8F"/>
    <w:rsid w:val="00114068"/>
    <w:rsid w:val="0011408C"/>
    <w:rsid w:val="00114386"/>
    <w:rsid w:val="00114449"/>
    <w:rsid w:val="00114495"/>
    <w:rsid w:val="00114577"/>
    <w:rsid w:val="001146F2"/>
    <w:rsid w:val="00114737"/>
    <w:rsid w:val="0011477E"/>
    <w:rsid w:val="00114841"/>
    <w:rsid w:val="00114929"/>
    <w:rsid w:val="001149C5"/>
    <w:rsid w:val="00114B2C"/>
    <w:rsid w:val="00114BEE"/>
    <w:rsid w:val="00114DD2"/>
    <w:rsid w:val="00114E89"/>
    <w:rsid w:val="00114EBB"/>
    <w:rsid w:val="00114F6C"/>
    <w:rsid w:val="00114FD7"/>
    <w:rsid w:val="00115085"/>
    <w:rsid w:val="001152EB"/>
    <w:rsid w:val="00115355"/>
    <w:rsid w:val="0011539E"/>
    <w:rsid w:val="0011550C"/>
    <w:rsid w:val="0011551E"/>
    <w:rsid w:val="0011574E"/>
    <w:rsid w:val="001158F7"/>
    <w:rsid w:val="00115973"/>
    <w:rsid w:val="00115999"/>
    <w:rsid w:val="00115A53"/>
    <w:rsid w:val="00115AA4"/>
    <w:rsid w:val="00115D54"/>
    <w:rsid w:val="00115ED8"/>
    <w:rsid w:val="001160AD"/>
    <w:rsid w:val="00116170"/>
    <w:rsid w:val="0011617E"/>
    <w:rsid w:val="00116279"/>
    <w:rsid w:val="0011631B"/>
    <w:rsid w:val="0011644C"/>
    <w:rsid w:val="0011651E"/>
    <w:rsid w:val="00116523"/>
    <w:rsid w:val="0011664B"/>
    <w:rsid w:val="001167BF"/>
    <w:rsid w:val="0011680D"/>
    <w:rsid w:val="0011680E"/>
    <w:rsid w:val="00116BBF"/>
    <w:rsid w:val="00116CF6"/>
    <w:rsid w:val="00116DA4"/>
    <w:rsid w:val="00116E51"/>
    <w:rsid w:val="00116EE0"/>
    <w:rsid w:val="00117210"/>
    <w:rsid w:val="0011722B"/>
    <w:rsid w:val="00117422"/>
    <w:rsid w:val="001176D9"/>
    <w:rsid w:val="00117717"/>
    <w:rsid w:val="001178D6"/>
    <w:rsid w:val="00117B32"/>
    <w:rsid w:val="00117CDA"/>
    <w:rsid w:val="00117F65"/>
    <w:rsid w:val="0012002A"/>
    <w:rsid w:val="00120124"/>
    <w:rsid w:val="0012026D"/>
    <w:rsid w:val="001202DB"/>
    <w:rsid w:val="00120688"/>
    <w:rsid w:val="001206AC"/>
    <w:rsid w:val="00120784"/>
    <w:rsid w:val="001208B5"/>
    <w:rsid w:val="0012096D"/>
    <w:rsid w:val="001209FE"/>
    <w:rsid w:val="00120BC8"/>
    <w:rsid w:val="00120C18"/>
    <w:rsid w:val="00120CD2"/>
    <w:rsid w:val="00120D99"/>
    <w:rsid w:val="00120E6A"/>
    <w:rsid w:val="0012113E"/>
    <w:rsid w:val="0012121F"/>
    <w:rsid w:val="0012129F"/>
    <w:rsid w:val="001214E8"/>
    <w:rsid w:val="00121514"/>
    <w:rsid w:val="00121564"/>
    <w:rsid w:val="001215BC"/>
    <w:rsid w:val="001215F1"/>
    <w:rsid w:val="00121673"/>
    <w:rsid w:val="00121679"/>
    <w:rsid w:val="0012184B"/>
    <w:rsid w:val="00121866"/>
    <w:rsid w:val="00121C9D"/>
    <w:rsid w:val="00121D62"/>
    <w:rsid w:val="00121DA5"/>
    <w:rsid w:val="00121DF9"/>
    <w:rsid w:val="00121EA0"/>
    <w:rsid w:val="00121FD8"/>
    <w:rsid w:val="00122323"/>
    <w:rsid w:val="0012241F"/>
    <w:rsid w:val="00122476"/>
    <w:rsid w:val="001224A8"/>
    <w:rsid w:val="001224B1"/>
    <w:rsid w:val="001224CD"/>
    <w:rsid w:val="00122683"/>
    <w:rsid w:val="0012275A"/>
    <w:rsid w:val="001227FF"/>
    <w:rsid w:val="00122832"/>
    <w:rsid w:val="0012299D"/>
    <w:rsid w:val="00122A1B"/>
    <w:rsid w:val="00122E28"/>
    <w:rsid w:val="00122E3C"/>
    <w:rsid w:val="00122E72"/>
    <w:rsid w:val="00122E81"/>
    <w:rsid w:val="00122EC3"/>
    <w:rsid w:val="00122ED7"/>
    <w:rsid w:val="00122F01"/>
    <w:rsid w:val="00122FF9"/>
    <w:rsid w:val="00123183"/>
    <w:rsid w:val="00123199"/>
    <w:rsid w:val="0012324A"/>
    <w:rsid w:val="00123341"/>
    <w:rsid w:val="0012337E"/>
    <w:rsid w:val="0012341D"/>
    <w:rsid w:val="00123669"/>
    <w:rsid w:val="00123AC6"/>
    <w:rsid w:val="00123F31"/>
    <w:rsid w:val="00123F47"/>
    <w:rsid w:val="0012406B"/>
    <w:rsid w:val="0012418A"/>
    <w:rsid w:val="00124284"/>
    <w:rsid w:val="0012429C"/>
    <w:rsid w:val="001242AC"/>
    <w:rsid w:val="001243D5"/>
    <w:rsid w:val="001243D6"/>
    <w:rsid w:val="001244F8"/>
    <w:rsid w:val="00124526"/>
    <w:rsid w:val="001246B2"/>
    <w:rsid w:val="001246C3"/>
    <w:rsid w:val="00124789"/>
    <w:rsid w:val="00124804"/>
    <w:rsid w:val="001249A8"/>
    <w:rsid w:val="00124C1E"/>
    <w:rsid w:val="00124C8E"/>
    <w:rsid w:val="00124D5A"/>
    <w:rsid w:val="00124E08"/>
    <w:rsid w:val="00124E4E"/>
    <w:rsid w:val="00124E9E"/>
    <w:rsid w:val="00124F8E"/>
    <w:rsid w:val="00124FA8"/>
    <w:rsid w:val="00125106"/>
    <w:rsid w:val="00125130"/>
    <w:rsid w:val="0012514D"/>
    <w:rsid w:val="00125300"/>
    <w:rsid w:val="0012530A"/>
    <w:rsid w:val="0012545F"/>
    <w:rsid w:val="001254D1"/>
    <w:rsid w:val="00125618"/>
    <w:rsid w:val="0012569C"/>
    <w:rsid w:val="0012591D"/>
    <w:rsid w:val="0012596E"/>
    <w:rsid w:val="001259F9"/>
    <w:rsid w:val="00125ABC"/>
    <w:rsid w:val="00125C0C"/>
    <w:rsid w:val="00125D50"/>
    <w:rsid w:val="00125D53"/>
    <w:rsid w:val="00125F9B"/>
    <w:rsid w:val="00126198"/>
    <w:rsid w:val="001261EA"/>
    <w:rsid w:val="00126214"/>
    <w:rsid w:val="0012622C"/>
    <w:rsid w:val="00126335"/>
    <w:rsid w:val="001263C0"/>
    <w:rsid w:val="00126429"/>
    <w:rsid w:val="001266F8"/>
    <w:rsid w:val="0012671B"/>
    <w:rsid w:val="00126779"/>
    <w:rsid w:val="001267D8"/>
    <w:rsid w:val="00126889"/>
    <w:rsid w:val="001269FA"/>
    <w:rsid w:val="00126B16"/>
    <w:rsid w:val="00126BE2"/>
    <w:rsid w:val="00126D82"/>
    <w:rsid w:val="00126DE0"/>
    <w:rsid w:val="00126FEC"/>
    <w:rsid w:val="001271E5"/>
    <w:rsid w:val="00127226"/>
    <w:rsid w:val="00127589"/>
    <w:rsid w:val="00127671"/>
    <w:rsid w:val="001278C2"/>
    <w:rsid w:val="00127B52"/>
    <w:rsid w:val="00127C6F"/>
    <w:rsid w:val="00130125"/>
    <w:rsid w:val="00130132"/>
    <w:rsid w:val="00130169"/>
    <w:rsid w:val="0013019A"/>
    <w:rsid w:val="001304E2"/>
    <w:rsid w:val="00130500"/>
    <w:rsid w:val="0013088E"/>
    <w:rsid w:val="00130B13"/>
    <w:rsid w:val="001310F3"/>
    <w:rsid w:val="001311D0"/>
    <w:rsid w:val="00131240"/>
    <w:rsid w:val="00131448"/>
    <w:rsid w:val="0013148F"/>
    <w:rsid w:val="001314DF"/>
    <w:rsid w:val="001314F5"/>
    <w:rsid w:val="001317C7"/>
    <w:rsid w:val="00131986"/>
    <w:rsid w:val="00131999"/>
    <w:rsid w:val="00131AD4"/>
    <w:rsid w:val="00131BF5"/>
    <w:rsid w:val="00131DF8"/>
    <w:rsid w:val="00131E01"/>
    <w:rsid w:val="00131E1E"/>
    <w:rsid w:val="00131E40"/>
    <w:rsid w:val="0013225B"/>
    <w:rsid w:val="00132294"/>
    <w:rsid w:val="0013229C"/>
    <w:rsid w:val="001322D8"/>
    <w:rsid w:val="001323BE"/>
    <w:rsid w:val="00132459"/>
    <w:rsid w:val="001327D4"/>
    <w:rsid w:val="00132880"/>
    <w:rsid w:val="00132902"/>
    <w:rsid w:val="00132939"/>
    <w:rsid w:val="001329B4"/>
    <w:rsid w:val="00132ADF"/>
    <w:rsid w:val="00132D23"/>
    <w:rsid w:val="00132F9D"/>
    <w:rsid w:val="00132FFB"/>
    <w:rsid w:val="00132FFE"/>
    <w:rsid w:val="001331AB"/>
    <w:rsid w:val="00133300"/>
    <w:rsid w:val="001333D6"/>
    <w:rsid w:val="0013354F"/>
    <w:rsid w:val="001338FC"/>
    <w:rsid w:val="00133A0C"/>
    <w:rsid w:val="00133AFC"/>
    <w:rsid w:val="00133BE5"/>
    <w:rsid w:val="00133CF7"/>
    <w:rsid w:val="00133D1A"/>
    <w:rsid w:val="00133E98"/>
    <w:rsid w:val="00133F0F"/>
    <w:rsid w:val="00133F88"/>
    <w:rsid w:val="00134021"/>
    <w:rsid w:val="00134245"/>
    <w:rsid w:val="00134447"/>
    <w:rsid w:val="00134577"/>
    <w:rsid w:val="0013482E"/>
    <w:rsid w:val="00134A40"/>
    <w:rsid w:val="00134A76"/>
    <w:rsid w:val="00134BAA"/>
    <w:rsid w:val="00134C0A"/>
    <w:rsid w:val="00134DAB"/>
    <w:rsid w:val="00134DC6"/>
    <w:rsid w:val="00134DF2"/>
    <w:rsid w:val="00134E17"/>
    <w:rsid w:val="00134E9F"/>
    <w:rsid w:val="00134F35"/>
    <w:rsid w:val="00134F46"/>
    <w:rsid w:val="00134FB6"/>
    <w:rsid w:val="00135019"/>
    <w:rsid w:val="0013511F"/>
    <w:rsid w:val="001352B8"/>
    <w:rsid w:val="001352C2"/>
    <w:rsid w:val="001353F2"/>
    <w:rsid w:val="001354ED"/>
    <w:rsid w:val="0013557D"/>
    <w:rsid w:val="001355FB"/>
    <w:rsid w:val="0013566D"/>
    <w:rsid w:val="00135838"/>
    <w:rsid w:val="0013590A"/>
    <w:rsid w:val="00135973"/>
    <w:rsid w:val="00135A35"/>
    <w:rsid w:val="00135A73"/>
    <w:rsid w:val="00135B55"/>
    <w:rsid w:val="00135BA3"/>
    <w:rsid w:val="00135BCD"/>
    <w:rsid w:val="00135C84"/>
    <w:rsid w:val="00135DB6"/>
    <w:rsid w:val="00135DC5"/>
    <w:rsid w:val="00135E86"/>
    <w:rsid w:val="00135F25"/>
    <w:rsid w:val="00135F67"/>
    <w:rsid w:val="001361C1"/>
    <w:rsid w:val="0013623E"/>
    <w:rsid w:val="0013638A"/>
    <w:rsid w:val="00136391"/>
    <w:rsid w:val="00136811"/>
    <w:rsid w:val="00136B84"/>
    <w:rsid w:val="00136D6C"/>
    <w:rsid w:val="00136DC1"/>
    <w:rsid w:val="00136E45"/>
    <w:rsid w:val="00136ECD"/>
    <w:rsid w:val="00136F18"/>
    <w:rsid w:val="00136F39"/>
    <w:rsid w:val="00136FA8"/>
    <w:rsid w:val="001371CC"/>
    <w:rsid w:val="00137229"/>
    <w:rsid w:val="00137264"/>
    <w:rsid w:val="001372BB"/>
    <w:rsid w:val="001374AA"/>
    <w:rsid w:val="0013757C"/>
    <w:rsid w:val="001377EA"/>
    <w:rsid w:val="00137AD8"/>
    <w:rsid w:val="00137B44"/>
    <w:rsid w:val="00137BD6"/>
    <w:rsid w:val="00137C33"/>
    <w:rsid w:val="00137DF1"/>
    <w:rsid w:val="00137DF4"/>
    <w:rsid w:val="00137E82"/>
    <w:rsid w:val="00137EB0"/>
    <w:rsid w:val="00137EE2"/>
    <w:rsid w:val="00137FF0"/>
    <w:rsid w:val="00137FF6"/>
    <w:rsid w:val="00140057"/>
    <w:rsid w:val="00140113"/>
    <w:rsid w:val="001401FF"/>
    <w:rsid w:val="001402F3"/>
    <w:rsid w:val="00140378"/>
    <w:rsid w:val="001403E2"/>
    <w:rsid w:val="001404D7"/>
    <w:rsid w:val="00140632"/>
    <w:rsid w:val="00140671"/>
    <w:rsid w:val="001407BE"/>
    <w:rsid w:val="00140B57"/>
    <w:rsid w:val="00140B7F"/>
    <w:rsid w:val="00140BAD"/>
    <w:rsid w:val="00140C54"/>
    <w:rsid w:val="00140D3F"/>
    <w:rsid w:val="00140F46"/>
    <w:rsid w:val="00141132"/>
    <w:rsid w:val="0014113E"/>
    <w:rsid w:val="00141385"/>
    <w:rsid w:val="00141472"/>
    <w:rsid w:val="0014150F"/>
    <w:rsid w:val="00141522"/>
    <w:rsid w:val="00141CBA"/>
    <w:rsid w:val="00141CC0"/>
    <w:rsid w:val="00141CC6"/>
    <w:rsid w:val="00141E3A"/>
    <w:rsid w:val="00141F3B"/>
    <w:rsid w:val="00141F41"/>
    <w:rsid w:val="00141FE8"/>
    <w:rsid w:val="0014206B"/>
    <w:rsid w:val="00142164"/>
    <w:rsid w:val="001421CD"/>
    <w:rsid w:val="001421F7"/>
    <w:rsid w:val="001422E9"/>
    <w:rsid w:val="0014242D"/>
    <w:rsid w:val="00142540"/>
    <w:rsid w:val="00142584"/>
    <w:rsid w:val="0014263E"/>
    <w:rsid w:val="00142B06"/>
    <w:rsid w:val="00142E39"/>
    <w:rsid w:val="001433A9"/>
    <w:rsid w:val="00143535"/>
    <w:rsid w:val="0014360F"/>
    <w:rsid w:val="0014362A"/>
    <w:rsid w:val="0014364C"/>
    <w:rsid w:val="001438AC"/>
    <w:rsid w:val="001438FE"/>
    <w:rsid w:val="00143915"/>
    <w:rsid w:val="001439F8"/>
    <w:rsid w:val="00143E53"/>
    <w:rsid w:val="00143F1C"/>
    <w:rsid w:val="00143F1E"/>
    <w:rsid w:val="00143FED"/>
    <w:rsid w:val="00144058"/>
    <w:rsid w:val="00144137"/>
    <w:rsid w:val="00144157"/>
    <w:rsid w:val="001441D7"/>
    <w:rsid w:val="00144213"/>
    <w:rsid w:val="0014421F"/>
    <w:rsid w:val="00144371"/>
    <w:rsid w:val="0014449B"/>
    <w:rsid w:val="00144562"/>
    <w:rsid w:val="001445CD"/>
    <w:rsid w:val="00144620"/>
    <w:rsid w:val="0014487F"/>
    <w:rsid w:val="001448B2"/>
    <w:rsid w:val="00144950"/>
    <w:rsid w:val="00144DB8"/>
    <w:rsid w:val="00144F71"/>
    <w:rsid w:val="00145188"/>
    <w:rsid w:val="001451A8"/>
    <w:rsid w:val="001453CB"/>
    <w:rsid w:val="00145521"/>
    <w:rsid w:val="001455FB"/>
    <w:rsid w:val="00145639"/>
    <w:rsid w:val="001458D4"/>
    <w:rsid w:val="00145A1A"/>
    <w:rsid w:val="00145AB7"/>
    <w:rsid w:val="00145B77"/>
    <w:rsid w:val="00145C02"/>
    <w:rsid w:val="00145CFB"/>
    <w:rsid w:val="00145D99"/>
    <w:rsid w:val="00145E3A"/>
    <w:rsid w:val="00145E43"/>
    <w:rsid w:val="00145E47"/>
    <w:rsid w:val="001461B0"/>
    <w:rsid w:val="00146291"/>
    <w:rsid w:val="0014644E"/>
    <w:rsid w:val="001464D9"/>
    <w:rsid w:val="00146657"/>
    <w:rsid w:val="001466FC"/>
    <w:rsid w:val="00146716"/>
    <w:rsid w:val="0014671F"/>
    <w:rsid w:val="001469F0"/>
    <w:rsid w:val="00146B04"/>
    <w:rsid w:val="00146C03"/>
    <w:rsid w:val="00146C50"/>
    <w:rsid w:val="00146DA3"/>
    <w:rsid w:val="00146E4B"/>
    <w:rsid w:val="00146E52"/>
    <w:rsid w:val="00146EC0"/>
    <w:rsid w:val="00146EC4"/>
    <w:rsid w:val="00146F9A"/>
    <w:rsid w:val="00147177"/>
    <w:rsid w:val="001473B8"/>
    <w:rsid w:val="00147511"/>
    <w:rsid w:val="00147553"/>
    <w:rsid w:val="00147A31"/>
    <w:rsid w:val="00147D13"/>
    <w:rsid w:val="00147D56"/>
    <w:rsid w:val="00147DFE"/>
    <w:rsid w:val="00150311"/>
    <w:rsid w:val="00150328"/>
    <w:rsid w:val="0015049B"/>
    <w:rsid w:val="001504E8"/>
    <w:rsid w:val="0015052F"/>
    <w:rsid w:val="00150618"/>
    <w:rsid w:val="00150690"/>
    <w:rsid w:val="00150791"/>
    <w:rsid w:val="001507D0"/>
    <w:rsid w:val="00150A93"/>
    <w:rsid w:val="00150BFE"/>
    <w:rsid w:val="00150C0D"/>
    <w:rsid w:val="00150C85"/>
    <w:rsid w:val="00150D03"/>
    <w:rsid w:val="00150E63"/>
    <w:rsid w:val="00151508"/>
    <w:rsid w:val="0015152D"/>
    <w:rsid w:val="0015156B"/>
    <w:rsid w:val="00151675"/>
    <w:rsid w:val="001517C5"/>
    <w:rsid w:val="0015180F"/>
    <w:rsid w:val="0015188E"/>
    <w:rsid w:val="00151A23"/>
    <w:rsid w:val="00151F3E"/>
    <w:rsid w:val="00151FB2"/>
    <w:rsid w:val="00152383"/>
    <w:rsid w:val="0015297F"/>
    <w:rsid w:val="00152980"/>
    <w:rsid w:val="001529BB"/>
    <w:rsid w:val="00152A46"/>
    <w:rsid w:val="00152AED"/>
    <w:rsid w:val="00152AF5"/>
    <w:rsid w:val="00152C4B"/>
    <w:rsid w:val="00152D69"/>
    <w:rsid w:val="00152E16"/>
    <w:rsid w:val="00152F5B"/>
    <w:rsid w:val="00152FCC"/>
    <w:rsid w:val="00152FE5"/>
    <w:rsid w:val="001531C4"/>
    <w:rsid w:val="001531F1"/>
    <w:rsid w:val="00153297"/>
    <w:rsid w:val="0015366D"/>
    <w:rsid w:val="00153674"/>
    <w:rsid w:val="00153727"/>
    <w:rsid w:val="0015397F"/>
    <w:rsid w:val="001539FB"/>
    <w:rsid w:val="00153CDC"/>
    <w:rsid w:val="00153D15"/>
    <w:rsid w:val="00153DE9"/>
    <w:rsid w:val="00153E0B"/>
    <w:rsid w:val="00153E57"/>
    <w:rsid w:val="00153E6C"/>
    <w:rsid w:val="00154024"/>
    <w:rsid w:val="00154317"/>
    <w:rsid w:val="001543B7"/>
    <w:rsid w:val="0015487B"/>
    <w:rsid w:val="00154A04"/>
    <w:rsid w:val="00154A0F"/>
    <w:rsid w:val="00154AE5"/>
    <w:rsid w:val="00154BCD"/>
    <w:rsid w:val="00154C79"/>
    <w:rsid w:val="00154D8B"/>
    <w:rsid w:val="00154E72"/>
    <w:rsid w:val="00154F84"/>
    <w:rsid w:val="00154FF6"/>
    <w:rsid w:val="00155066"/>
    <w:rsid w:val="001554C3"/>
    <w:rsid w:val="001556B9"/>
    <w:rsid w:val="00155700"/>
    <w:rsid w:val="001557C3"/>
    <w:rsid w:val="00155A5D"/>
    <w:rsid w:val="00155AFE"/>
    <w:rsid w:val="00155CD5"/>
    <w:rsid w:val="00155DBE"/>
    <w:rsid w:val="00155E49"/>
    <w:rsid w:val="00155F3C"/>
    <w:rsid w:val="00156187"/>
    <w:rsid w:val="0015633C"/>
    <w:rsid w:val="001563CE"/>
    <w:rsid w:val="001563E9"/>
    <w:rsid w:val="00156768"/>
    <w:rsid w:val="001567A3"/>
    <w:rsid w:val="00156848"/>
    <w:rsid w:val="00156A39"/>
    <w:rsid w:val="00156B4D"/>
    <w:rsid w:val="00156B93"/>
    <w:rsid w:val="00156CFF"/>
    <w:rsid w:val="00156D1E"/>
    <w:rsid w:val="00156F61"/>
    <w:rsid w:val="00157077"/>
    <w:rsid w:val="00157117"/>
    <w:rsid w:val="0015714B"/>
    <w:rsid w:val="001571B8"/>
    <w:rsid w:val="00157746"/>
    <w:rsid w:val="00157868"/>
    <w:rsid w:val="00157902"/>
    <w:rsid w:val="001579D3"/>
    <w:rsid w:val="00157A8D"/>
    <w:rsid w:val="00157AAE"/>
    <w:rsid w:val="00157D48"/>
    <w:rsid w:val="00157D6A"/>
    <w:rsid w:val="00157DCD"/>
    <w:rsid w:val="00157ECF"/>
    <w:rsid w:val="00157FE4"/>
    <w:rsid w:val="001600A4"/>
    <w:rsid w:val="001600EA"/>
    <w:rsid w:val="001601D8"/>
    <w:rsid w:val="001602FE"/>
    <w:rsid w:val="00160374"/>
    <w:rsid w:val="001603DA"/>
    <w:rsid w:val="00160402"/>
    <w:rsid w:val="001607D1"/>
    <w:rsid w:val="00160B3F"/>
    <w:rsid w:val="00160F71"/>
    <w:rsid w:val="00160F87"/>
    <w:rsid w:val="00160FC0"/>
    <w:rsid w:val="001610FF"/>
    <w:rsid w:val="001611AD"/>
    <w:rsid w:val="001613A3"/>
    <w:rsid w:val="001613D9"/>
    <w:rsid w:val="00161665"/>
    <w:rsid w:val="001616FF"/>
    <w:rsid w:val="00161806"/>
    <w:rsid w:val="001618D7"/>
    <w:rsid w:val="0016195D"/>
    <w:rsid w:val="00161982"/>
    <w:rsid w:val="00161B0B"/>
    <w:rsid w:val="00161B83"/>
    <w:rsid w:val="00161C6D"/>
    <w:rsid w:val="00161FA1"/>
    <w:rsid w:val="001621D3"/>
    <w:rsid w:val="001622B8"/>
    <w:rsid w:val="00162431"/>
    <w:rsid w:val="001624D6"/>
    <w:rsid w:val="00162517"/>
    <w:rsid w:val="0016281A"/>
    <w:rsid w:val="001628BF"/>
    <w:rsid w:val="00162B24"/>
    <w:rsid w:val="00162BE2"/>
    <w:rsid w:val="00162E93"/>
    <w:rsid w:val="00162FDC"/>
    <w:rsid w:val="001632DD"/>
    <w:rsid w:val="0016343B"/>
    <w:rsid w:val="001634B1"/>
    <w:rsid w:val="001634E4"/>
    <w:rsid w:val="0016369C"/>
    <w:rsid w:val="001636F0"/>
    <w:rsid w:val="00163983"/>
    <w:rsid w:val="00163996"/>
    <w:rsid w:val="00163A75"/>
    <w:rsid w:val="00163F99"/>
    <w:rsid w:val="00164021"/>
    <w:rsid w:val="00164080"/>
    <w:rsid w:val="0016411C"/>
    <w:rsid w:val="0016426B"/>
    <w:rsid w:val="001644D4"/>
    <w:rsid w:val="00164844"/>
    <w:rsid w:val="00164AA1"/>
    <w:rsid w:val="00164B2C"/>
    <w:rsid w:val="00164B5D"/>
    <w:rsid w:val="00164D50"/>
    <w:rsid w:val="00164DE0"/>
    <w:rsid w:val="00164F19"/>
    <w:rsid w:val="0016519F"/>
    <w:rsid w:val="001651C7"/>
    <w:rsid w:val="001651E8"/>
    <w:rsid w:val="0016529D"/>
    <w:rsid w:val="001653A0"/>
    <w:rsid w:val="001655B2"/>
    <w:rsid w:val="001655BB"/>
    <w:rsid w:val="00165655"/>
    <w:rsid w:val="001656BF"/>
    <w:rsid w:val="00165702"/>
    <w:rsid w:val="001657A4"/>
    <w:rsid w:val="001658D7"/>
    <w:rsid w:val="00165988"/>
    <w:rsid w:val="00165AB0"/>
    <w:rsid w:val="00165C16"/>
    <w:rsid w:val="00165F94"/>
    <w:rsid w:val="00166047"/>
    <w:rsid w:val="00166212"/>
    <w:rsid w:val="00166413"/>
    <w:rsid w:val="0016668C"/>
    <w:rsid w:val="00166783"/>
    <w:rsid w:val="001669FB"/>
    <w:rsid w:val="00166AF3"/>
    <w:rsid w:val="00166B6E"/>
    <w:rsid w:val="00166C16"/>
    <w:rsid w:val="001670F1"/>
    <w:rsid w:val="00167470"/>
    <w:rsid w:val="001674BB"/>
    <w:rsid w:val="00167504"/>
    <w:rsid w:val="0016752F"/>
    <w:rsid w:val="001675DF"/>
    <w:rsid w:val="001676E6"/>
    <w:rsid w:val="0016783E"/>
    <w:rsid w:val="00167975"/>
    <w:rsid w:val="00167B33"/>
    <w:rsid w:val="00167CB2"/>
    <w:rsid w:val="00167D38"/>
    <w:rsid w:val="00167ED2"/>
    <w:rsid w:val="00170040"/>
    <w:rsid w:val="00170053"/>
    <w:rsid w:val="001700CE"/>
    <w:rsid w:val="00170164"/>
    <w:rsid w:val="00170243"/>
    <w:rsid w:val="0017026C"/>
    <w:rsid w:val="001702AA"/>
    <w:rsid w:val="00170411"/>
    <w:rsid w:val="0017042E"/>
    <w:rsid w:val="00170630"/>
    <w:rsid w:val="00170750"/>
    <w:rsid w:val="001708F9"/>
    <w:rsid w:val="00170B29"/>
    <w:rsid w:val="00170B35"/>
    <w:rsid w:val="00170E71"/>
    <w:rsid w:val="00170F0C"/>
    <w:rsid w:val="00171118"/>
    <w:rsid w:val="001712FE"/>
    <w:rsid w:val="00171322"/>
    <w:rsid w:val="0017138E"/>
    <w:rsid w:val="001713C0"/>
    <w:rsid w:val="00171425"/>
    <w:rsid w:val="001715FA"/>
    <w:rsid w:val="0017161C"/>
    <w:rsid w:val="001716EA"/>
    <w:rsid w:val="00171783"/>
    <w:rsid w:val="0017188C"/>
    <w:rsid w:val="001718BB"/>
    <w:rsid w:val="00171993"/>
    <w:rsid w:val="00171C99"/>
    <w:rsid w:val="00171CE8"/>
    <w:rsid w:val="00171DE4"/>
    <w:rsid w:val="0017201B"/>
    <w:rsid w:val="0017209F"/>
    <w:rsid w:val="00172151"/>
    <w:rsid w:val="00172265"/>
    <w:rsid w:val="0017259E"/>
    <w:rsid w:val="00172658"/>
    <w:rsid w:val="00172663"/>
    <w:rsid w:val="001726BE"/>
    <w:rsid w:val="00172793"/>
    <w:rsid w:val="00172900"/>
    <w:rsid w:val="0017291E"/>
    <w:rsid w:val="00172995"/>
    <w:rsid w:val="001729A1"/>
    <w:rsid w:val="001729F3"/>
    <w:rsid w:val="00172BDA"/>
    <w:rsid w:val="00172BE4"/>
    <w:rsid w:val="00172C54"/>
    <w:rsid w:val="00172CEC"/>
    <w:rsid w:val="00172EF9"/>
    <w:rsid w:val="001730C2"/>
    <w:rsid w:val="00173346"/>
    <w:rsid w:val="00173678"/>
    <w:rsid w:val="001739DB"/>
    <w:rsid w:val="00173B39"/>
    <w:rsid w:val="00173D0C"/>
    <w:rsid w:val="00173E8D"/>
    <w:rsid w:val="00174045"/>
    <w:rsid w:val="00174048"/>
    <w:rsid w:val="00174288"/>
    <w:rsid w:val="001742D8"/>
    <w:rsid w:val="00174370"/>
    <w:rsid w:val="0017438A"/>
    <w:rsid w:val="001743FA"/>
    <w:rsid w:val="00174453"/>
    <w:rsid w:val="001744C1"/>
    <w:rsid w:val="001745CF"/>
    <w:rsid w:val="0017469F"/>
    <w:rsid w:val="00174743"/>
    <w:rsid w:val="0017475F"/>
    <w:rsid w:val="0017479E"/>
    <w:rsid w:val="001747C0"/>
    <w:rsid w:val="001747C5"/>
    <w:rsid w:val="001747EB"/>
    <w:rsid w:val="00174918"/>
    <w:rsid w:val="00174C9B"/>
    <w:rsid w:val="00174D7E"/>
    <w:rsid w:val="00174E34"/>
    <w:rsid w:val="00174E4C"/>
    <w:rsid w:val="00174E51"/>
    <w:rsid w:val="00174E88"/>
    <w:rsid w:val="00174F6D"/>
    <w:rsid w:val="00174F80"/>
    <w:rsid w:val="00174FED"/>
    <w:rsid w:val="00175031"/>
    <w:rsid w:val="00175099"/>
    <w:rsid w:val="001755AD"/>
    <w:rsid w:val="00175694"/>
    <w:rsid w:val="001757AA"/>
    <w:rsid w:val="001758E8"/>
    <w:rsid w:val="00175938"/>
    <w:rsid w:val="00175949"/>
    <w:rsid w:val="0017597E"/>
    <w:rsid w:val="00175ACB"/>
    <w:rsid w:val="00175AE7"/>
    <w:rsid w:val="00175AF5"/>
    <w:rsid w:val="00175B35"/>
    <w:rsid w:val="00175D95"/>
    <w:rsid w:val="00175E09"/>
    <w:rsid w:val="00176034"/>
    <w:rsid w:val="001760C3"/>
    <w:rsid w:val="00176284"/>
    <w:rsid w:val="00176287"/>
    <w:rsid w:val="0017631F"/>
    <w:rsid w:val="0017660D"/>
    <w:rsid w:val="00176765"/>
    <w:rsid w:val="001768CA"/>
    <w:rsid w:val="001769B6"/>
    <w:rsid w:val="00176AF2"/>
    <w:rsid w:val="00176FCE"/>
    <w:rsid w:val="00177071"/>
    <w:rsid w:val="00177189"/>
    <w:rsid w:val="001771C6"/>
    <w:rsid w:val="001772FA"/>
    <w:rsid w:val="00177300"/>
    <w:rsid w:val="001774BE"/>
    <w:rsid w:val="00177652"/>
    <w:rsid w:val="0017769F"/>
    <w:rsid w:val="001777E2"/>
    <w:rsid w:val="0017789C"/>
    <w:rsid w:val="001778C3"/>
    <w:rsid w:val="00177980"/>
    <w:rsid w:val="00177A61"/>
    <w:rsid w:val="00177BAE"/>
    <w:rsid w:val="00177C0C"/>
    <w:rsid w:val="00177FAE"/>
    <w:rsid w:val="00177FE7"/>
    <w:rsid w:val="001800E4"/>
    <w:rsid w:val="00180212"/>
    <w:rsid w:val="001803AF"/>
    <w:rsid w:val="001803CA"/>
    <w:rsid w:val="00180457"/>
    <w:rsid w:val="00180573"/>
    <w:rsid w:val="001805B8"/>
    <w:rsid w:val="0018064B"/>
    <w:rsid w:val="00180896"/>
    <w:rsid w:val="0018090D"/>
    <w:rsid w:val="00180A70"/>
    <w:rsid w:val="00180B0D"/>
    <w:rsid w:val="00180C97"/>
    <w:rsid w:val="00180CA7"/>
    <w:rsid w:val="00180FEE"/>
    <w:rsid w:val="0018115D"/>
    <w:rsid w:val="001811D5"/>
    <w:rsid w:val="00181318"/>
    <w:rsid w:val="0018141E"/>
    <w:rsid w:val="001816D6"/>
    <w:rsid w:val="00181736"/>
    <w:rsid w:val="00181BEB"/>
    <w:rsid w:val="00181CB5"/>
    <w:rsid w:val="00181CE3"/>
    <w:rsid w:val="00181D03"/>
    <w:rsid w:val="00181E68"/>
    <w:rsid w:val="00181E98"/>
    <w:rsid w:val="00181E9D"/>
    <w:rsid w:val="00181FE5"/>
    <w:rsid w:val="00182059"/>
    <w:rsid w:val="0018207C"/>
    <w:rsid w:val="00182130"/>
    <w:rsid w:val="001825E7"/>
    <w:rsid w:val="00182688"/>
    <w:rsid w:val="001829E9"/>
    <w:rsid w:val="00182BEE"/>
    <w:rsid w:val="00182CEE"/>
    <w:rsid w:val="00182DC7"/>
    <w:rsid w:val="00182EDF"/>
    <w:rsid w:val="001831E2"/>
    <w:rsid w:val="00183244"/>
    <w:rsid w:val="0018328A"/>
    <w:rsid w:val="001835FE"/>
    <w:rsid w:val="00183898"/>
    <w:rsid w:val="001838F1"/>
    <w:rsid w:val="00183965"/>
    <w:rsid w:val="001839FF"/>
    <w:rsid w:val="00183A0B"/>
    <w:rsid w:val="00183A82"/>
    <w:rsid w:val="00183CF7"/>
    <w:rsid w:val="00183D22"/>
    <w:rsid w:val="00183D5D"/>
    <w:rsid w:val="00183D7C"/>
    <w:rsid w:val="00183F22"/>
    <w:rsid w:val="00183F9A"/>
    <w:rsid w:val="00184075"/>
    <w:rsid w:val="00184382"/>
    <w:rsid w:val="00184534"/>
    <w:rsid w:val="001845BB"/>
    <w:rsid w:val="00184729"/>
    <w:rsid w:val="00184745"/>
    <w:rsid w:val="0018493C"/>
    <w:rsid w:val="0018496D"/>
    <w:rsid w:val="00184A16"/>
    <w:rsid w:val="00184B04"/>
    <w:rsid w:val="00184B7A"/>
    <w:rsid w:val="00184C50"/>
    <w:rsid w:val="00184E22"/>
    <w:rsid w:val="00184EB7"/>
    <w:rsid w:val="00185016"/>
    <w:rsid w:val="00185061"/>
    <w:rsid w:val="00185109"/>
    <w:rsid w:val="00185359"/>
    <w:rsid w:val="0018550A"/>
    <w:rsid w:val="00185607"/>
    <w:rsid w:val="001857A9"/>
    <w:rsid w:val="00185842"/>
    <w:rsid w:val="001858E8"/>
    <w:rsid w:val="00185C87"/>
    <w:rsid w:val="00185DD1"/>
    <w:rsid w:val="00185E15"/>
    <w:rsid w:val="00185E8F"/>
    <w:rsid w:val="00185EFA"/>
    <w:rsid w:val="00185F18"/>
    <w:rsid w:val="00186211"/>
    <w:rsid w:val="00186296"/>
    <w:rsid w:val="001862F4"/>
    <w:rsid w:val="001863D0"/>
    <w:rsid w:val="001866AF"/>
    <w:rsid w:val="001866B5"/>
    <w:rsid w:val="001867C8"/>
    <w:rsid w:val="0018693D"/>
    <w:rsid w:val="00186979"/>
    <w:rsid w:val="00186AE8"/>
    <w:rsid w:val="00186BEC"/>
    <w:rsid w:val="00186D95"/>
    <w:rsid w:val="00186FA1"/>
    <w:rsid w:val="00186FB5"/>
    <w:rsid w:val="00187071"/>
    <w:rsid w:val="001870D4"/>
    <w:rsid w:val="001870E9"/>
    <w:rsid w:val="00187191"/>
    <w:rsid w:val="001871B5"/>
    <w:rsid w:val="001871D8"/>
    <w:rsid w:val="0018725E"/>
    <w:rsid w:val="00187301"/>
    <w:rsid w:val="00187378"/>
    <w:rsid w:val="0018747C"/>
    <w:rsid w:val="001874FF"/>
    <w:rsid w:val="0018751A"/>
    <w:rsid w:val="0018751B"/>
    <w:rsid w:val="00187996"/>
    <w:rsid w:val="00187C0A"/>
    <w:rsid w:val="00187C5D"/>
    <w:rsid w:val="00187ECA"/>
    <w:rsid w:val="00187F39"/>
    <w:rsid w:val="00190114"/>
    <w:rsid w:val="00190156"/>
    <w:rsid w:val="0019020B"/>
    <w:rsid w:val="0019025C"/>
    <w:rsid w:val="001903E1"/>
    <w:rsid w:val="00190460"/>
    <w:rsid w:val="00190561"/>
    <w:rsid w:val="0019059C"/>
    <w:rsid w:val="001905C2"/>
    <w:rsid w:val="00190750"/>
    <w:rsid w:val="001907DB"/>
    <w:rsid w:val="001907F3"/>
    <w:rsid w:val="001908F2"/>
    <w:rsid w:val="00190903"/>
    <w:rsid w:val="00190912"/>
    <w:rsid w:val="00190C31"/>
    <w:rsid w:val="00190C46"/>
    <w:rsid w:val="00190FA2"/>
    <w:rsid w:val="0019105D"/>
    <w:rsid w:val="00191253"/>
    <w:rsid w:val="00191267"/>
    <w:rsid w:val="0019156C"/>
    <w:rsid w:val="00191649"/>
    <w:rsid w:val="001916F5"/>
    <w:rsid w:val="00191743"/>
    <w:rsid w:val="0019179A"/>
    <w:rsid w:val="0019181A"/>
    <w:rsid w:val="00191905"/>
    <w:rsid w:val="001919AB"/>
    <w:rsid w:val="00191CB9"/>
    <w:rsid w:val="00191E4C"/>
    <w:rsid w:val="00191EF1"/>
    <w:rsid w:val="00191EF6"/>
    <w:rsid w:val="00191F6B"/>
    <w:rsid w:val="0019202F"/>
    <w:rsid w:val="00192056"/>
    <w:rsid w:val="001921D1"/>
    <w:rsid w:val="0019220B"/>
    <w:rsid w:val="00192226"/>
    <w:rsid w:val="0019222D"/>
    <w:rsid w:val="00192433"/>
    <w:rsid w:val="001924A3"/>
    <w:rsid w:val="001925D6"/>
    <w:rsid w:val="00192639"/>
    <w:rsid w:val="001927B2"/>
    <w:rsid w:val="00192A26"/>
    <w:rsid w:val="00192BD3"/>
    <w:rsid w:val="00192CDF"/>
    <w:rsid w:val="00192E6E"/>
    <w:rsid w:val="00192EA2"/>
    <w:rsid w:val="00193084"/>
    <w:rsid w:val="00193216"/>
    <w:rsid w:val="00193306"/>
    <w:rsid w:val="001935EB"/>
    <w:rsid w:val="00193600"/>
    <w:rsid w:val="0019379A"/>
    <w:rsid w:val="0019381E"/>
    <w:rsid w:val="001938A1"/>
    <w:rsid w:val="001938C5"/>
    <w:rsid w:val="00193941"/>
    <w:rsid w:val="00193BC5"/>
    <w:rsid w:val="00193D5A"/>
    <w:rsid w:val="00193DD4"/>
    <w:rsid w:val="00193E43"/>
    <w:rsid w:val="001940F6"/>
    <w:rsid w:val="00194105"/>
    <w:rsid w:val="0019417C"/>
    <w:rsid w:val="0019438B"/>
    <w:rsid w:val="00194435"/>
    <w:rsid w:val="00194473"/>
    <w:rsid w:val="00194500"/>
    <w:rsid w:val="00194605"/>
    <w:rsid w:val="00194651"/>
    <w:rsid w:val="00194680"/>
    <w:rsid w:val="001946BB"/>
    <w:rsid w:val="00194716"/>
    <w:rsid w:val="00194744"/>
    <w:rsid w:val="0019474F"/>
    <w:rsid w:val="0019483B"/>
    <w:rsid w:val="001948C2"/>
    <w:rsid w:val="00194B04"/>
    <w:rsid w:val="00194B70"/>
    <w:rsid w:val="00194C6C"/>
    <w:rsid w:val="00194DC4"/>
    <w:rsid w:val="00194ECD"/>
    <w:rsid w:val="00194EED"/>
    <w:rsid w:val="00194F5C"/>
    <w:rsid w:val="00195159"/>
    <w:rsid w:val="0019515E"/>
    <w:rsid w:val="001951CC"/>
    <w:rsid w:val="00195690"/>
    <w:rsid w:val="001957AE"/>
    <w:rsid w:val="001957CC"/>
    <w:rsid w:val="00195862"/>
    <w:rsid w:val="001958BF"/>
    <w:rsid w:val="00195952"/>
    <w:rsid w:val="00195AC1"/>
    <w:rsid w:val="00195B92"/>
    <w:rsid w:val="00195BE1"/>
    <w:rsid w:val="00195C26"/>
    <w:rsid w:val="00195DA8"/>
    <w:rsid w:val="00195DBA"/>
    <w:rsid w:val="00196067"/>
    <w:rsid w:val="0019612A"/>
    <w:rsid w:val="00196203"/>
    <w:rsid w:val="00196276"/>
    <w:rsid w:val="00196388"/>
    <w:rsid w:val="001963E1"/>
    <w:rsid w:val="00196549"/>
    <w:rsid w:val="001966B0"/>
    <w:rsid w:val="00196798"/>
    <w:rsid w:val="00196972"/>
    <w:rsid w:val="00196A01"/>
    <w:rsid w:val="00196A22"/>
    <w:rsid w:val="00196A32"/>
    <w:rsid w:val="00196A91"/>
    <w:rsid w:val="00196C17"/>
    <w:rsid w:val="00196D07"/>
    <w:rsid w:val="00196D16"/>
    <w:rsid w:val="00196D5C"/>
    <w:rsid w:val="00196EDB"/>
    <w:rsid w:val="00196F4E"/>
    <w:rsid w:val="0019706F"/>
    <w:rsid w:val="00197430"/>
    <w:rsid w:val="0019743F"/>
    <w:rsid w:val="0019756C"/>
    <w:rsid w:val="001975A0"/>
    <w:rsid w:val="00197624"/>
    <w:rsid w:val="00197628"/>
    <w:rsid w:val="001978FA"/>
    <w:rsid w:val="0019791B"/>
    <w:rsid w:val="001979BA"/>
    <w:rsid w:val="00197A26"/>
    <w:rsid w:val="00197C8B"/>
    <w:rsid w:val="00197E28"/>
    <w:rsid w:val="001A007B"/>
    <w:rsid w:val="001A02BB"/>
    <w:rsid w:val="001A02F2"/>
    <w:rsid w:val="001A031A"/>
    <w:rsid w:val="001A0740"/>
    <w:rsid w:val="001A0813"/>
    <w:rsid w:val="001A086D"/>
    <w:rsid w:val="001A09B7"/>
    <w:rsid w:val="001A0A03"/>
    <w:rsid w:val="001A0A7D"/>
    <w:rsid w:val="001A0BD6"/>
    <w:rsid w:val="001A0D52"/>
    <w:rsid w:val="001A0DD2"/>
    <w:rsid w:val="001A0E79"/>
    <w:rsid w:val="001A0F19"/>
    <w:rsid w:val="001A0FEE"/>
    <w:rsid w:val="001A102A"/>
    <w:rsid w:val="001A15D6"/>
    <w:rsid w:val="001A1651"/>
    <w:rsid w:val="001A168C"/>
    <w:rsid w:val="001A16BA"/>
    <w:rsid w:val="001A172C"/>
    <w:rsid w:val="001A178B"/>
    <w:rsid w:val="001A1798"/>
    <w:rsid w:val="001A183E"/>
    <w:rsid w:val="001A19BD"/>
    <w:rsid w:val="001A1A6F"/>
    <w:rsid w:val="001A1B35"/>
    <w:rsid w:val="001A1D5C"/>
    <w:rsid w:val="001A1D6F"/>
    <w:rsid w:val="001A1E13"/>
    <w:rsid w:val="001A1EC5"/>
    <w:rsid w:val="001A20A0"/>
    <w:rsid w:val="001A2225"/>
    <w:rsid w:val="001A227F"/>
    <w:rsid w:val="001A229D"/>
    <w:rsid w:val="001A22FB"/>
    <w:rsid w:val="001A2430"/>
    <w:rsid w:val="001A24F1"/>
    <w:rsid w:val="001A24FA"/>
    <w:rsid w:val="001A2562"/>
    <w:rsid w:val="001A2679"/>
    <w:rsid w:val="001A293A"/>
    <w:rsid w:val="001A2CD0"/>
    <w:rsid w:val="001A2D17"/>
    <w:rsid w:val="001A2D41"/>
    <w:rsid w:val="001A2FA2"/>
    <w:rsid w:val="001A34A1"/>
    <w:rsid w:val="001A34D1"/>
    <w:rsid w:val="001A3768"/>
    <w:rsid w:val="001A39BE"/>
    <w:rsid w:val="001A39E7"/>
    <w:rsid w:val="001A3AD5"/>
    <w:rsid w:val="001A3C8F"/>
    <w:rsid w:val="001A3CF1"/>
    <w:rsid w:val="001A3CF5"/>
    <w:rsid w:val="001A3E60"/>
    <w:rsid w:val="001A3F31"/>
    <w:rsid w:val="001A411B"/>
    <w:rsid w:val="001A418C"/>
    <w:rsid w:val="001A4310"/>
    <w:rsid w:val="001A475E"/>
    <w:rsid w:val="001A4A92"/>
    <w:rsid w:val="001A4AAA"/>
    <w:rsid w:val="001A4BE9"/>
    <w:rsid w:val="001A4C86"/>
    <w:rsid w:val="001A4D2B"/>
    <w:rsid w:val="001A5003"/>
    <w:rsid w:val="001A5524"/>
    <w:rsid w:val="001A555B"/>
    <w:rsid w:val="001A5684"/>
    <w:rsid w:val="001A56E9"/>
    <w:rsid w:val="001A5896"/>
    <w:rsid w:val="001A5AC9"/>
    <w:rsid w:val="001A5ACC"/>
    <w:rsid w:val="001A5BE3"/>
    <w:rsid w:val="001A5DD4"/>
    <w:rsid w:val="001A5EB8"/>
    <w:rsid w:val="001A5FFC"/>
    <w:rsid w:val="001A6011"/>
    <w:rsid w:val="001A6037"/>
    <w:rsid w:val="001A6215"/>
    <w:rsid w:val="001A6314"/>
    <w:rsid w:val="001A666B"/>
    <w:rsid w:val="001A6689"/>
    <w:rsid w:val="001A67CF"/>
    <w:rsid w:val="001A681E"/>
    <w:rsid w:val="001A6C65"/>
    <w:rsid w:val="001A6C9D"/>
    <w:rsid w:val="001A6D0C"/>
    <w:rsid w:val="001A6E12"/>
    <w:rsid w:val="001A7040"/>
    <w:rsid w:val="001A72AA"/>
    <w:rsid w:val="001A7323"/>
    <w:rsid w:val="001A7351"/>
    <w:rsid w:val="001A7369"/>
    <w:rsid w:val="001A73FA"/>
    <w:rsid w:val="001A7512"/>
    <w:rsid w:val="001A7537"/>
    <w:rsid w:val="001A7655"/>
    <w:rsid w:val="001A77F9"/>
    <w:rsid w:val="001A789C"/>
    <w:rsid w:val="001A78B1"/>
    <w:rsid w:val="001A78B4"/>
    <w:rsid w:val="001A7920"/>
    <w:rsid w:val="001A79CC"/>
    <w:rsid w:val="001A7AC4"/>
    <w:rsid w:val="001A7C70"/>
    <w:rsid w:val="001A7F48"/>
    <w:rsid w:val="001B007E"/>
    <w:rsid w:val="001B0138"/>
    <w:rsid w:val="001B0325"/>
    <w:rsid w:val="001B03E2"/>
    <w:rsid w:val="001B0419"/>
    <w:rsid w:val="001B043D"/>
    <w:rsid w:val="001B0448"/>
    <w:rsid w:val="001B05AD"/>
    <w:rsid w:val="001B0662"/>
    <w:rsid w:val="001B06E6"/>
    <w:rsid w:val="001B0753"/>
    <w:rsid w:val="001B0861"/>
    <w:rsid w:val="001B08C1"/>
    <w:rsid w:val="001B09A9"/>
    <w:rsid w:val="001B0AAA"/>
    <w:rsid w:val="001B0AD4"/>
    <w:rsid w:val="001B0C50"/>
    <w:rsid w:val="001B0E89"/>
    <w:rsid w:val="001B0EB9"/>
    <w:rsid w:val="001B0EFF"/>
    <w:rsid w:val="001B0F04"/>
    <w:rsid w:val="001B1167"/>
    <w:rsid w:val="001B11F0"/>
    <w:rsid w:val="001B14F0"/>
    <w:rsid w:val="001B1518"/>
    <w:rsid w:val="001B17D9"/>
    <w:rsid w:val="001B17F1"/>
    <w:rsid w:val="001B1843"/>
    <w:rsid w:val="001B1BDA"/>
    <w:rsid w:val="001B1F0C"/>
    <w:rsid w:val="001B1F30"/>
    <w:rsid w:val="001B2023"/>
    <w:rsid w:val="001B2114"/>
    <w:rsid w:val="001B21C0"/>
    <w:rsid w:val="001B234F"/>
    <w:rsid w:val="001B2404"/>
    <w:rsid w:val="001B245B"/>
    <w:rsid w:val="001B2516"/>
    <w:rsid w:val="001B28B6"/>
    <w:rsid w:val="001B2953"/>
    <w:rsid w:val="001B2A09"/>
    <w:rsid w:val="001B2ABA"/>
    <w:rsid w:val="001B2B51"/>
    <w:rsid w:val="001B2C0A"/>
    <w:rsid w:val="001B2C87"/>
    <w:rsid w:val="001B2CBB"/>
    <w:rsid w:val="001B2E01"/>
    <w:rsid w:val="001B2F05"/>
    <w:rsid w:val="001B2F75"/>
    <w:rsid w:val="001B3007"/>
    <w:rsid w:val="001B3071"/>
    <w:rsid w:val="001B31DA"/>
    <w:rsid w:val="001B3265"/>
    <w:rsid w:val="001B3477"/>
    <w:rsid w:val="001B34FB"/>
    <w:rsid w:val="001B3539"/>
    <w:rsid w:val="001B39BB"/>
    <w:rsid w:val="001B417B"/>
    <w:rsid w:val="001B4246"/>
    <w:rsid w:val="001B4307"/>
    <w:rsid w:val="001B4316"/>
    <w:rsid w:val="001B4416"/>
    <w:rsid w:val="001B4458"/>
    <w:rsid w:val="001B445B"/>
    <w:rsid w:val="001B465C"/>
    <w:rsid w:val="001B469B"/>
    <w:rsid w:val="001B46A0"/>
    <w:rsid w:val="001B4870"/>
    <w:rsid w:val="001B4B8D"/>
    <w:rsid w:val="001B4DC9"/>
    <w:rsid w:val="001B4EC2"/>
    <w:rsid w:val="001B4FDF"/>
    <w:rsid w:val="001B5040"/>
    <w:rsid w:val="001B5042"/>
    <w:rsid w:val="001B504A"/>
    <w:rsid w:val="001B50D0"/>
    <w:rsid w:val="001B50DD"/>
    <w:rsid w:val="001B5133"/>
    <w:rsid w:val="001B5379"/>
    <w:rsid w:val="001B5430"/>
    <w:rsid w:val="001B5457"/>
    <w:rsid w:val="001B54E4"/>
    <w:rsid w:val="001B55A8"/>
    <w:rsid w:val="001B56F1"/>
    <w:rsid w:val="001B5838"/>
    <w:rsid w:val="001B59A9"/>
    <w:rsid w:val="001B5A07"/>
    <w:rsid w:val="001B5A54"/>
    <w:rsid w:val="001B5C10"/>
    <w:rsid w:val="001B5C80"/>
    <w:rsid w:val="001B5D1A"/>
    <w:rsid w:val="001B6028"/>
    <w:rsid w:val="001B6080"/>
    <w:rsid w:val="001B61C4"/>
    <w:rsid w:val="001B621A"/>
    <w:rsid w:val="001B6391"/>
    <w:rsid w:val="001B64AB"/>
    <w:rsid w:val="001B660D"/>
    <w:rsid w:val="001B6749"/>
    <w:rsid w:val="001B684F"/>
    <w:rsid w:val="001B6C88"/>
    <w:rsid w:val="001B6CA5"/>
    <w:rsid w:val="001B6E82"/>
    <w:rsid w:val="001B6F4D"/>
    <w:rsid w:val="001B70FA"/>
    <w:rsid w:val="001B7251"/>
    <w:rsid w:val="001B72A4"/>
    <w:rsid w:val="001B7396"/>
    <w:rsid w:val="001B7567"/>
    <w:rsid w:val="001B7BC5"/>
    <w:rsid w:val="001B7DD1"/>
    <w:rsid w:val="001B7E08"/>
    <w:rsid w:val="001B7FFB"/>
    <w:rsid w:val="001C03E0"/>
    <w:rsid w:val="001C045E"/>
    <w:rsid w:val="001C050B"/>
    <w:rsid w:val="001C061F"/>
    <w:rsid w:val="001C06B2"/>
    <w:rsid w:val="001C0704"/>
    <w:rsid w:val="001C0727"/>
    <w:rsid w:val="001C07F0"/>
    <w:rsid w:val="001C08FD"/>
    <w:rsid w:val="001C09E6"/>
    <w:rsid w:val="001C0A73"/>
    <w:rsid w:val="001C0CFF"/>
    <w:rsid w:val="001C109D"/>
    <w:rsid w:val="001C10B1"/>
    <w:rsid w:val="001C10D8"/>
    <w:rsid w:val="001C117D"/>
    <w:rsid w:val="001C13BD"/>
    <w:rsid w:val="001C153A"/>
    <w:rsid w:val="001C1616"/>
    <w:rsid w:val="001C1619"/>
    <w:rsid w:val="001C165C"/>
    <w:rsid w:val="001C16E9"/>
    <w:rsid w:val="001C1A40"/>
    <w:rsid w:val="001C1A97"/>
    <w:rsid w:val="001C1E23"/>
    <w:rsid w:val="001C1F2D"/>
    <w:rsid w:val="001C1FAE"/>
    <w:rsid w:val="001C2024"/>
    <w:rsid w:val="001C229D"/>
    <w:rsid w:val="001C235F"/>
    <w:rsid w:val="001C23B3"/>
    <w:rsid w:val="001C25A5"/>
    <w:rsid w:val="001C266D"/>
    <w:rsid w:val="001C26D4"/>
    <w:rsid w:val="001C272C"/>
    <w:rsid w:val="001C2811"/>
    <w:rsid w:val="001C283F"/>
    <w:rsid w:val="001C2864"/>
    <w:rsid w:val="001C2B06"/>
    <w:rsid w:val="001C2BD0"/>
    <w:rsid w:val="001C2CAD"/>
    <w:rsid w:val="001C2CEB"/>
    <w:rsid w:val="001C2DB3"/>
    <w:rsid w:val="001C2E9C"/>
    <w:rsid w:val="001C2F48"/>
    <w:rsid w:val="001C2F9E"/>
    <w:rsid w:val="001C305A"/>
    <w:rsid w:val="001C30A8"/>
    <w:rsid w:val="001C3210"/>
    <w:rsid w:val="001C326E"/>
    <w:rsid w:val="001C333C"/>
    <w:rsid w:val="001C346E"/>
    <w:rsid w:val="001C3878"/>
    <w:rsid w:val="001C3980"/>
    <w:rsid w:val="001C3A31"/>
    <w:rsid w:val="001C3AA7"/>
    <w:rsid w:val="001C3B09"/>
    <w:rsid w:val="001C3EBB"/>
    <w:rsid w:val="001C3FC7"/>
    <w:rsid w:val="001C408E"/>
    <w:rsid w:val="001C4250"/>
    <w:rsid w:val="001C4267"/>
    <w:rsid w:val="001C4324"/>
    <w:rsid w:val="001C433D"/>
    <w:rsid w:val="001C4504"/>
    <w:rsid w:val="001C45AD"/>
    <w:rsid w:val="001C47EC"/>
    <w:rsid w:val="001C492E"/>
    <w:rsid w:val="001C4E37"/>
    <w:rsid w:val="001C50A7"/>
    <w:rsid w:val="001C50D1"/>
    <w:rsid w:val="001C52BB"/>
    <w:rsid w:val="001C52D8"/>
    <w:rsid w:val="001C5532"/>
    <w:rsid w:val="001C5661"/>
    <w:rsid w:val="001C5677"/>
    <w:rsid w:val="001C56F8"/>
    <w:rsid w:val="001C572D"/>
    <w:rsid w:val="001C57FD"/>
    <w:rsid w:val="001C5885"/>
    <w:rsid w:val="001C58D6"/>
    <w:rsid w:val="001C593C"/>
    <w:rsid w:val="001C5992"/>
    <w:rsid w:val="001C5B57"/>
    <w:rsid w:val="001C5B9C"/>
    <w:rsid w:val="001C5D77"/>
    <w:rsid w:val="001C5E3E"/>
    <w:rsid w:val="001C5E64"/>
    <w:rsid w:val="001C608E"/>
    <w:rsid w:val="001C6122"/>
    <w:rsid w:val="001C6541"/>
    <w:rsid w:val="001C6623"/>
    <w:rsid w:val="001C6903"/>
    <w:rsid w:val="001C6A94"/>
    <w:rsid w:val="001C6ED3"/>
    <w:rsid w:val="001C6FE0"/>
    <w:rsid w:val="001C7206"/>
    <w:rsid w:val="001C72F7"/>
    <w:rsid w:val="001C735E"/>
    <w:rsid w:val="001C775D"/>
    <w:rsid w:val="001C7844"/>
    <w:rsid w:val="001C78BF"/>
    <w:rsid w:val="001C78DB"/>
    <w:rsid w:val="001C79D3"/>
    <w:rsid w:val="001C7AD0"/>
    <w:rsid w:val="001C7BB7"/>
    <w:rsid w:val="001C7BF5"/>
    <w:rsid w:val="001C7D55"/>
    <w:rsid w:val="001C7D83"/>
    <w:rsid w:val="001C7D9A"/>
    <w:rsid w:val="001C7DEB"/>
    <w:rsid w:val="001D0071"/>
    <w:rsid w:val="001D03B5"/>
    <w:rsid w:val="001D06AF"/>
    <w:rsid w:val="001D06DB"/>
    <w:rsid w:val="001D077F"/>
    <w:rsid w:val="001D07CA"/>
    <w:rsid w:val="001D0A36"/>
    <w:rsid w:val="001D0B0C"/>
    <w:rsid w:val="001D0B5A"/>
    <w:rsid w:val="001D0BA3"/>
    <w:rsid w:val="001D0C4E"/>
    <w:rsid w:val="001D0D9B"/>
    <w:rsid w:val="001D0DE5"/>
    <w:rsid w:val="001D0DE8"/>
    <w:rsid w:val="001D0E93"/>
    <w:rsid w:val="001D1017"/>
    <w:rsid w:val="001D107B"/>
    <w:rsid w:val="001D112A"/>
    <w:rsid w:val="001D1199"/>
    <w:rsid w:val="001D11E4"/>
    <w:rsid w:val="001D1397"/>
    <w:rsid w:val="001D1506"/>
    <w:rsid w:val="001D1519"/>
    <w:rsid w:val="001D1614"/>
    <w:rsid w:val="001D17BA"/>
    <w:rsid w:val="001D17C7"/>
    <w:rsid w:val="001D17ED"/>
    <w:rsid w:val="001D185B"/>
    <w:rsid w:val="001D1875"/>
    <w:rsid w:val="001D187B"/>
    <w:rsid w:val="001D1981"/>
    <w:rsid w:val="001D1A67"/>
    <w:rsid w:val="001D1AC5"/>
    <w:rsid w:val="001D1AFE"/>
    <w:rsid w:val="001D1BB3"/>
    <w:rsid w:val="001D1F2E"/>
    <w:rsid w:val="001D1FC4"/>
    <w:rsid w:val="001D2359"/>
    <w:rsid w:val="001D23D1"/>
    <w:rsid w:val="001D2425"/>
    <w:rsid w:val="001D2479"/>
    <w:rsid w:val="001D2557"/>
    <w:rsid w:val="001D25DF"/>
    <w:rsid w:val="001D2679"/>
    <w:rsid w:val="001D28D8"/>
    <w:rsid w:val="001D2A92"/>
    <w:rsid w:val="001D2B32"/>
    <w:rsid w:val="001D2F5D"/>
    <w:rsid w:val="001D30B3"/>
    <w:rsid w:val="001D30BB"/>
    <w:rsid w:val="001D31C5"/>
    <w:rsid w:val="001D330C"/>
    <w:rsid w:val="001D3400"/>
    <w:rsid w:val="001D3425"/>
    <w:rsid w:val="001D3786"/>
    <w:rsid w:val="001D38A7"/>
    <w:rsid w:val="001D3B62"/>
    <w:rsid w:val="001D3D26"/>
    <w:rsid w:val="001D3E2E"/>
    <w:rsid w:val="001D3E53"/>
    <w:rsid w:val="001D40DD"/>
    <w:rsid w:val="001D41DD"/>
    <w:rsid w:val="001D42A3"/>
    <w:rsid w:val="001D4354"/>
    <w:rsid w:val="001D4386"/>
    <w:rsid w:val="001D43A9"/>
    <w:rsid w:val="001D44E7"/>
    <w:rsid w:val="001D45A0"/>
    <w:rsid w:val="001D4621"/>
    <w:rsid w:val="001D46F1"/>
    <w:rsid w:val="001D471D"/>
    <w:rsid w:val="001D4771"/>
    <w:rsid w:val="001D47B4"/>
    <w:rsid w:val="001D4875"/>
    <w:rsid w:val="001D4AEC"/>
    <w:rsid w:val="001D4BC4"/>
    <w:rsid w:val="001D4BEE"/>
    <w:rsid w:val="001D4BF8"/>
    <w:rsid w:val="001D4CBC"/>
    <w:rsid w:val="001D4E06"/>
    <w:rsid w:val="001D4FA7"/>
    <w:rsid w:val="001D5026"/>
    <w:rsid w:val="001D502B"/>
    <w:rsid w:val="001D50C2"/>
    <w:rsid w:val="001D5171"/>
    <w:rsid w:val="001D5315"/>
    <w:rsid w:val="001D5456"/>
    <w:rsid w:val="001D57DA"/>
    <w:rsid w:val="001D58B4"/>
    <w:rsid w:val="001D5925"/>
    <w:rsid w:val="001D59C3"/>
    <w:rsid w:val="001D5A89"/>
    <w:rsid w:val="001D5B99"/>
    <w:rsid w:val="001D5B9C"/>
    <w:rsid w:val="001D5BB1"/>
    <w:rsid w:val="001D5D50"/>
    <w:rsid w:val="001D5F5F"/>
    <w:rsid w:val="001D65AD"/>
    <w:rsid w:val="001D65DB"/>
    <w:rsid w:val="001D6682"/>
    <w:rsid w:val="001D66A9"/>
    <w:rsid w:val="001D66F2"/>
    <w:rsid w:val="001D677E"/>
    <w:rsid w:val="001D678D"/>
    <w:rsid w:val="001D6953"/>
    <w:rsid w:val="001D6975"/>
    <w:rsid w:val="001D6ABF"/>
    <w:rsid w:val="001D6B31"/>
    <w:rsid w:val="001D6B69"/>
    <w:rsid w:val="001D6C8B"/>
    <w:rsid w:val="001D6CFC"/>
    <w:rsid w:val="001D6F5F"/>
    <w:rsid w:val="001D6F8C"/>
    <w:rsid w:val="001D6FB1"/>
    <w:rsid w:val="001D712F"/>
    <w:rsid w:val="001D7130"/>
    <w:rsid w:val="001D727B"/>
    <w:rsid w:val="001D745A"/>
    <w:rsid w:val="001D74E8"/>
    <w:rsid w:val="001D798C"/>
    <w:rsid w:val="001D7AC0"/>
    <w:rsid w:val="001D7AEC"/>
    <w:rsid w:val="001D7B5A"/>
    <w:rsid w:val="001D7EC0"/>
    <w:rsid w:val="001D7EC9"/>
    <w:rsid w:val="001D7FE4"/>
    <w:rsid w:val="001E010B"/>
    <w:rsid w:val="001E0299"/>
    <w:rsid w:val="001E0489"/>
    <w:rsid w:val="001E0554"/>
    <w:rsid w:val="001E0558"/>
    <w:rsid w:val="001E059F"/>
    <w:rsid w:val="001E07C3"/>
    <w:rsid w:val="001E07DC"/>
    <w:rsid w:val="001E07EB"/>
    <w:rsid w:val="001E0976"/>
    <w:rsid w:val="001E0C6E"/>
    <w:rsid w:val="001E0CDB"/>
    <w:rsid w:val="001E0CF7"/>
    <w:rsid w:val="001E0E71"/>
    <w:rsid w:val="001E0E7C"/>
    <w:rsid w:val="001E1261"/>
    <w:rsid w:val="001E13C4"/>
    <w:rsid w:val="001E1687"/>
    <w:rsid w:val="001E1724"/>
    <w:rsid w:val="001E179F"/>
    <w:rsid w:val="001E181E"/>
    <w:rsid w:val="001E187C"/>
    <w:rsid w:val="001E18B1"/>
    <w:rsid w:val="001E1A89"/>
    <w:rsid w:val="001E1A8E"/>
    <w:rsid w:val="001E1AC5"/>
    <w:rsid w:val="001E1B1E"/>
    <w:rsid w:val="001E1B9B"/>
    <w:rsid w:val="001E1D59"/>
    <w:rsid w:val="001E1E55"/>
    <w:rsid w:val="001E1E6E"/>
    <w:rsid w:val="001E2006"/>
    <w:rsid w:val="001E200B"/>
    <w:rsid w:val="001E2208"/>
    <w:rsid w:val="001E228B"/>
    <w:rsid w:val="001E238F"/>
    <w:rsid w:val="001E2482"/>
    <w:rsid w:val="001E25F9"/>
    <w:rsid w:val="001E2626"/>
    <w:rsid w:val="001E26D5"/>
    <w:rsid w:val="001E275A"/>
    <w:rsid w:val="001E283A"/>
    <w:rsid w:val="001E2967"/>
    <w:rsid w:val="001E29F5"/>
    <w:rsid w:val="001E2AE8"/>
    <w:rsid w:val="001E2C0C"/>
    <w:rsid w:val="001E2C34"/>
    <w:rsid w:val="001E2E6D"/>
    <w:rsid w:val="001E3014"/>
    <w:rsid w:val="001E31D0"/>
    <w:rsid w:val="001E32E3"/>
    <w:rsid w:val="001E3416"/>
    <w:rsid w:val="001E358F"/>
    <w:rsid w:val="001E36E4"/>
    <w:rsid w:val="001E3785"/>
    <w:rsid w:val="001E37BB"/>
    <w:rsid w:val="001E38B1"/>
    <w:rsid w:val="001E3B01"/>
    <w:rsid w:val="001E3B27"/>
    <w:rsid w:val="001E3FBB"/>
    <w:rsid w:val="001E3FBF"/>
    <w:rsid w:val="001E4024"/>
    <w:rsid w:val="001E4041"/>
    <w:rsid w:val="001E41E0"/>
    <w:rsid w:val="001E43F1"/>
    <w:rsid w:val="001E4816"/>
    <w:rsid w:val="001E499E"/>
    <w:rsid w:val="001E4A6E"/>
    <w:rsid w:val="001E4AB1"/>
    <w:rsid w:val="001E4B14"/>
    <w:rsid w:val="001E4B78"/>
    <w:rsid w:val="001E4BA0"/>
    <w:rsid w:val="001E4C2D"/>
    <w:rsid w:val="001E4C8B"/>
    <w:rsid w:val="001E4D1D"/>
    <w:rsid w:val="001E4D95"/>
    <w:rsid w:val="001E4E49"/>
    <w:rsid w:val="001E4E8B"/>
    <w:rsid w:val="001E5244"/>
    <w:rsid w:val="001E524A"/>
    <w:rsid w:val="001E5295"/>
    <w:rsid w:val="001E52B1"/>
    <w:rsid w:val="001E5469"/>
    <w:rsid w:val="001E5495"/>
    <w:rsid w:val="001E550B"/>
    <w:rsid w:val="001E5596"/>
    <w:rsid w:val="001E5604"/>
    <w:rsid w:val="001E574D"/>
    <w:rsid w:val="001E5912"/>
    <w:rsid w:val="001E5C68"/>
    <w:rsid w:val="001E5EDD"/>
    <w:rsid w:val="001E5FD0"/>
    <w:rsid w:val="001E6084"/>
    <w:rsid w:val="001E6139"/>
    <w:rsid w:val="001E6140"/>
    <w:rsid w:val="001E6156"/>
    <w:rsid w:val="001E65DA"/>
    <w:rsid w:val="001E673A"/>
    <w:rsid w:val="001E673B"/>
    <w:rsid w:val="001E6857"/>
    <w:rsid w:val="001E691E"/>
    <w:rsid w:val="001E699E"/>
    <w:rsid w:val="001E6B5C"/>
    <w:rsid w:val="001E6E05"/>
    <w:rsid w:val="001E6E0C"/>
    <w:rsid w:val="001E6EF8"/>
    <w:rsid w:val="001E7288"/>
    <w:rsid w:val="001E742B"/>
    <w:rsid w:val="001E7771"/>
    <w:rsid w:val="001E7871"/>
    <w:rsid w:val="001E78DC"/>
    <w:rsid w:val="001E7924"/>
    <w:rsid w:val="001E795D"/>
    <w:rsid w:val="001E79F5"/>
    <w:rsid w:val="001E7AE8"/>
    <w:rsid w:val="001E7B80"/>
    <w:rsid w:val="001E7C75"/>
    <w:rsid w:val="001E7DFB"/>
    <w:rsid w:val="001E7E58"/>
    <w:rsid w:val="001E7ED7"/>
    <w:rsid w:val="001F0024"/>
    <w:rsid w:val="001F02FC"/>
    <w:rsid w:val="001F05D5"/>
    <w:rsid w:val="001F07B5"/>
    <w:rsid w:val="001F0A5F"/>
    <w:rsid w:val="001F0A98"/>
    <w:rsid w:val="001F0AEE"/>
    <w:rsid w:val="001F0B91"/>
    <w:rsid w:val="001F0CAA"/>
    <w:rsid w:val="001F0D20"/>
    <w:rsid w:val="001F0DCE"/>
    <w:rsid w:val="001F0EAD"/>
    <w:rsid w:val="001F11DB"/>
    <w:rsid w:val="001F11E7"/>
    <w:rsid w:val="001F12DD"/>
    <w:rsid w:val="001F15C1"/>
    <w:rsid w:val="001F15CF"/>
    <w:rsid w:val="001F15EE"/>
    <w:rsid w:val="001F1816"/>
    <w:rsid w:val="001F187F"/>
    <w:rsid w:val="001F19E9"/>
    <w:rsid w:val="001F1A2F"/>
    <w:rsid w:val="001F1AD1"/>
    <w:rsid w:val="001F1AEE"/>
    <w:rsid w:val="001F1E47"/>
    <w:rsid w:val="001F1E4D"/>
    <w:rsid w:val="001F2184"/>
    <w:rsid w:val="001F2284"/>
    <w:rsid w:val="001F2312"/>
    <w:rsid w:val="001F2626"/>
    <w:rsid w:val="001F26FF"/>
    <w:rsid w:val="001F2900"/>
    <w:rsid w:val="001F298B"/>
    <w:rsid w:val="001F29D8"/>
    <w:rsid w:val="001F2BE9"/>
    <w:rsid w:val="001F2C4C"/>
    <w:rsid w:val="001F2D3A"/>
    <w:rsid w:val="001F2DC9"/>
    <w:rsid w:val="001F2DFC"/>
    <w:rsid w:val="001F2F85"/>
    <w:rsid w:val="001F3000"/>
    <w:rsid w:val="001F301E"/>
    <w:rsid w:val="001F31C3"/>
    <w:rsid w:val="001F359C"/>
    <w:rsid w:val="001F36CD"/>
    <w:rsid w:val="001F36CF"/>
    <w:rsid w:val="001F3718"/>
    <w:rsid w:val="001F375B"/>
    <w:rsid w:val="001F3887"/>
    <w:rsid w:val="001F39EB"/>
    <w:rsid w:val="001F3C5A"/>
    <w:rsid w:val="001F3D41"/>
    <w:rsid w:val="001F3F81"/>
    <w:rsid w:val="001F419F"/>
    <w:rsid w:val="001F42AD"/>
    <w:rsid w:val="001F439D"/>
    <w:rsid w:val="001F4430"/>
    <w:rsid w:val="001F4805"/>
    <w:rsid w:val="001F485F"/>
    <w:rsid w:val="001F4943"/>
    <w:rsid w:val="001F4982"/>
    <w:rsid w:val="001F4B31"/>
    <w:rsid w:val="001F4B42"/>
    <w:rsid w:val="001F4C57"/>
    <w:rsid w:val="001F4D50"/>
    <w:rsid w:val="001F4D8E"/>
    <w:rsid w:val="001F4DAF"/>
    <w:rsid w:val="001F4E72"/>
    <w:rsid w:val="001F4E87"/>
    <w:rsid w:val="001F4FCF"/>
    <w:rsid w:val="001F50AF"/>
    <w:rsid w:val="001F50D6"/>
    <w:rsid w:val="001F520A"/>
    <w:rsid w:val="001F5368"/>
    <w:rsid w:val="001F5505"/>
    <w:rsid w:val="001F5616"/>
    <w:rsid w:val="001F5688"/>
    <w:rsid w:val="001F58D3"/>
    <w:rsid w:val="001F58E0"/>
    <w:rsid w:val="001F5A88"/>
    <w:rsid w:val="001F5B75"/>
    <w:rsid w:val="001F5D77"/>
    <w:rsid w:val="001F5E97"/>
    <w:rsid w:val="001F601C"/>
    <w:rsid w:val="001F60C4"/>
    <w:rsid w:val="001F621C"/>
    <w:rsid w:val="001F626D"/>
    <w:rsid w:val="001F6285"/>
    <w:rsid w:val="001F6548"/>
    <w:rsid w:val="001F661F"/>
    <w:rsid w:val="001F6A66"/>
    <w:rsid w:val="001F6CB4"/>
    <w:rsid w:val="001F6D28"/>
    <w:rsid w:val="001F6F6B"/>
    <w:rsid w:val="001F6FDE"/>
    <w:rsid w:val="001F6FFA"/>
    <w:rsid w:val="001F7078"/>
    <w:rsid w:val="001F70B6"/>
    <w:rsid w:val="001F70E1"/>
    <w:rsid w:val="001F711C"/>
    <w:rsid w:val="001F7142"/>
    <w:rsid w:val="001F71EB"/>
    <w:rsid w:val="001F7243"/>
    <w:rsid w:val="001F7317"/>
    <w:rsid w:val="001F7637"/>
    <w:rsid w:val="001F76C3"/>
    <w:rsid w:val="001F7757"/>
    <w:rsid w:val="001F78C6"/>
    <w:rsid w:val="001F7959"/>
    <w:rsid w:val="001F7B6E"/>
    <w:rsid w:val="001F7BCE"/>
    <w:rsid w:val="001F7C71"/>
    <w:rsid w:val="001F7D75"/>
    <w:rsid w:val="001F7E1A"/>
    <w:rsid w:val="001F7EC3"/>
    <w:rsid w:val="0020007E"/>
    <w:rsid w:val="00200479"/>
    <w:rsid w:val="00200491"/>
    <w:rsid w:val="0020052A"/>
    <w:rsid w:val="002005E7"/>
    <w:rsid w:val="00200667"/>
    <w:rsid w:val="00200684"/>
    <w:rsid w:val="00200762"/>
    <w:rsid w:val="002007E2"/>
    <w:rsid w:val="00200807"/>
    <w:rsid w:val="002008FD"/>
    <w:rsid w:val="002009E0"/>
    <w:rsid w:val="002009F1"/>
    <w:rsid w:val="00200B23"/>
    <w:rsid w:val="00200B65"/>
    <w:rsid w:val="00200B75"/>
    <w:rsid w:val="00200DEB"/>
    <w:rsid w:val="00200E25"/>
    <w:rsid w:val="00200E5D"/>
    <w:rsid w:val="00200F96"/>
    <w:rsid w:val="00200FA3"/>
    <w:rsid w:val="00201003"/>
    <w:rsid w:val="00201037"/>
    <w:rsid w:val="00201200"/>
    <w:rsid w:val="00201323"/>
    <w:rsid w:val="002013A4"/>
    <w:rsid w:val="00201444"/>
    <w:rsid w:val="00201472"/>
    <w:rsid w:val="00201607"/>
    <w:rsid w:val="00201662"/>
    <w:rsid w:val="0020175D"/>
    <w:rsid w:val="002017D0"/>
    <w:rsid w:val="00201915"/>
    <w:rsid w:val="00201A17"/>
    <w:rsid w:val="00201A97"/>
    <w:rsid w:val="00201A9A"/>
    <w:rsid w:val="00201BB3"/>
    <w:rsid w:val="00201BC4"/>
    <w:rsid w:val="00201CCE"/>
    <w:rsid w:val="00201CFE"/>
    <w:rsid w:val="00201E6D"/>
    <w:rsid w:val="00201FD8"/>
    <w:rsid w:val="00202481"/>
    <w:rsid w:val="002026BB"/>
    <w:rsid w:val="002027EE"/>
    <w:rsid w:val="00202A35"/>
    <w:rsid w:val="00202B02"/>
    <w:rsid w:val="00202B94"/>
    <w:rsid w:val="00202CB7"/>
    <w:rsid w:val="00202CEF"/>
    <w:rsid w:val="00202F87"/>
    <w:rsid w:val="00202FCE"/>
    <w:rsid w:val="00202FE9"/>
    <w:rsid w:val="0020322C"/>
    <w:rsid w:val="002038CD"/>
    <w:rsid w:val="0020397B"/>
    <w:rsid w:val="00203A26"/>
    <w:rsid w:val="00203B32"/>
    <w:rsid w:val="00203CFA"/>
    <w:rsid w:val="00203D59"/>
    <w:rsid w:val="00203E63"/>
    <w:rsid w:val="00203ED0"/>
    <w:rsid w:val="00203F77"/>
    <w:rsid w:val="00204060"/>
    <w:rsid w:val="002041DE"/>
    <w:rsid w:val="00204222"/>
    <w:rsid w:val="002044D0"/>
    <w:rsid w:val="00204503"/>
    <w:rsid w:val="002046FE"/>
    <w:rsid w:val="00204722"/>
    <w:rsid w:val="002048C9"/>
    <w:rsid w:val="00204DB3"/>
    <w:rsid w:val="00204E44"/>
    <w:rsid w:val="00204EFB"/>
    <w:rsid w:val="00205082"/>
    <w:rsid w:val="00205838"/>
    <w:rsid w:val="00205974"/>
    <w:rsid w:val="00205A28"/>
    <w:rsid w:val="00205C67"/>
    <w:rsid w:val="00205D81"/>
    <w:rsid w:val="00205E25"/>
    <w:rsid w:val="00206025"/>
    <w:rsid w:val="0020604C"/>
    <w:rsid w:val="002060D6"/>
    <w:rsid w:val="00206479"/>
    <w:rsid w:val="00206518"/>
    <w:rsid w:val="002065DD"/>
    <w:rsid w:val="00206607"/>
    <w:rsid w:val="002068BA"/>
    <w:rsid w:val="00206BA8"/>
    <w:rsid w:val="00206BDB"/>
    <w:rsid w:val="00206C34"/>
    <w:rsid w:val="00206D4C"/>
    <w:rsid w:val="00206EC0"/>
    <w:rsid w:val="00206ECD"/>
    <w:rsid w:val="002070CB"/>
    <w:rsid w:val="00207131"/>
    <w:rsid w:val="0020716B"/>
    <w:rsid w:val="00207181"/>
    <w:rsid w:val="00207303"/>
    <w:rsid w:val="002073F0"/>
    <w:rsid w:val="00207494"/>
    <w:rsid w:val="00207540"/>
    <w:rsid w:val="00207625"/>
    <w:rsid w:val="00207633"/>
    <w:rsid w:val="0020766A"/>
    <w:rsid w:val="00207692"/>
    <w:rsid w:val="00207799"/>
    <w:rsid w:val="00207849"/>
    <w:rsid w:val="00207862"/>
    <w:rsid w:val="002078A0"/>
    <w:rsid w:val="00207C0F"/>
    <w:rsid w:val="00207D30"/>
    <w:rsid w:val="00207EC3"/>
    <w:rsid w:val="00210025"/>
    <w:rsid w:val="002102A1"/>
    <w:rsid w:val="0021040E"/>
    <w:rsid w:val="002104B2"/>
    <w:rsid w:val="002104BC"/>
    <w:rsid w:val="0021054B"/>
    <w:rsid w:val="0021055D"/>
    <w:rsid w:val="00210561"/>
    <w:rsid w:val="00210578"/>
    <w:rsid w:val="002107B4"/>
    <w:rsid w:val="002108D2"/>
    <w:rsid w:val="0021096A"/>
    <w:rsid w:val="00210B27"/>
    <w:rsid w:val="00210C4B"/>
    <w:rsid w:val="00210DD9"/>
    <w:rsid w:val="00210E87"/>
    <w:rsid w:val="00210F69"/>
    <w:rsid w:val="00210F7C"/>
    <w:rsid w:val="0021100C"/>
    <w:rsid w:val="00211126"/>
    <w:rsid w:val="00211145"/>
    <w:rsid w:val="00211239"/>
    <w:rsid w:val="0021126F"/>
    <w:rsid w:val="00211616"/>
    <w:rsid w:val="00211652"/>
    <w:rsid w:val="00211C77"/>
    <w:rsid w:val="00211D8E"/>
    <w:rsid w:val="00211EA1"/>
    <w:rsid w:val="00211FE7"/>
    <w:rsid w:val="00212004"/>
    <w:rsid w:val="002120DD"/>
    <w:rsid w:val="0021220C"/>
    <w:rsid w:val="002122CC"/>
    <w:rsid w:val="002123CA"/>
    <w:rsid w:val="002123DD"/>
    <w:rsid w:val="002125DF"/>
    <w:rsid w:val="00212828"/>
    <w:rsid w:val="00212899"/>
    <w:rsid w:val="00212981"/>
    <w:rsid w:val="002129E9"/>
    <w:rsid w:val="00212C88"/>
    <w:rsid w:val="00212D12"/>
    <w:rsid w:val="00212FE9"/>
    <w:rsid w:val="00213081"/>
    <w:rsid w:val="00213319"/>
    <w:rsid w:val="00213479"/>
    <w:rsid w:val="00213932"/>
    <w:rsid w:val="00213B51"/>
    <w:rsid w:val="00213B94"/>
    <w:rsid w:val="00213D56"/>
    <w:rsid w:val="00213E5B"/>
    <w:rsid w:val="00214241"/>
    <w:rsid w:val="002142F4"/>
    <w:rsid w:val="002144BB"/>
    <w:rsid w:val="002144C0"/>
    <w:rsid w:val="0021453A"/>
    <w:rsid w:val="0021466C"/>
    <w:rsid w:val="002146D7"/>
    <w:rsid w:val="00214744"/>
    <w:rsid w:val="002147C2"/>
    <w:rsid w:val="002147DE"/>
    <w:rsid w:val="0021486E"/>
    <w:rsid w:val="00214892"/>
    <w:rsid w:val="00214BD2"/>
    <w:rsid w:val="00214CFC"/>
    <w:rsid w:val="00214D49"/>
    <w:rsid w:val="00214DE1"/>
    <w:rsid w:val="0021502A"/>
    <w:rsid w:val="002150BA"/>
    <w:rsid w:val="002151D3"/>
    <w:rsid w:val="00215246"/>
    <w:rsid w:val="002153DC"/>
    <w:rsid w:val="00215947"/>
    <w:rsid w:val="002159A4"/>
    <w:rsid w:val="00215ABC"/>
    <w:rsid w:val="00215AEA"/>
    <w:rsid w:val="00215B97"/>
    <w:rsid w:val="00215DBB"/>
    <w:rsid w:val="00215FE3"/>
    <w:rsid w:val="00215FEF"/>
    <w:rsid w:val="00216002"/>
    <w:rsid w:val="002160C2"/>
    <w:rsid w:val="002162E2"/>
    <w:rsid w:val="002163A9"/>
    <w:rsid w:val="0021654C"/>
    <w:rsid w:val="0021678E"/>
    <w:rsid w:val="00216D74"/>
    <w:rsid w:val="00216E66"/>
    <w:rsid w:val="00217182"/>
    <w:rsid w:val="002172B1"/>
    <w:rsid w:val="002172BB"/>
    <w:rsid w:val="00217377"/>
    <w:rsid w:val="00217504"/>
    <w:rsid w:val="0021754A"/>
    <w:rsid w:val="002175AA"/>
    <w:rsid w:val="00217691"/>
    <w:rsid w:val="002176F4"/>
    <w:rsid w:val="0021780D"/>
    <w:rsid w:val="002178A9"/>
    <w:rsid w:val="00217A11"/>
    <w:rsid w:val="00217A4B"/>
    <w:rsid w:val="00217A6A"/>
    <w:rsid w:val="00217B2D"/>
    <w:rsid w:val="00217D97"/>
    <w:rsid w:val="00217E7A"/>
    <w:rsid w:val="0022013E"/>
    <w:rsid w:val="00220173"/>
    <w:rsid w:val="0022017A"/>
    <w:rsid w:val="0022031D"/>
    <w:rsid w:val="00220355"/>
    <w:rsid w:val="002206B4"/>
    <w:rsid w:val="002207C7"/>
    <w:rsid w:val="00220804"/>
    <w:rsid w:val="002209A0"/>
    <w:rsid w:val="002209C3"/>
    <w:rsid w:val="00220C0E"/>
    <w:rsid w:val="00220DE6"/>
    <w:rsid w:val="00220DEB"/>
    <w:rsid w:val="00220DF1"/>
    <w:rsid w:val="00220E1D"/>
    <w:rsid w:val="00220E91"/>
    <w:rsid w:val="00220FA3"/>
    <w:rsid w:val="00221171"/>
    <w:rsid w:val="002212D3"/>
    <w:rsid w:val="00221343"/>
    <w:rsid w:val="0022134E"/>
    <w:rsid w:val="00221618"/>
    <w:rsid w:val="00221708"/>
    <w:rsid w:val="00221735"/>
    <w:rsid w:val="00221746"/>
    <w:rsid w:val="0022181C"/>
    <w:rsid w:val="00221996"/>
    <w:rsid w:val="00221AEB"/>
    <w:rsid w:val="00221D6E"/>
    <w:rsid w:val="00221DEC"/>
    <w:rsid w:val="00221FE9"/>
    <w:rsid w:val="0022207D"/>
    <w:rsid w:val="0022237D"/>
    <w:rsid w:val="002224DA"/>
    <w:rsid w:val="002226C1"/>
    <w:rsid w:val="002228CD"/>
    <w:rsid w:val="00222948"/>
    <w:rsid w:val="00222B84"/>
    <w:rsid w:val="00222CE4"/>
    <w:rsid w:val="00222D26"/>
    <w:rsid w:val="00222D45"/>
    <w:rsid w:val="00222EB4"/>
    <w:rsid w:val="00222EDC"/>
    <w:rsid w:val="00222F21"/>
    <w:rsid w:val="0022311B"/>
    <w:rsid w:val="002233CE"/>
    <w:rsid w:val="002233F6"/>
    <w:rsid w:val="00223422"/>
    <w:rsid w:val="002234AE"/>
    <w:rsid w:val="00223787"/>
    <w:rsid w:val="002237E6"/>
    <w:rsid w:val="002237F7"/>
    <w:rsid w:val="00223834"/>
    <w:rsid w:val="002239EB"/>
    <w:rsid w:val="00223A17"/>
    <w:rsid w:val="00223D5C"/>
    <w:rsid w:val="00223DA7"/>
    <w:rsid w:val="00223FFF"/>
    <w:rsid w:val="00224278"/>
    <w:rsid w:val="00224353"/>
    <w:rsid w:val="00224432"/>
    <w:rsid w:val="002244B0"/>
    <w:rsid w:val="002244C9"/>
    <w:rsid w:val="0022461F"/>
    <w:rsid w:val="00224642"/>
    <w:rsid w:val="002246ED"/>
    <w:rsid w:val="00224913"/>
    <w:rsid w:val="00224B27"/>
    <w:rsid w:val="00224C5B"/>
    <w:rsid w:val="00224DED"/>
    <w:rsid w:val="00224F04"/>
    <w:rsid w:val="00224F92"/>
    <w:rsid w:val="0022512C"/>
    <w:rsid w:val="002251C4"/>
    <w:rsid w:val="002254E4"/>
    <w:rsid w:val="002254EA"/>
    <w:rsid w:val="00225568"/>
    <w:rsid w:val="0022558B"/>
    <w:rsid w:val="0022561F"/>
    <w:rsid w:val="002256C9"/>
    <w:rsid w:val="002256FC"/>
    <w:rsid w:val="00225843"/>
    <w:rsid w:val="002259FB"/>
    <w:rsid w:val="00225C43"/>
    <w:rsid w:val="00225D17"/>
    <w:rsid w:val="00225EA5"/>
    <w:rsid w:val="00225ED0"/>
    <w:rsid w:val="00225F9D"/>
    <w:rsid w:val="00226028"/>
    <w:rsid w:val="002262B1"/>
    <w:rsid w:val="00226533"/>
    <w:rsid w:val="00226949"/>
    <w:rsid w:val="00226BE7"/>
    <w:rsid w:val="00226C96"/>
    <w:rsid w:val="00226D3E"/>
    <w:rsid w:val="00226DB0"/>
    <w:rsid w:val="00226EE9"/>
    <w:rsid w:val="002272F5"/>
    <w:rsid w:val="00227323"/>
    <w:rsid w:val="002273BD"/>
    <w:rsid w:val="002274CD"/>
    <w:rsid w:val="002274EC"/>
    <w:rsid w:val="00227636"/>
    <w:rsid w:val="00227697"/>
    <w:rsid w:val="0022776E"/>
    <w:rsid w:val="0022787E"/>
    <w:rsid w:val="0022790B"/>
    <w:rsid w:val="0022794E"/>
    <w:rsid w:val="00227A7C"/>
    <w:rsid w:val="00227B50"/>
    <w:rsid w:val="00227B53"/>
    <w:rsid w:val="00227D7D"/>
    <w:rsid w:val="00227E59"/>
    <w:rsid w:val="00227E97"/>
    <w:rsid w:val="00230236"/>
    <w:rsid w:val="002302CF"/>
    <w:rsid w:val="002304BD"/>
    <w:rsid w:val="002304ED"/>
    <w:rsid w:val="002305FD"/>
    <w:rsid w:val="00230922"/>
    <w:rsid w:val="00230A43"/>
    <w:rsid w:val="00230B4A"/>
    <w:rsid w:val="00230CAC"/>
    <w:rsid w:val="00230E03"/>
    <w:rsid w:val="00230E55"/>
    <w:rsid w:val="00230EEB"/>
    <w:rsid w:val="00230F2A"/>
    <w:rsid w:val="00231070"/>
    <w:rsid w:val="0023110E"/>
    <w:rsid w:val="00231577"/>
    <w:rsid w:val="00231B21"/>
    <w:rsid w:val="00231DD4"/>
    <w:rsid w:val="00231EF1"/>
    <w:rsid w:val="00231FB3"/>
    <w:rsid w:val="0023224D"/>
    <w:rsid w:val="00232314"/>
    <w:rsid w:val="002324B9"/>
    <w:rsid w:val="00232551"/>
    <w:rsid w:val="002328E7"/>
    <w:rsid w:val="00232907"/>
    <w:rsid w:val="00232AD1"/>
    <w:rsid w:val="00232D32"/>
    <w:rsid w:val="00232EC7"/>
    <w:rsid w:val="00232F3B"/>
    <w:rsid w:val="00233065"/>
    <w:rsid w:val="0023316D"/>
    <w:rsid w:val="00233527"/>
    <w:rsid w:val="00233529"/>
    <w:rsid w:val="00233706"/>
    <w:rsid w:val="00233B20"/>
    <w:rsid w:val="00233BDD"/>
    <w:rsid w:val="00233E37"/>
    <w:rsid w:val="00233F7C"/>
    <w:rsid w:val="00233F93"/>
    <w:rsid w:val="0023416D"/>
    <w:rsid w:val="00234238"/>
    <w:rsid w:val="00234400"/>
    <w:rsid w:val="0023473D"/>
    <w:rsid w:val="00234B1D"/>
    <w:rsid w:val="00234C3D"/>
    <w:rsid w:val="00234CE7"/>
    <w:rsid w:val="00234D95"/>
    <w:rsid w:val="00234D9B"/>
    <w:rsid w:val="00235172"/>
    <w:rsid w:val="00235215"/>
    <w:rsid w:val="00235227"/>
    <w:rsid w:val="002352BF"/>
    <w:rsid w:val="002352C1"/>
    <w:rsid w:val="002352E6"/>
    <w:rsid w:val="0023534F"/>
    <w:rsid w:val="00235355"/>
    <w:rsid w:val="002353CA"/>
    <w:rsid w:val="002353D5"/>
    <w:rsid w:val="0023541D"/>
    <w:rsid w:val="00235451"/>
    <w:rsid w:val="0023548E"/>
    <w:rsid w:val="0023558A"/>
    <w:rsid w:val="002357C8"/>
    <w:rsid w:val="00235AB2"/>
    <w:rsid w:val="00235CC5"/>
    <w:rsid w:val="00235DF7"/>
    <w:rsid w:val="00235E7D"/>
    <w:rsid w:val="00235EFE"/>
    <w:rsid w:val="00235FCF"/>
    <w:rsid w:val="00236207"/>
    <w:rsid w:val="0023622D"/>
    <w:rsid w:val="00236261"/>
    <w:rsid w:val="002362FA"/>
    <w:rsid w:val="002364EC"/>
    <w:rsid w:val="00236587"/>
    <w:rsid w:val="00236681"/>
    <w:rsid w:val="002366ED"/>
    <w:rsid w:val="00236833"/>
    <w:rsid w:val="00236A94"/>
    <w:rsid w:val="00236B00"/>
    <w:rsid w:val="00236D25"/>
    <w:rsid w:val="00236D7E"/>
    <w:rsid w:val="00236E37"/>
    <w:rsid w:val="00236FF5"/>
    <w:rsid w:val="0023718D"/>
    <w:rsid w:val="00237299"/>
    <w:rsid w:val="002373D4"/>
    <w:rsid w:val="00237437"/>
    <w:rsid w:val="00237535"/>
    <w:rsid w:val="002376CD"/>
    <w:rsid w:val="002377E6"/>
    <w:rsid w:val="002378AF"/>
    <w:rsid w:val="002379EF"/>
    <w:rsid w:val="00237B66"/>
    <w:rsid w:val="00237B6A"/>
    <w:rsid w:val="002401D3"/>
    <w:rsid w:val="00240232"/>
    <w:rsid w:val="002403B5"/>
    <w:rsid w:val="002403FE"/>
    <w:rsid w:val="002406B5"/>
    <w:rsid w:val="002406E6"/>
    <w:rsid w:val="0024075D"/>
    <w:rsid w:val="0024092F"/>
    <w:rsid w:val="00240975"/>
    <w:rsid w:val="00240B1B"/>
    <w:rsid w:val="00240BF4"/>
    <w:rsid w:val="00240C07"/>
    <w:rsid w:val="00240DD0"/>
    <w:rsid w:val="00240DFE"/>
    <w:rsid w:val="00240E49"/>
    <w:rsid w:val="00240E78"/>
    <w:rsid w:val="00240FE6"/>
    <w:rsid w:val="00241085"/>
    <w:rsid w:val="002411FA"/>
    <w:rsid w:val="00241242"/>
    <w:rsid w:val="00241350"/>
    <w:rsid w:val="00241596"/>
    <w:rsid w:val="00241665"/>
    <w:rsid w:val="0024170E"/>
    <w:rsid w:val="00241844"/>
    <w:rsid w:val="00241CF0"/>
    <w:rsid w:val="00241DA3"/>
    <w:rsid w:val="00241DAC"/>
    <w:rsid w:val="00241E6D"/>
    <w:rsid w:val="00241F86"/>
    <w:rsid w:val="0024200D"/>
    <w:rsid w:val="002421C9"/>
    <w:rsid w:val="00242217"/>
    <w:rsid w:val="0024271C"/>
    <w:rsid w:val="002427DD"/>
    <w:rsid w:val="00242AA9"/>
    <w:rsid w:val="00242CC1"/>
    <w:rsid w:val="00242E0D"/>
    <w:rsid w:val="0024318E"/>
    <w:rsid w:val="00243275"/>
    <w:rsid w:val="0024344B"/>
    <w:rsid w:val="00243488"/>
    <w:rsid w:val="0024352A"/>
    <w:rsid w:val="0024354B"/>
    <w:rsid w:val="00243627"/>
    <w:rsid w:val="002437C6"/>
    <w:rsid w:val="0024389F"/>
    <w:rsid w:val="002438F4"/>
    <w:rsid w:val="0024396C"/>
    <w:rsid w:val="00243997"/>
    <w:rsid w:val="002439D6"/>
    <w:rsid w:val="00243A56"/>
    <w:rsid w:val="00243CA5"/>
    <w:rsid w:val="00243D81"/>
    <w:rsid w:val="00243D8B"/>
    <w:rsid w:val="00243EB5"/>
    <w:rsid w:val="0024404A"/>
    <w:rsid w:val="002442EB"/>
    <w:rsid w:val="00244333"/>
    <w:rsid w:val="00244379"/>
    <w:rsid w:val="00244458"/>
    <w:rsid w:val="0024465D"/>
    <w:rsid w:val="00244B54"/>
    <w:rsid w:val="00244C10"/>
    <w:rsid w:val="00244CDE"/>
    <w:rsid w:val="00244CF4"/>
    <w:rsid w:val="002451D6"/>
    <w:rsid w:val="002451E2"/>
    <w:rsid w:val="002454C7"/>
    <w:rsid w:val="00245863"/>
    <w:rsid w:val="002458A7"/>
    <w:rsid w:val="002458B0"/>
    <w:rsid w:val="002459F5"/>
    <w:rsid w:val="00245B14"/>
    <w:rsid w:val="00245B28"/>
    <w:rsid w:val="00245C36"/>
    <w:rsid w:val="00245C41"/>
    <w:rsid w:val="00245CB6"/>
    <w:rsid w:val="00245CC7"/>
    <w:rsid w:val="00245F22"/>
    <w:rsid w:val="00245F82"/>
    <w:rsid w:val="00246083"/>
    <w:rsid w:val="00246090"/>
    <w:rsid w:val="002461F2"/>
    <w:rsid w:val="00246468"/>
    <w:rsid w:val="002464B3"/>
    <w:rsid w:val="002466DA"/>
    <w:rsid w:val="002467B5"/>
    <w:rsid w:val="00246A3C"/>
    <w:rsid w:val="00246B3D"/>
    <w:rsid w:val="00246BE9"/>
    <w:rsid w:val="00246D71"/>
    <w:rsid w:val="00246D84"/>
    <w:rsid w:val="00246FC6"/>
    <w:rsid w:val="00247228"/>
    <w:rsid w:val="00247538"/>
    <w:rsid w:val="002475A5"/>
    <w:rsid w:val="002475DC"/>
    <w:rsid w:val="00247730"/>
    <w:rsid w:val="00247865"/>
    <w:rsid w:val="002478AE"/>
    <w:rsid w:val="0024798E"/>
    <w:rsid w:val="00247B8E"/>
    <w:rsid w:val="00247EC2"/>
    <w:rsid w:val="00247FE1"/>
    <w:rsid w:val="002501CF"/>
    <w:rsid w:val="00250284"/>
    <w:rsid w:val="00250335"/>
    <w:rsid w:val="0025038D"/>
    <w:rsid w:val="00250461"/>
    <w:rsid w:val="002505C7"/>
    <w:rsid w:val="00250603"/>
    <w:rsid w:val="002506D5"/>
    <w:rsid w:val="002509D0"/>
    <w:rsid w:val="00250A26"/>
    <w:rsid w:val="00250B55"/>
    <w:rsid w:val="00250C89"/>
    <w:rsid w:val="00250D2C"/>
    <w:rsid w:val="00250D36"/>
    <w:rsid w:val="00250ECA"/>
    <w:rsid w:val="00250FB9"/>
    <w:rsid w:val="00251078"/>
    <w:rsid w:val="002510D9"/>
    <w:rsid w:val="00251117"/>
    <w:rsid w:val="00251340"/>
    <w:rsid w:val="002514CA"/>
    <w:rsid w:val="002514E0"/>
    <w:rsid w:val="002515AA"/>
    <w:rsid w:val="002515BA"/>
    <w:rsid w:val="0025180C"/>
    <w:rsid w:val="00251881"/>
    <w:rsid w:val="00251928"/>
    <w:rsid w:val="00251A29"/>
    <w:rsid w:val="00251A99"/>
    <w:rsid w:val="00251BDB"/>
    <w:rsid w:val="00251D66"/>
    <w:rsid w:val="00251D6B"/>
    <w:rsid w:val="00251DE8"/>
    <w:rsid w:val="00251F94"/>
    <w:rsid w:val="0025200D"/>
    <w:rsid w:val="00252032"/>
    <w:rsid w:val="002520BD"/>
    <w:rsid w:val="00252123"/>
    <w:rsid w:val="0025227B"/>
    <w:rsid w:val="002522F9"/>
    <w:rsid w:val="00252367"/>
    <w:rsid w:val="0025264C"/>
    <w:rsid w:val="00252650"/>
    <w:rsid w:val="002527BB"/>
    <w:rsid w:val="00252AF1"/>
    <w:rsid w:val="00252C29"/>
    <w:rsid w:val="00252E54"/>
    <w:rsid w:val="002530D0"/>
    <w:rsid w:val="0025310E"/>
    <w:rsid w:val="00253129"/>
    <w:rsid w:val="002531DD"/>
    <w:rsid w:val="002535A6"/>
    <w:rsid w:val="002536E6"/>
    <w:rsid w:val="0025370E"/>
    <w:rsid w:val="0025374F"/>
    <w:rsid w:val="00253784"/>
    <w:rsid w:val="002538BE"/>
    <w:rsid w:val="00253990"/>
    <w:rsid w:val="00253B21"/>
    <w:rsid w:val="00253C5D"/>
    <w:rsid w:val="00253C96"/>
    <w:rsid w:val="002540BF"/>
    <w:rsid w:val="0025425C"/>
    <w:rsid w:val="002545EB"/>
    <w:rsid w:val="002548A4"/>
    <w:rsid w:val="00254AF2"/>
    <w:rsid w:val="00254B05"/>
    <w:rsid w:val="00254B88"/>
    <w:rsid w:val="0025514A"/>
    <w:rsid w:val="002552DF"/>
    <w:rsid w:val="0025537B"/>
    <w:rsid w:val="002554F8"/>
    <w:rsid w:val="0025560E"/>
    <w:rsid w:val="002556FC"/>
    <w:rsid w:val="00255AAD"/>
    <w:rsid w:val="00255D07"/>
    <w:rsid w:val="00255E28"/>
    <w:rsid w:val="00255F71"/>
    <w:rsid w:val="00255FA4"/>
    <w:rsid w:val="0025601D"/>
    <w:rsid w:val="0025613B"/>
    <w:rsid w:val="002561F8"/>
    <w:rsid w:val="00256353"/>
    <w:rsid w:val="0025635B"/>
    <w:rsid w:val="00256395"/>
    <w:rsid w:val="002563C3"/>
    <w:rsid w:val="00256440"/>
    <w:rsid w:val="00256477"/>
    <w:rsid w:val="002564FA"/>
    <w:rsid w:val="00256592"/>
    <w:rsid w:val="00256658"/>
    <w:rsid w:val="00256684"/>
    <w:rsid w:val="002566A1"/>
    <w:rsid w:val="00256A9C"/>
    <w:rsid w:val="00256C14"/>
    <w:rsid w:val="00256C8C"/>
    <w:rsid w:val="00256DC2"/>
    <w:rsid w:val="00256F0C"/>
    <w:rsid w:val="00256F13"/>
    <w:rsid w:val="00256F27"/>
    <w:rsid w:val="00256F5A"/>
    <w:rsid w:val="0025729B"/>
    <w:rsid w:val="00257302"/>
    <w:rsid w:val="002573C4"/>
    <w:rsid w:val="00257446"/>
    <w:rsid w:val="0025756F"/>
    <w:rsid w:val="00257703"/>
    <w:rsid w:val="002577A1"/>
    <w:rsid w:val="00257806"/>
    <w:rsid w:val="0025794A"/>
    <w:rsid w:val="00257F1D"/>
    <w:rsid w:val="0025DAA0"/>
    <w:rsid w:val="00260291"/>
    <w:rsid w:val="00260545"/>
    <w:rsid w:val="00260771"/>
    <w:rsid w:val="00260962"/>
    <w:rsid w:val="0026098B"/>
    <w:rsid w:val="002609A9"/>
    <w:rsid w:val="002609C8"/>
    <w:rsid w:val="00260B9A"/>
    <w:rsid w:val="00260CEC"/>
    <w:rsid w:val="00260D3E"/>
    <w:rsid w:val="0026148C"/>
    <w:rsid w:val="0026156D"/>
    <w:rsid w:val="00261741"/>
    <w:rsid w:val="00261766"/>
    <w:rsid w:val="002617C3"/>
    <w:rsid w:val="00261841"/>
    <w:rsid w:val="00261A50"/>
    <w:rsid w:val="00261A70"/>
    <w:rsid w:val="00261BBA"/>
    <w:rsid w:val="00261C48"/>
    <w:rsid w:val="00261CD5"/>
    <w:rsid w:val="00261D41"/>
    <w:rsid w:val="00261E71"/>
    <w:rsid w:val="00261EA1"/>
    <w:rsid w:val="00261F68"/>
    <w:rsid w:val="00262025"/>
    <w:rsid w:val="00262433"/>
    <w:rsid w:val="002626A2"/>
    <w:rsid w:val="002626DF"/>
    <w:rsid w:val="002626F4"/>
    <w:rsid w:val="0026270A"/>
    <w:rsid w:val="002628AE"/>
    <w:rsid w:val="002628DC"/>
    <w:rsid w:val="00262925"/>
    <w:rsid w:val="00262945"/>
    <w:rsid w:val="00262CE4"/>
    <w:rsid w:val="00262D4A"/>
    <w:rsid w:val="00262E03"/>
    <w:rsid w:val="00262FC9"/>
    <w:rsid w:val="00262FCA"/>
    <w:rsid w:val="002630B5"/>
    <w:rsid w:val="0026312F"/>
    <w:rsid w:val="0026317C"/>
    <w:rsid w:val="00263247"/>
    <w:rsid w:val="00263263"/>
    <w:rsid w:val="002632C4"/>
    <w:rsid w:val="0026339C"/>
    <w:rsid w:val="00263AF9"/>
    <w:rsid w:val="00263B40"/>
    <w:rsid w:val="00263B80"/>
    <w:rsid w:val="00263CAE"/>
    <w:rsid w:val="00263E81"/>
    <w:rsid w:val="00263EB8"/>
    <w:rsid w:val="00263FB6"/>
    <w:rsid w:val="00263FD7"/>
    <w:rsid w:val="002640BE"/>
    <w:rsid w:val="00264207"/>
    <w:rsid w:val="002642EB"/>
    <w:rsid w:val="002642FA"/>
    <w:rsid w:val="0026438B"/>
    <w:rsid w:val="0026452C"/>
    <w:rsid w:val="002645A1"/>
    <w:rsid w:val="002645E7"/>
    <w:rsid w:val="00264725"/>
    <w:rsid w:val="002648A4"/>
    <w:rsid w:val="002648E7"/>
    <w:rsid w:val="00264A11"/>
    <w:rsid w:val="00264A15"/>
    <w:rsid w:val="00264B59"/>
    <w:rsid w:val="00264B74"/>
    <w:rsid w:val="00264D92"/>
    <w:rsid w:val="00264EFB"/>
    <w:rsid w:val="00264FBB"/>
    <w:rsid w:val="002655AB"/>
    <w:rsid w:val="002658C8"/>
    <w:rsid w:val="00265916"/>
    <w:rsid w:val="00265974"/>
    <w:rsid w:val="00265A72"/>
    <w:rsid w:val="00265D4F"/>
    <w:rsid w:val="00265F92"/>
    <w:rsid w:val="00265FDD"/>
    <w:rsid w:val="00266214"/>
    <w:rsid w:val="00266277"/>
    <w:rsid w:val="00266620"/>
    <w:rsid w:val="00266653"/>
    <w:rsid w:val="00266659"/>
    <w:rsid w:val="002666D5"/>
    <w:rsid w:val="002666ED"/>
    <w:rsid w:val="002667AE"/>
    <w:rsid w:val="002667C7"/>
    <w:rsid w:val="002668BA"/>
    <w:rsid w:val="002668F2"/>
    <w:rsid w:val="00266925"/>
    <w:rsid w:val="0026699F"/>
    <w:rsid w:val="00266AAD"/>
    <w:rsid w:val="00266B11"/>
    <w:rsid w:val="00266B4D"/>
    <w:rsid w:val="00266DD2"/>
    <w:rsid w:val="00266DEC"/>
    <w:rsid w:val="00266E9A"/>
    <w:rsid w:val="00266FCD"/>
    <w:rsid w:val="00267170"/>
    <w:rsid w:val="00267173"/>
    <w:rsid w:val="002671B4"/>
    <w:rsid w:val="00267390"/>
    <w:rsid w:val="0026757C"/>
    <w:rsid w:val="002677A0"/>
    <w:rsid w:val="002677A7"/>
    <w:rsid w:val="002677CE"/>
    <w:rsid w:val="0026795F"/>
    <w:rsid w:val="00267BE0"/>
    <w:rsid w:val="00267C77"/>
    <w:rsid w:val="00267EB6"/>
    <w:rsid w:val="00267EB9"/>
    <w:rsid w:val="00267EBE"/>
    <w:rsid w:val="00267FBD"/>
    <w:rsid w:val="00270075"/>
    <w:rsid w:val="002700D9"/>
    <w:rsid w:val="00270552"/>
    <w:rsid w:val="0027059A"/>
    <w:rsid w:val="002705BA"/>
    <w:rsid w:val="00270773"/>
    <w:rsid w:val="00270909"/>
    <w:rsid w:val="00270957"/>
    <w:rsid w:val="0027095F"/>
    <w:rsid w:val="002709D4"/>
    <w:rsid w:val="002709DB"/>
    <w:rsid w:val="00270A47"/>
    <w:rsid w:val="00270AAF"/>
    <w:rsid w:val="00270AEB"/>
    <w:rsid w:val="00270AFB"/>
    <w:rsid w:val="00270C6C"/>
    <w:rsid w:val="00270D63"/>
    <w:rsid w:val="00270D64"/>
    <w:rsid w:val="002710D2"/>
    <w:rsid w:val="00271118"/>
    <w:rsid w:val="00271175"/>
    <w:rsid w:val="002711D2"/>
    <w:rsid w:val="0027134B"/>
    <w:rsid w:val="00271494"/>
    <w:rsid w:val="002716AF"/>
    <w:rsid w:val="00271804"/>
    <w:rsid w:val="00271C4C"/>
    <w:rsid w:val="00271E18"/>
    <w:rsid w:val="0027203E"/>
    <w:rsid w:val="00272235"/>
    <w:rsid w:val="002722B6"/>
    <w:rsid w:val="0027240E"/>
    <w:rsid w:val="0027247E"/>
    <w:rsid w:val="002724C6"/>
    <w:rsid w:val="002725A6"/>
    <w:rsid w:val="0027265A"/>
    <w:rsid w:val="002728E3"/>
    <w:rsid w:val="00272B33"/>
    <w:rsid w:val="00272CB7"/>
    <w:rsid w:val="00272D72"/>
    <w:rsid w:val="00272D8F"/>
    <w:rsid w:val="00272E5D"/>
    <w:rsid w:val="00272EEF"/>
    <w:rsid w:val="00272EF8"/>
    <w:rsid w:val="00273010"/>
    <w:rsid w:val="002730AB"/>
    <w:rsid w:val="00273257"/>
    <w:rsid w:val="002734EC"/>
    <w:rsid w:val="00273502"/>
    <w:rsid w:val="00273521"/>
    <w:rsid w:val="002739A4"/>
    <w:rsid w:val="00273ACE"/>
    <w:rsid w:val="00273BF6"/>
    <w:rsid w:val="00273CFD"/>
    <w:rsid w:val="00273D7D"/>
    <w:rsid w:val="00273E2F"/>
    <w:rsid w:val="00273FD1"/>
    <w:rsid w:val="002742C0"/>
    <w:rsid w:val="002743B0"/>
    <w:rsid w:val="0027470A"/>
    <w:rsid w:val="00274B76"/>
    <w:rsid w:val="00274CD6"/>
    <w:rsid w:val="00274DF5"/>
    <w:rsid w:val="00274E33"/>
    <w:rsid w:val="002750A2"/>
    <w:rsid w:val="002751B5"/>
    <w:rsid w:val="002753B4"/>
    <w:rsid w:val="0027541D"/>
    <w:rsid w:val="0027542C"/>
    <w:rsid w:val="002754B3"/>
    <w:rsid w:val="002756EE"/>
    <w:rsid w:val="0027570A"/>
    <w:rsid w:val="0027579B"/>
    <w:rsid w:val="00275887"/>
    <w:rsid w:val="002758DB"/>
    <w:rsid w:val="00275970"/>
    <w:rsid w:val="00275A4D"/>
    <w:rsid w:val="00275BE2"/>
    <w:rsid w:val="00275F26"/>
    <w:rsid w:val="00275F56"/>
    <w:rsid w:val="00276390"/>
    <w:rsid w:val="002763AC"/>
    <w:rsid w:val="0027645D"/>
    <w:rsid w:val="00276577"/>
    <w:rsid w:val="00276809"/>
    <w:rsid w:val="00276994"/>
    <w:rsid w:val="002769CB"/>
    <w:rsid w:val="00276A50"/>
    <w:rsid w:val="00276AA8"/>
    <w:rsid w:val="00276C0E"/>
    <w:rsid w:val="00276CA8"/>
    <w:rsid w:val="00276D64"/>
    <w:rsid w:val="00276FA9"/>
    <w:rsid w:val="002770B3"/>
    <w:rsid w:val="0027724A"/>
    <w:rsid w:val="00277304"/>
    <w:rsid w:val="0027742F"/>
    <w:rsid w:val="002774EF"/>
    <w:rsid w:val="002778CE"/>
    <w:rsid w:val="00277AC6"/>
    <w:rsid w:val="00277B1E"/>
    <w:rsid w:val="00277B83"/>
    <w:rsid w:val="00277C45"/>
    <w:rsid w:val="00277C79"/>
    <w:rsid w:val="00277D04"/>
    <w:rsid w:val="00277E24"/>
    <w:rsid w:val="00277E3A"/>
    <w:rsid w:val="00280065"/>
    <w:rsid w:val="002800FA"/>
    <w:rsid w:val="00280245"/>
    <w:rsid w:val="00280384"/>
    <w:rsid w:val="0028038A"/>
    <w:rsid w:val="002806DB"/>
    <w:rsid w:val="00280725"/>
    <w:rsid w:val="00280750"/>
    <w:rsid w:val="002808FF"/>
    <w:rsid w:val="00280945"/>
    <w:rsid w:val="002809B7"/>
    <w:rsid w:val="00280A03"/>
    <w:rsid w:val="00280AEE"/>
    <w:rsid w:val="00280B27"/>
    <w:rsid w:val="00280EB1"/>
    <w:rsid w:val="00280FE6"/>
    <w:rsid w:val="00281059"/>
    <w:rsid w:val="0028105B"/>
    <w:rsid w:val="002812FA"/>
    <w:rsid w:val="00281361"/>
    <w:rsid w:val="0028140C"/>
    <w:rsid w:val="002815FB"/>
    <w:rsid w:val="002818A5"/>
    <w:rsid w:val="00281906"/>
    <w:rsid w:val="00281979"/>
    <w:rsid w:val="00281982"/>
    <w:rsid w:val="002819EE"/>
    <w:rsid w:val="002819FC"/>
    <w:rsid w:val="002819FE"/>
    <w:rsid w:val="00281A0C"/>
    <w:rsid w:val="00281A66"/>
    <w:rsid w:val="00281B92"/>
    <w:rsid w:val="00281BB5"/>
    <w:rsid w:val="00281BC5"/>
    <w:rsid w:val="00281C76"/>
    <w:rsid w:val="00281DCB"/>
    <w:rsid w:val="00281E5C"/>
    <w:rsid w:val="00282019"/>
    <w:rsid w:val="00282043"/>
    <w:rsid w:val="002820DF"/>
    <w:rsid w:val="002821AA"/>
    <w:rsid w:val="002821BD"/>
    <w:rsid w:val="00282432"/>
    <w:rsid w:val="00282510"/>
    <w:rsid w:val="0028255F"/>
    <w:rsid w:val="00282607"/>
    <w:rsid w:val="0028264E"/>
    <w:rsid w:val="002827A8"/>
    <w:rsid w:val="00282865"/>
    <w:rsid w:val="00282B1E"/>
    <w:rsid w:val="00282BED"/>
    <w:rsid w:val="00282E2A"/>
    <w:rsid w:val="00282F89"/>
    <w:rsid w:val="0028303F"/>
    <w:rsid w:val="0028322E"/>
    <w:rsid w:val="00283329"/>
    <w:rsid w:val="00283372"/>
    <w:rsid w:val="002833A1"/>
    <w:rsid w:val="002836DA"/>
    <w:rsid w:val="0028374A"/>
    <w:rsid w:val="00283A5A"/>
    <w:rsid w:val="00283B3A"/>
    <w:rsid w:val="00283BAA"/>
    <w:rsid w:val="00283C1E"/>
    <w:rsid w:val="00283D06"/>
    <w:rsid w:val="00283E06"/>
    <w:rsid w:val="00283EB1"/>
    <w:rsid w:val="00283F17"/>
    <w:rsid w:val="00283F73"/>
    <w:rsid w:val="00283FDB"/>
    <w:rsid w:val="002841C6"/>
    <w:rsid w:val="00284274"/>
    <w:rsid w:val="00284305"/>
    <w:rsid w:val="002843E0"/>
    <w:rsid w:val="002844F9"/>
    <w:rsid w:val="002847AC"/>
    <w:rsid w:val="00284ABF"/>
    <w:rsid w:val="00284B0F"/>
    <w:rsid w:val="00284C11"/>
    <w:rsid w:val="00284DEC"/>
    <w:rsid w:val="00284EBE"/>
    <w:rsid w:val="00284ED7"/>
    <w:rsid w:val="0028500D"/>
    <w:rsid w:val="00285196"/>
    <w:rsid w:val="002852FC"/>
    <w:rsid w:val="0028538E"/>
    <w:rsid w:val="00285434"/>
    <w:rsid w:val="00285601"/>
    <w:rsid w:val="00285A81"/>
    <w:rsid w:val="00285C55"/>
    <w:rsid w:val="00285F46"/>
    <w:rsid w:val="0028616D"/>
    <w:rsid w:val="002862CE"/>
    <w:rsid w:val="002863E5"/>
    <w:rsid w:val="0028651A"/>
    <w:rsid w:val="00286559"/>
    <w:rsid w:val="0028658C"/>
    <w:rsid w:val="002865E4"/>
    <w:rsid w:val="00286689"/>
    <w:rsid w:val="0028668E"/>
    <w:rsid w:val="00286A4D"/>
    <w:rsid w:val="00286BDC"/>
    <w:rsid w:val="00286C06"/>
    <w:rsid w:val="00286C60"/>
    <w:rsid w:val="00286C8F"/>
    <w:rsid w:val="00286DFA"/>
    <w:rsid w:val="00286E80"/>
    <w:rsid w:val="00286F17"/>
    <w:rsid w:val="00286F4A"/>
    <w:rsid w:val="00287010"/>
    <w:rsid w:val="00287106"/>
    <w:rsid w:val="00287165"/>
    <w:rsid w:val="00287371"/>
    <w:rsid w:val="0028757D"/>
    <w:rsid w:val="00287985"/>
    <w:rsid w:val="002879FF"/>
    <w:rsid w:val="00287A04"/>
    <w:rsid w:val="00287A1A"/>
    <w:rsid w:val="00287B04"/>
    <w:rsid w:val="00287B10"/>
    <w:rsid w:val="00287B1F"/>
    <w:rsid w:val="00287BE9"/>
    <w:rsid w:val="00287C6F"/>
    <w:rsid w:val="00287CFF"/>
    <w:rsid w:val="00287DC5"/>
    <w:rsid w:val="002900F1"/>
    <w:rsid w:val="0029023E"/>
    <w:rsid w:val="002902D8"/>
    <w:rsid w:val="00290353"/>
    <w:rsid w:val="002903AC"/>
    <w:rsid w:val="002904A8"/>
    <w:rsid w:val="002904AD"/>
    <w:rsid w:val="00290601"/>
    <w:rsid w:val="00290608"/>
    <w:rsid w:val="002906D5"/>
    <w:rsid w:val="0029096D"/>
    <w:rsid w:val="002909C2"/>
    <w:rsid w:val="002909F8"/>
    <w:rsid w:val="00290A70"/>
    <w:rsid w:val="00290B22"/>
    <w:rsid w:val="00290B2A"/>
    <w:rsid w:val="00290B3F"/>
    <w:rsid w:val="00290C01"/>
    <w:rsid w:val="00290CCE"/>
    <w:rsid w:val="00290ED0"/>
    <w:rsid w:val="002910D3"/>
    <w:rsid w:val="00291238"/>
    <w:rsid w:val="00291506"/>
    <w:rsid w:val="002915E8"/>
    <w:rsid w:val="00291CE9"/>
    <w:rsid w:val="00291EB5"/>
    <w:rsid w:val="00291F07"/>
    <w:rsid w:val="00291F18"/>
    <w:rsid w:val="002920FC"/>
    <w:rsid w:val="0029224B"/>
    <w:rsid w:val="00292337"/>
    <w:rsid w:val="00292403"/>
    <w:rsid w:val="00292579"/>
    <w:rsid w:val="0029269B"/>
    <w:rsid w:val="00292790"/>
    <w:rsid w:val="00292828"/>
    <w:rsid w:val="00292896"/>
    <w:rsid w:val="002929B6"/>
    <w:rsid w:val="00292BAA"/>
    <w:rsid w:val="00292BC7"/>
    <w:rsid w:val="00292E42"/>
    <w:rsid w:val="00292F3F"/>
    <w:rsid w:val="00292F6A"/>
    <w:rsid w:val="002930DE"/>
    <w:rsid w:val="00293374"/>
    <w:rsid w:val="0029356A"/>
    <w:rsid w:val="0029365F"/>
    <w:rsid w:val="002936E2"/>
    <w:rsid w:val="00293708"/>
    <w:rsid w:val="00293712"/>
    <w:rsid w:val="00293938"/>
    <w:rsid w:val="00293960"/>
    <w:rsid w:val="00293990"/>
    <w:rsid w:val="00293A16"/>
    <w:rsid w:val="00293B12"/>
    <w:rsid w:val="00293CE7"/>
    <w:rsid w:val="00293D2E"/>
    <w:rsid w:val="00294059"/>
    <w:rsid w:val="002942DA"/>
    <w:rsid w:val="00294311"/>
    <w:rsid w:val="0029451F"/>
    <w:rsid w:val="00294566"/>
    <w:rsid w:val="00294580"/>
    <w:rsid w:val="00294598"/>
    <w:rsid w:val="0029463E"/>
    <w:rsid w:val="002946D9"/>
    <w:rsid w:val="00294812"/>
    <w:rsid w:val="00294BD6"/>
    <w:rsid w:val="00294C23"/>
    <w:rsid w:val="00294C4A"/>
    <w:rsid w:val="00294ED5"/>
    <w:rsid w:val="00295004"/>
    <w:rsid w:val="0029512C"/>
    <w:rsid w:val="00295167"/>
    <w:rsid w:val="00295297"/>
    <w:rsid w:val="00295339"/>
    <w:rsid w:val="00295341"/>
    <w:rsid w:val="00295389"/>
    <w:rsid w:val="00295429"/>
    <w:rsid w:val="00295474"/>
    <w:rsid w:val="002954C0"/>
    <w:rsid w:val="002958AD"/>
    <w:rsid w:val="00295933"/>
    <w:rsid w:val="00295B48"/>
    <w:rsid w:val="00295C83"/>
    <w:rsid w:val="00296162"/>
    <w:rsid w:val="002963F2"/>
    <w:rsid w:val="002965F7"/>
    <w:rsid w:val="00296704"/>
    <w:rsid w:val="002968D6"/>
    <w:rsid w:val="0029692C"/>
    <w:rsid w:val="002969FC"/>
    <w:rsid w:val="00296A43"/>
    <w:rsid w:val="00296B69"/>
    <w:rsid w:val="00296B8D"/>
    <w:rsid w:val="00296C65"/>
    <w:rsid w:val="00296CF2"/>
    <w:rsid w:val="00296CFA"/>
    <w:rsid w:val="00296D3C"/>
    <w:rsid w:val="00296DC9"/>
    <w:rsid w:val="00296E05"/>
    <w:rsid w:val="00296E31"/>
    <w:rsid w:val="00296F57"/>
    <w:rsid w:val="00296F5C"/>
    <w:rsid w:val="00297180"/>
    <w:rsid w:val="00297244"/>
    <w:rsid w:val="002972B9"/>
    <w:rsid w:val="002973C1"/>
    <w:rsid w:val="002974E1"/>
    <w:rsid w:val="00297507"/>
    <w:rsid w:val="00297610"/>
    <w:rsid w:val="0029788F"/>
    <w:rsid w:val="002979EF"/>
    <w:rsid w:val="00297A1A"/>
    <w:rsid w:val="00297AED"/>
    <w:rsid w:val="00297BA6"/>
    <w:rsid w:val="00297BFA"/>
    <w:rsid w:val="00297C3A"/>
    <w:rsid w:val="00297CBA"/>
    <w:rsid w:val="00297D11"/>
    <w:rsid w:val="00297D4D"/>
    <w:rsid w:val="002A0306"/>
    <w:rsid w:val="002A031F"/>
    <w:rsid w:val="002A03CB"/>
    <w:rsid w:val="002A0554"/>
    <w:rsid w:val="002A063D"/>
    <w:rsid w:val="002A06CB"/>
    <w:rsid w:val="002A082E"/>
    <w:rsid w:val="002A08E3"/>
    <w:rsid w:val="002A0A79"/>
    <w:rsid w:val="002A0B15"/>
    <w:rsid w:val="002A1031"/>
    <w:rsid w:val="002A130F"/>
    <w:rsid w:val="002A1333"/>
    <w:rsid w:val="002A1549"/>
    <w:rsid w:val="002A1666"/>
    <w:rsid w:val="002A1731"/>
    <w:rsid w:val="002A1774"/>
    <w:rsid w:val="002A177E"/>
    <w:rsid w:val="002A1861"/>
    <w:rsid w:val="002A1A0B"/>
    <w:rsid w:val="002A1A50"/>
    <w:rsid w:val="002A1AE6"/>
    <w:rsid w:val="002A1DF1"/>
    <w:rsid w:val="002A1F2D"/>
    <w:rsid w:val="002A1F85"/>
    <w:rsid w:val="002A2094"/>
    <w:rsid w:val="002A20A9"/>
    <w:rsid w:val="002A2136"/>
    <w:rsid w:val="002A2212"/>
    <w:rsid w:val="002A2500"/>
    <w:rsid w:val="002A253F"/>
    <w:rsid w:val="002A2758"/>
    <w:rsid w:val="002A27FC"/>
    <w:rsid w:val="002A29C6"/>
    <w:rsid w:val="002A2AE1"/>
    <w:rsid w:val="002A2B35"/>
    <w:rsid w:val="002A2DA9"/>
    <w:rsid w:val="002A2EAA"/>
    <w:rsid w:val="002A2F2F"/>
    <w:rsid w:val="002A30C7"/>
    <w:rsid w:val="002A322C"/>
    <w:rsid w:val="002A3413"/>
    <w:rsid w:val="002A3467"/>
    <w:rsid w:val="002A34CD"/>
    <w:rsid w:val="002A3573"/>
    <w:rsid w:val="002A3716"/>
    <w:rsid w:val="002A3806"/>
    <w:rsid w:val="002A385B"/>
    <w:rsid w:val="002A3B04"/>
    <w:rsid w:val="002A3BA2"/>
    <w:rsid w:val="002A3C9C"/>
    <w:rsid w:val="002A4211"/>
    <w:rsid w:val="002A446C"/>
    <w:rsid w:val="002A45D2"/>
    <w:rsid w:val="002A46C0"/>
    <w:rsid w:val="002A46EF"/>
    <w:rsid w:val="002A475C"/>
    <w:rsid w:val="002A49BC"/>
    <w:rsid w:val="002A4CF2"/>
    <w:rsid w:val="002A4D35"/>
    <w:rsid w:val="002A4ED4"/>
    <w:rsid w:val="002A5101"/>
    <w:rsid w:val="002A52D7"/>
    <w:rsid w:val="002A5303"/>
    <w:rsid w:val="002A5337"/>
    <w:rsid w:val="002A5636"/>
    <w:rsid w:val="002A5682"/>
    <w:rsid w:val="002A5823"/>
    <w:rsid w:val="002A58A4"/>
    <w:rsid w:val="002A5938"/>
    <w:rsid w:val="002A5AF5"/>
    <w:rsid w:val="002A5BF5"/>
    <w:rsid w:val="002A5D80"/>
    <w:rsid w:val="002A5E65"/>
    <w:rsid w:val="002A5F8E"/>
    <w:rsid w:val="002A61BF"/>
    <w:rsid w:val="002A61E9"/>
    <w:rsid w:val="002A633D"/>
    <w:rsid w:val="002A6467"/>
    <w:rsid w:val="002A65E2"/>
    <w:rsid w:val="002A66B1"/>
    <w:rsid w:val="002A6770"/>
    <w:rsid w:val="002A67A0"/>
    <w:rsid w:val="002A690C"/>
    <w:rsid w:val="002A69A4"/>
    <w:rsid w:val="002A6BFD"/>
    <w:rsid w:val="002A6D15"/>
    <w:rsid w:val="002A6D3D"/>
    <w:rsid w:val="002A6DB9"/>
    <w:rsid w:val="002A6F3D"/>
    <w:rsid w:val="002A6FC0"/>
    <w:rsid w:val="002A7424"/>
    <w:rsid w:val="002A743F"/>
    <w:rsid w:val="002A747F"/>
    <w:rsid w:val="002A7601"/>
    <w:rsid w:val="002A7609"/>
    <w:rsid w:val="002A77EC"/>
    <w:rsid w:val="002A7810"/>
    <w:rsid w:val="002A79D3"/>
    <w:rsid w:val="002A7A01"/>
    <w:rsid w:val="002A7BBF"/>
    <w:rsid w:val="002A7C90"/>
    <w:rsid w:val="002A7E7F"/>
    <w:rsid w:val="002A7EB7"/>
    <w:rsid w:val="002B0182"/>
    <w:rsid w:val="002B01F6"/>
    <w:rsid w:val="002B06D7"/>
    <w:rsid w:val="002B06E9"/>
    <w:rsid w:val="002B0729"/>
    <w:rsid w:val="002B0758"/>
    <w:rsid w:val="002B077E"/>
    <w:rsid w:val="002B0792"/>
    <w:rsid w:val="002B07E4"/>
    <w:rsid w:val="002B0A8A"/>
    <w:rsid w:val="002B1079"/>
    <w:rsid w:val="002B118D"/>
    <w:rsid w:val="002B11C2"/>
    <w:rsid w:val="002B1249"/>
    <w:rsid w:val="002B1449"/>
    <w:rsid w:val="002B15F0"/>
    <w:rsid w:val="002B172C"/>
    <w:rsid w:val="002B18B0"/>
    <w:rsid w:val="002B18D9"/>
    <w:rsid w:val="002B1918"/>
    <w:rsid w:val="002B191B"/>
    <w:rsid w:val="002B1A0D"/>
    <w:rsid w:val="002B1C36"/>
    <w:rsid w:val="002B1DB7"/>
    <w:rsid w:val="002B1E2F"/>
    <w:rsid w:val="002B1E74"/>
    <w:rsid w:val="002B1E8F"/>
    <w:rsid w:val="002B216C"/>
    <w:rsid w:val="002B2253"/>
    <w:rsid w:val="002B2474"/>
    <w:rsid w:val="002B25A6"/>
    <w:rsid w:val="002B25CA"/>
    <w:rsid w:val="002B2690"/>
    <w:rsid w:val="002B27C8"/>
    <w:rsid w:val="002B28AC"/>
    <w:rsid w:val="002B28E7"/>
    <w:rsid w:val="002B28EA"/>
    <w:rsid w:val="002B293C"/>
    <w:rsid w:val="002B299E"/>
    <w:rsid w:val="002B2C64"/>
    <w:rsid w:val="002B2DB8"/>
    <w:rsid w:val="002B2E16"/>
    <w:rsid w:val="002B3008"/>
    <w:rsid w:val="002B301F"/>
    <w:rsid w:val="002B30C3"/>
    <w:rsid w:val="002B3106"/>
    <w:rsid w:val="002B31C0"/>
    <w:rsid w:val="002B36C2"/>
    <w:rsid w:val="002B381C"/>
    <w:rsid w:val="002B383E"/>
    <w:rsid w:val="002B3C3A"/>
    <w:rsid w:val="002B3C4E"/>
    <w:rsid w:val="002B3CEE"/>
    <w:rsid w:val="002B3D82"/>
    <w:rsid w:val="002B3E67"/>
    <w:rsid w:val="002B41B1"/>
    <w:rsid w:val="002B41FF"/>
    <w:rsid w:val="002B432A"/>
    <w:rsid w:val="002B4C66"/>
    <w:rsid w:val="002B4E1A"/>
    <w:rsid w:val="002B4F9A"/>
    <w:rsid w:val="002B5108"/>
    <w:rsid w:val="002B525E"/>
    <w:rsid w:val="002B5314"/>
    <w:rsid w:val="002B5483"/>
    <w:rsid w:val="002B5567"/>
    <w:rsid w:val="002B55AA"/>
    <w:rsid w:val="002B5701"/>
    <w:rsid w:val="002B57A1"/>
    <w:rsid w:val="002B5889"/>
    <w:rsid w:val="002B5B22"/>
    <w:rsid w:val="002B5B26"/>
    <w:rsid w:val="002B5E85"/>
    <w:rsid w:val="002B5F4C"/>
    <w:rsid w:val="002B60A7"/>
    <w:rsid w:val="002B60A9"/>
    <w:rsid w:val="002B60C4"/>
    <w:rsid w:val="002B6164"/>
    <w:rsid w:val="002B63F9"/>
    <w:rsid w:val="002B643E"/>
    <w:rsid w:val="002B6441"/>
    <w:rsid w:val="002B6444"/>
    <w:rsid w:val="002B64B8"/>
    <w:rsid w:val="002B64D4"/>
    <w:rsid w:val="002B64DA"/>
    <w:rsid w:val="002B65C9"/>
    <w:rsid w:val="002B68E5"/>
    <w:rsid w:val="002B6A45"/>
    <w:rsid w:val="002B6AC3"/>
    <w:rsid w:val="002B6B33"/>
    <w:rsid w:val="002B6C29"/>
    <w:rsid w:val="002B6D5B"/>
    <w:rsid w:val="002B6EF7"/>
    <w:rsid w:val="002B6F70"/>
    <w:rsid w:val="002B6F94"/>
    <w:rsid w:val="002B6FEF"/>
    <w:rsid w:val="002B7007"/>
    <w:rsid w:val="002B71C9"/>
    <w:rsid w:val="002B729B"/>
    <w:rsid w:val="002B72D9"/>
    <w:rsid w:val="002B7420"/>
    <w:rsid w:val="002B74D7"/>
    <w:rsid w:val="002B760E"/>
    <w:rsid w:val="002B7697"/>
    <w:rsid w:val="002B76CB"/>
    <w:rsid w:val="002B7872"/>
    <w:rsid w:val="002B78EB"/>
    <w:rsid w:val="002B7B35"/>
    <w:rsid w:val="002B7BDA"/>
    <w:rsid w:val="002B7C82"/>
    <w:rsid w:val="002B7CBE"/>
    <w:rsid w:val="002B7CF9"/>
    <w:rsid w:val="002B7D80"/>
    <w:rsid w:val="002B7E39"/>
    <w:rsid w:val="002B7E3A"/>
    <w:rsid w:val="002C005F"/>
    <w:rsid w:val="002C0108"/>
    <w:rsid w:val="002C0141"/>
    <w:rsid w:val="002C0156"/>
    <w:rsid w:val="002C0276"/>
    <w:rsid w:val="002C0621"/>
    <w:rsid w:val="002C0945"/>
    <w:rsid w:val="002C0A06"/>
    <w:rsid w:val="002C0A51"/>
    <w:rsid w:val="002C0BB2"/>
    <w:rsid w:val="002C0D08"/>
    <w:rsid w:val="002C0DD6"/>
    <w:rsid w:val="002C0E87"/>
    <w:rsid w:val="002C0F45"/>
    <w:rsid w:val="002C10A9"/>
    <w:rsid w:val="002C10DA"/>
    <w:rsid w:val="002C1161"/>
    <w:rsid w:val="002C1324"/>
    <w:rsid w:val="002C13FD"/>
    <w:rsid w:val="002C1430"/>
    <w:rsid w:val="002C14C7"/>
    <w:rsid w:val="002C1510"/>
    <w:rsid w:val="002C17B8"/>
    <w:rsid w:val="002C17D2"/>
    <w:rsid w:val="002C1940"/>
    <w:rsid w:val="002C1A39"/>
    <w:rsid w:val="002C1A96"/>
    <w:rsid w:val="002C1D03"/>
    <w:rsid w:val="002C1D27"/>
    <w:rsid w:val="002C1DD6"/>
    <w:rsid w:val="002C1ED1"/>
    <w:rsid w:val="002C1EDD"/>
    <w:rsid w:val="002C2068"/>
    <w:rsid w:val="002C2104"/>
    <w:rsid w:val="002C22C1"/>
    <w:rsid w:val="002C244D"/>
    <w:rsid w:val="002C2488"/>
    <w:rsid w:val="002C248D"/>
    <w:rsid w:val="002C25A7"/>
    <w:rsid w:val="002C2647"/>
    <w:rsid w:val="002C28BC"/>
    <w:rsid w:val="002C2DA6"/>
    <w:rsid w:val="002C2EFA"/>
    <w:rsid w:val="002C2F9E"/>
    <w:rsid w:val="002C31AE"/>
    <w:rsid w:val="002C31CE"/>
    <w:rsid w:val="002C32E7"/>
    <w:rsid w:val="002C353B"/>
    <w:rsid w:val="002C365B"/>
    <w:rsid w:val="002C36C4"/>
    <w:rsid w:val="002C3720"/>
    <w:rsid w:val="002C3800"/>
    <w:rsid w:val="002C3A48"/>
    <w:rsid w:val="002C3A82"/>
    <w:rsid w:val="002C3B4B"/>
    <w:rsid w:val="002C3C05"/>
    <w:rsid w:val="002C3CE8"/>
    <w:rsid w:val="002C3CFA"/>
    <w:rsid w:val="002C3FDB"/>
    <w:rsid w:val="002C4007"/>
    <w:rsid w:val="002C469B"/>
    <w:rsid w:val="002C48E2"/>
    <w:rsid w:val="002C4B02"/>
    <w:rsid w:val="002C4B7E"/>
    <w:rsid w:val="002C4BF7"/>
    <w:rsid w:val="002C4C19"/>
    <w:rsid w:val="002C4E02"/>
    <w:rsid w:val="002C4E62"/>
    <w:rsid w:val="002C5158"/>
    <w:rsid w:val="002C5384"/>
    <w:rsid w:val="002C548C"/>
    <w:rsid w:val="002C54E5"/>
    <w:rsid w:val="002C561C"/>
    <w:rsid w:val="002C56AA"/>
    <w:rsid w:val="002C5756"/>
    <w:rsid w:val="002C5865"/>
    <w:rsid w:val="002C5A84"/>
    <w:rsid w:val="002C5A87"/>
    <w:rsid w:val="002C5BCA"/>
    <w:rsid w:val="002C5EB6"/>
    <w:rsid w:val="002C5FAB"/>
    <w:rsid w:val="002C610C"/>
    <w:rsid w:val="002C6198"/>
    <w:rsid w:val="002C61D3"/>
    <w:rsid w:val="002C66D2"/>
    <w:rsid w:val="002C68C6"/>
    <w:rsid w:val="002C6949"/>
    <w:rsid w:val="002C6950"/>
    <w:rsid w:val="002C6ACA"/>
    <w:rsid w:val="002C6AFC"/>
    <w:rsid w:val="002C6DFA"/>
    <w:rsid w:val="002C71C6"/>
    <w:rsid w:val="002C74D3"/>
    <w:rsid w:val="002C759B"/>
    <w:rsid w:val="002C75EB"/>
    <w:rsid w:val="002C77E0"/>
    <w:rsid w:val="002C78E5"/>
    <w:rsid w:val="002C79DA"/>
    <w:rsid w:val="002C7A49"/>
    <w:rsid w:val="002C7C71"/>
    <w:rsid w:val="002C7CD7"/>
    <w:rsid w:val="002C7D0F"/>
    <w:rsid w:val="002C7E2E"/>
    <w:rsid w:val="002C7E43"/>
    <w:rsid w:val="002C7FB0"/>
    <w:rsid w:val="002D00AC"/>
    <w:rsid w:val="002D019F"/>
    <w:rsid w:val="002D01A0"/>
    <w:rsid w:val="002D0241"/>
    <w:rsid w:val="002D0270"/>
    <w:rsid w:val="002D04FE"/>
    <w:rsid w:val="002D0511"/>
    <w:rsid w:val="002D05A0"/>
    <w:rsid w:val="002D0864"/>
    <w:rsid w:val="002D09CD"/>
    <w:rsid w:val="002D0A4D"/>
    <w:rsid w:val="002D0ADA"/>
    <w:rsid w:val="002D0CA0"/>
    <w:rsid w:val="002D0D09"/>
    <w:rsid w:val="002D0F26"/>
    <w:rsid w:val="002D1020"/>
    <w:rsid w:val="002D1056"/>
    <w:rsid w:val="002D10F9"/>
    <w:rsid w:val="002D12A6"/>
    <w:rsid w:val="002D132C"/>
    <w:rsid w:val="002D13B8"/>
    <w:rsid w:val="002D142F"/>
    <w:rsid w:val="002D1622"/>
    <w:rsid w:val="002D18C2"/>
    <w:rsid w:val="002D18E0"/>
    <w:rsid w:val="002D18F2"/>
    <w:rsid w:val="002D1915"/>
    <w:rsid w:val="002D1944"/>
    <w:rsid w:val="002D1961"/>
    <w:rsid w:val="002D19BA"/>
    <w:rsid w:val="002D19D1"/>
    <w:rsid w:val="002D1A37"/>
    <w:rsid w:val="002D1BDF"/>
    <w:rsid w:val="002D1C70"/>
    <w:rsid w:val="002D1CAD"/>
    <w:rsid w:val="002D1F88"/>
    <w:rsid w:val="002D248F"/>
    <w:rsid w:val="002D253F"/>
    <w:rsid w:val="002D270B"/>
    <w:rsid w:val="002D27A2"/>
    <w:rsid w:val="002D27B9"/>
    <w:rsid w:val="002D27D5"/>
    <w:rsid w:val="002D2824"/>
    <w:rsid w:val="002D288E"/>
    <w:rsid w:val="002D2916"/>
    <w:rsid w:val="002D2B8C"/>
    <w:rsid w:val="002D2BE9"/>
    <w:rsid w:val="002D2C41"/>
    <w:rsid w:val="002D2C5D"/>
    <w:rsid w:val="002D2C6E"/>
    <w:rsid w:val="002D2C96"/>
    <w:rsid w:val="002D2D39"/>
    <w:rsid w:val="002D2E59"/>
    <w:rsid w:val="002D2EB6"/>
    <w:rsid w:val="002D2F2B"/>
    <w:rsid w:val="002D2F48"/>
    <w:rsid w:val="002D3024"/>
    <w:rsid w:val="002D3195"/>
    <w:rsid w:val="002D31FE"/>
    <w:rsid w:val="002D327D"/>
    <w:rsid w:val="002D3317"/>
    <w:rsid w:val="002D3379"/>
    <w:rsid w:val="002D34BB"/>
    <w:rsid w:val="002D358D"/>
    <w:rsid w:val="002D35CF"/>
    <w:rsid w:val="002D361F"/>
    <w:rsid w:val="002D3672"/>
    <w:rsid w:val="002D3695"/>
    <w:rsid w:val="002D36C8"/>
    <w:rsid w:val="002D3736"/>
    <w:rsid w:val="002D38EF"/>
    <w:rsid w:val="002D3963"/>
    <w:rsid w:val="002D3C6F"/>
    <w:rsid w:val="002D3E0B"/>
    <w:rsid w:val="002D3E9B"/>
    <w:rsid w:val="002D3EC7"/>
    <w:rsid w:val="002D41DB"/>
    <w:rsid w:val="002D43B1"/>
    <w:rsid w:val="002D4563"/>
    <w:rsid w:val="002D4636"/>
    <w:rsid w:val="002D4867"/>
    <w:rsid w:val="002D4968"/>
    <w:rsid w:val="002D4AE1"/>
    <w:rsid w:val="002D4B92"/>
    <w:rsid w:val="002D4C54"/>
    <w:rsid w:val="002D4DFD"/>
    <w:rsid w:val="002D4E76"/>
    <w:rsid w:val="002D4F06"/>
    <w:rsid w:val="002D4F0A"/>
    <w:rsid w:val="002D525C"/>
    <w:rsid w:val="002D529C"/>
    <w:rsid w:val="002D529D"/>
    <w:rsid w:val="002D549E"/>
    <w:rsid w:val="002D56C5"/>
    <w:rsid w:val="002D5931"/>
    <w:rsid w:val="002D5945"/>
    <w:rsid w:val="002D5BD9"/>
    <w:rsid w:val="002D5BE2"/>
    <w:rsid w:val="002D6086"/>
    <w:rsid w:val="002D608E"/>
    <w:rsid w:val="002D62FD"/>
    <w:rsid w:val="002D639D"/>
    <w:rsid w:val="002D6512"/>
    <w:rsid w:val="002D652D"/>
    <w:rsid w:val="002D6712"/>
    <w:rsid w:val="002D6750"/>
    <w:rsid w:val="002D67D0"/>
    <w:rsid w:val="002D67EA"/>
    <w:rsid w:val="002D69D3"/>
    <w:rsid w:val="002D69EC"/>
    <w:rsid w:val="002D6BE0"/>
    <w:rsid w:val="002D6CA1"/>
    <w:rsid w:val="002D6CDD"/>
    <w:rsid w:val="002D6D25"/>
    <w:rsid w:val="002D6F85"/>
    <w:rsid w:val="002D7099"/>
    <w:rsid w:val="002D733F"/>
    <w:rsid w:val="002D73A2"/>
    <w:rsid w:val="002D741D"/>
    <w:rsid w:val="002D75BB"/>
    <w:rsid w:val="002D763A"/>
    <w:rsid w:val="002D76B2"/>
    <w:rsid w:val="002D7723"/>
    <w:rsid w:val="002D790E"/>
    <w:rsid w:val="002D793F"/>
    <w:rsid w:val="002D7C7B"/>
    <w:rsid w:val="002D7C83"/>
    <w:rsid w:val="002D7D5B"/>
    <w:rsid w:val="002D7DC6"/>
    <w:rsid w:val="002D7E02"/>
    <w:rsid w:val="002D7F00"/>
    <w:rsid w:val="002D7F92"/>
    <w:rsid w:val="002D7FBB"/>
    <w:rsid w:val="002E0020"/>
    <w:rsid w:val="002E00CF"/>
    <w:rsid w:val="002E02C5"/>
    <w:rsid w:val="002E04BE"/>
    <w:rsid w:val="002E0584"/>
    <w:rsid w:val="002E061C"/>
    <w:rsid w:val="002E06F3"/>
    <w:rsid w:val="002E09A0"/>
    <w:rsid w:val="002E0A02"/>
    <w:rsid w:val="002E0A70"/>
    <w:rsid w:val="002E0DC1"/>
    <w:rsid w:val="002E0E03"/>
    <w:rsid w:val="002E0F4D"/>
    <w:rsid w:val="002E0F91"/>
    <w:rsid w:val="002E1351"/>
    <w:rsid w:val="002E1416"/>
    <w:rsid w:val="002E1552"/>
    <w:rsid w:val="002E15C4"/>
    <w:rsid w:val="002E176A"/>
    <w:rsid w:val="002E17CB"/>
    <w:rsid w:val="002E187F"/>
    <w:rsid w:val="002E18ED"/>
    <w:rsid w:val="002E1B55"/>
    <w:rsid w:val="002E1BCA"/>
    <w:rsid w:val="002E1D64"/>
    <w:rsid w:val="002E1DE0"/>
    <w:rsid w:val="002E1EAD"/>
    <w:rsid w:val="002E2134"/>
    <w:rsid w:val="002E21C0"/>
    <w:rsid w:val="002E220A"/>
    <w:rsid w:val="002E2293"/>
    <w:rsid w:val="002E239C"/>
    <w:rsid w:val="002E23E7"/>
    <w:rsid w:val="002E240C"/>
    <w:rsid w:val="002E2561"/>
    <w:rsid w:val="002E2728"/>
    <w:rsid w:val="002E27A0"/>
    <w:rsid w:val="002E2809"/>
    <w:rsid w:val="002E2B10"/>
    <w:rsid w:val="002E2B76"/>
    <w:rsid w:val="002E2C80"/>
    <w:rsid w:val="002E2D5A"/>
    <w:rsid w:val="002E2E71"/>
    <w:rsid w:val="002E3121"/>
    <w:rsid w:val="002E3127"/>
    <w:rsid w:val="002E312E"/>
    <w:rsid w:val="002E318E"/>
    <w:rsid w:val="002E332F"/>
    <w:rsid w:val="002E3368"/>
    <w:rsid w:val="002E336E"/>
    <w:rsid w:val="002E3576"/>
    <w:rsid w:val="002E3582"/>
    <w:rsid w:val="002E38DC"/>
    <w:rsid w:val="002E3ABA"/>
    <w:rsid w:val="002E3AF5"/>
    <w:rsid w:val="002E3E19"/>
    <w:rsid w:val="002E3FE0"/>
    <w:rsid w:val="002E4007"/>
    <w:rsid w:val="002E4062"/>
    <w:rsid w:val="002E4359"/>
    <w:rsid w:val="002E4392"/>
    <w:rsid w:val="002E4459"/>
    <w:rsid w:val="002E4476"/>
    <w:rsid w:val="002E4676"/>
    <w:rsid w:val="002E475F"/>
    <w:rsid w:val="002E47FC"/>
    <w:rsid w:val="002E4B25"/>
    <w:rsid w:val="002E4B74"/>
    <w:rsid w:val="002E4C34"/>
    <w:rsid w:val="002E4C7F"/>
    <w:rsid w:val="002E4D41"/>
    <w:rsid w:val="002E4DBB"/>
    <w:rsid w:val="002E4E1B"/>
    <w:rsid w:val="002E4E48"/>
    <w:rsid w:val="002E4E9E"/>
    <w:rsid w:val="002E4FB0"/>
    <w:rsid w:val="002E5162"/>
    <w:rsid w:val="002E519A"/>
    <w:rsid w:val="002E51F1"/>
    <w:rsid w:val="002E5373"/>
    <w:rsid w:val="002E548C"/>
    <w:rsid w:val="002E54CB"/>
    <w:rsid w:val="002E54F4"/>
    <w:rsid w:val="002E5562"/>
    <w:rsid w:val="002E5641"/>
    <w:rsid w:val="002E564A"/>
    <w:rsid w:val="002E5729"/>
    <w:rsid w:val="002E5738"/>
    <w:rsid w:val="002E57C2"/>
    <w:rsid w:val="002E59AB"/>
    <w:rsid w:val="002E5A1A"/>
    <w:rsid w:val="002E5B13"/>
    <w:rsid w:val="002E5C62"/>
    <w:rsid w:val="002E5E65"/>
    <w:rsid w:val="002E5F5C"/>
    <w:rsid w:val="002E6338"/>
    <w:rsid w:val="002E64C9"/>
    <w:rsid w:val="002E655D"/>
    <w:rsid w:val="002E6767"/>
    <w:rsid w:val="002E6833"/>
    <w:rsid w:val="002E68C6"/>
    <w:rsid w:val="002E6954"/>
    <w:rsid w:val="002E696D"/>
    <w:rsid w:val="002E69C2"/>
    <w:rsid w:val="002E6A97"/>
    <w:rsid w:val="002E6AB3"/>
    <w:rsid w:val="002E6CBD"/>
    <w:rsid w:val="002E6CFA"/>
    <w:rsid w:val="002E7149"/>
    <w:rsid w:val="002E72AC"/>
    <w:rsid w:val="002E74DB"/>
    <w:rsid w:val="002E7688"/>
    <w:rsid w:val="002E7719"/>
    <w:rsid w:val="002E78CC"/>
    <w:rsid w:val="002E7BDF"/>
    <w:rsid w:val="002E7EE1"/>
    <w:rsid w:val="002E7F8D"/>
    <w:rsid w:val="002E7FB3"/>
    <w:rsid w:val="002F0125"/>
    <w:rsid w:val="002F01EA"/>
    <w:rsid w:val="002F0276"/>
    <w:rsid w:val="002F034C"/>
    <w:rsid w:val="002F036E"/>
    <w:rsid w:val="002F03C8"/>
    <w:rsid w:val="002F0493"/>
    <w:rsid w:val="002F0621"/>
    <w:rsid w:val="002F0686"/>
    <w:rsid w:val="002F0789"/>
    <w:rsid w:val="002F07D0"/>
    <w:rsid w:val="002F082C"/>
    <w:rsid w:val="002F086E"/>
    <w:rsid w:val="002F09A2"/>
    <w:rsid w:val="002F0B5D"/>
    <w:rsid w:val="002F0BFC"/>
    <w:rsid w:val="002F0C22"/>
    <w:rsid w:val="002F0C27"/>
    <w:rsid w:val="002F0CBE"/>
    <w:rsid w:val="002F0F34"/>
    <w:rsid w:val="002F114B"/>
    <w:rsid w:val="002F1237"/>
    <w:rsid w:val="002F127B"/>
    <w:rsid w:val="002F14B8"/>
    <w:rsid w:val="002F14FF"/>
    <w:rsid w:val="002F1557"/>
    <w:rsid w:val="002F15DC"/>
    <w:rsid w:val="002F15FA"/>
    <w:rsid w:val="002F174D"/>
    <w:rsid w:val="002F1A1F"/>
    <w:rsid w:val="002F1A7D"/>
    <w:rsid w:val="002F1B9B"/>
    <w:rsid w:val="002F1D15"/>
    <w:rsid w:val="002F1D7E"/>
    <w:rsid w:val="002F1ED6"/>
    <w:rsid w:val="002F1F5C"/>
    <w:rsid w:val="002F1F91"/>
    <w:rsid w:val="002F20A7"/>
    <w:rsid w:val="002F21AA"/>
    <w:rsid w:val="002F2411"/>
    <w:rsid w:val="002F262C"/>
    <w:rsid w:val="002F28AE"/>
    <w:rsid w:val="002F2949"/>
    <w:rsid w:val="002F299F"/>
    <w:rsid w:val="002F2A8E"/>
    <w:rsid w:val="002F2E29"/>
    <w:rsid w:val="002F3081"/>
    <w:rsid w:val="002F3114"/>
    <w:rsid w:val="002F3134"/>
    <w:rsid w:val="002F3422"/>
    <w:rsid w:val="002F349C"/>
    <w:rsid w:val="002F35D2"/>
    <w:rsid w:val="002F362C"/>
    <w:rsid w:val="002F3673"/>
    <w:rsid w:val="002F375D"/>
    <w:rsid w:val="002F389E"/>
    <w:rsid w:val="002F38EF"/>
    <w:rsid w:val="002F3923"/>
    <w:rsid w:val="002F3BB9"/>
    <w:rsid w:val="002F3D3D"/>
    <w:rsid w:val="002F3D73"/>
    <w:rsid w:val="002F3D76"/>
    <w:rsid w:val="002F3F3C"/>
    <w:rsid w:val="002F41C1"/>
    <w:rsid w:val="002F4259"/>
    <w:rsid w:val="002F429F"/>
    <w:rsid w:val="002F4447"/>
    <w:rsid w:val="002F44C9"/>
    <w:rsid w:val="002F44D8"/>
    <w:rsid w:val="002F46E4"/>
    <w:rsid w:val="002F46FB"/>
    <w:rsid w:val="002F48C1"/>
    <w:rsid w:val="002F4C81"/>
    <w:rsid w:val="002F51E7"/>
    <w:rsid w:val="002F54A6"/>
    <w:rsid w:val="002F54C4"/>
    <w:rsid w:val="002F54F1"/>
    <w:rsid w:val="002F5568"/>
    <w:rsid w:val="002F58EE"/>
    <w:rsid w:val="002F599D"/>
    <w:rsid w:val="002F5B5C"/>
    <w:rsid w:val="002F5B94"/>
    <w:rsid w:val="002F5C72"/>
    <w:rsid w:val="002F5C88"/>
    <w:rsid w:val="002F5F26"/>
    <w:rsid w:val="002F62B5"/>
    <w:rsid w:val="002F63D1"/>
    <w:rsid w:val="002F646F"/>
    <w:rsid w:val="002F6476"/>
    <w:rsid w:val="002F64A0"/>
    <w:rsid w:val="002F65B4"/>
    <w:rsid w:val="002F68E7"/>
    <w:rsid w:val="002F68FE"/>
    <w:rsid w:val="002F6A4D"/>
    <w:rsid w:val="002F6B49"/>
    <w:rsid w:val="002F6CE9"/>
    <w:rsid w:val="002F705B"/>
    <w:rsid w:val="002F711A"/>
    <w:rsid w:val="002F7151"/>
    <w:rsid w:val="002F73DE"/>
    <w:rsid w:val="002F7454"/>
    <w:rsid w:val="002F7460"/>
    <w:rsid w:val="002F74BA"/>
    <w:rsid w:val="002F74D4"/>
    <w:rsid w:val="002F763F"/>
    <w:rsid w:val="002F7702"/>
    <w:rsid w:val="002F772F"/>
    <w:rsid w:val="002F7784"/>
    <w:rsid w:val="002F77E8"/>
    <w:rsid w:val="002F78D1"/>
    <w:rsid w:val="002F7CF9"/>
    <w:rsid w:val="002F7D02"/>
    <w:rsid w:val="002F7D25"/>
    <w:rsid w:val="002F7D81"/>
    <w:rsid w:val="002F7F41"/>
    <w:rsid w:val="00300056"/>
    <w:rsid w:val="003000D6"/>
    <w:rsid w:val="003000FF"/>
    <w:rsid w:val="003001F6"/>
    <w:rsid w:val="003002CA"/>
    <w:rsid w:val="00300359"/>
    <w:rsid w:val="0030045A"/>
    <w:rsid w:val="003004FF"/>
    <w:rsid w:val="00300503"/>
    <w:rsid w:val="0030053C"/>
    <w:rsid w:val="00300613"/>
    <w:rsid w:val="00300C3A"/>
    <w:rsid w:val="00300E40"/>
    <w:rsid w:val="00301065"/>
    <w:rsid w:val="003010A4"/>
    <w:rsid w:val="00301489"/>
    <w:rsid w:val="00301496"/>
    <w:rsid w:val="00301622"/>
    <w:rsid w:val="0030172E"/>
    <w:rsid w:val="0030181E"/>
    <w:rsid w:val="00301AA3"/>
    <w:rsid w:val="003020DB"/>
    <w:rsid w:val="003020EF"/>
    <w:rsid w:val="00302137"/>
    <w:rsid w:val="003024DB"/>
    <w:rsid w:val="003024DE"/>
    <w:rsid w:val="00302508"/>
    <w:rsid w:val="003025BB"/>
    <w:rsid w:val="0030265B"/>
    <w:rsid w:val="00302668"/>
    <w:rsid w:val="003027B4"/>
    <w:rsid w:val="0030287D"/>
    <w:rsid w:val="003028B5"/>
    <w:rsid w:val="00302A0F"/>
    <w:rsid w:val="00302A66"/>
    <w:rsid w:val="00302B48"/>
    <w:rsid w:val="00302BF5"/>
    <w:rsid w:val="00302C6B"/>
    <w:rsid w:val="00302DD8"/>
    <w:rsid w:val="00303017"/>
    <w:rsid w:val="003031F7"/>
    <w:rsid w:val="0030344E"/>
    <w:rsid w:val="003035D0"/>
    <w:rsid w:val="003036CA"/>
    <w:rsid w:val="00303944"/>
    <w:rsid w:val="00303A4D"/>
    <w:rsid w:val="00303D01"/>
    <w:rsid w:val="00303D35"/>
    <w:rsid w:val="00303E59"/>
    <w:rsid w:val="00303EAC"/>
    <w:rsid w:val="00303FA5"/>
    <w:rsid w:val="003041AE"/>
    <w:rsid w:val="003042A1"/>
    <w:rsid w:val="00304316"/>
    <w:rsid w:val="00304353"/>
    <w:rsid w:val="00304587"/>
    <w:rsid w:val="003045AF"/>
    <w:rsid w:val="0030464E"/>
    <w:rsid w:val="0030465E"/>
    <w:rsid w:val="00304793"/>
    <w:rsid w:val="00304880"/>
    <w:rsid w:val="0030488E"/>
    <w:rsid w:val="003049A2"/>
    <w:rsid w:val="00304A63"/>
    <w:rsid w:val="00304BA9"/>
    <w:rsid w:val="00304C8B"/>
    <w:rsid w:val="00304CC0"/>
    <w:rsid w:val="00304E42"/>
    <w:rsid w:val="00304FA2"/>
    <w:rsid w:val="00304FEB"/>
    <w:rsid w:val="00305396"/>
    <w:rsid w:val="0030556D"/>
    <w:rsid w:val="00305721"/>
    <w:rsid w:val="00305C1C"/>
    <w:rsid w:val="00305D5B"/>
    <w:rsid w:val="00305E9C"/>
    <w:rsid w:val="00305F00"/>
    <w:rsid w:val="00305F75"/>
    <w:rsid w:val="00305FBA"/>
    <w:rsid w:val="003060D3"/>
    <w:rsid w:val="00306190"/>
    <w:rsid w:val="00306210"/>
    <w:rsid w:val="003062C5"/>
    <w:rsid w:val="003063EB"/>
    <w:rsid w:val="00306706"/>
    <w:rsid w:val="0030672F"/>
    <w:rsid w:val="0030677E"/>
    <w:rsid w:val="003067DA"/>
    <w:rsid w:val="0030691A"/>
    <w:rsid w:val="00306921"/>
    <w:rsid w:val="00306AF6"/>
    <w:rsid w:val="00306C25"/>
    <w:rsid w:val="003072A8"/>
    <w:rsid w:val="00307313"/>
    <w:rsid w:val="0030733C"/>
    <w:rsid w:val="003073C7"/>
    <w:rsid w:val="003073EC"/>
    <w:rsid w:val="003073ED"/>
    <w:rsid w:val="00307467"/>
    <w:rsid w:val="003074FE"/>
    <w:rsid w:val="00307578"/>
    <w:rsid w:val="003076B6"/>
    <w:rsid w:val="003076F2"/>
    <w:rsid w:val="00307831"/>
    <w:rsid w:val="0030787A"/>
    <w:rsid w:val="0030797C"/>
    <w:rsid w:val="00307AC7"/>
    <w:rsid w:val="00307B04"/>
    <w:rsid w:val="00307B06"/>
    <w:rsid w:val="00307BD8"/>
    <w:rsid w:val="00307BDD"/>
    <w:rsid w:val="00307BE1"/>
    <w:rsid w:val="00307C28"/>
    <w:rsid w:val="00307C7C"/>
    <w:rsid w:val="00310095"/>
    <w:rsid w:val="003103D1"/>
    <w:rsid w:val="0031046A"/>
    <w:rsid w:val="00310512"/>
    <w:rsid w:val="0031066D"/>
    <w:rsid w:val="003107EA"/>
    <w:rsid w:val="00310C3A"/>
    <w:rsid w:val="00310DB6"/>
    <w:rsid w:val="00310F82"/>
    <w:rsid w:val="00311150"/>
    <w:rsid w:val="003111E7"/>
    <w:rsid w:val="0031152D"/>
    <w:rsid w:val="003115C9"/>
    <w:rsid w:val="003117BF"/>
    <w:rsid w:val="00311AF3"/>
    <w:rsid w:val="00311C8F"/>
    <w:rsid w:val="00311CF0"/>
    <w:rsid w:val="00311ED2"/>
    <w:rsid w:val="00311F4F"/>
    <w:rsid w:val="003120AC"/>
    <w:rsid w:val="003120C9"/>
    <w:rsid w:val="003120D3"/>
    <w:rsid w:val="00312125"/>
    <w:rsid w:val="00312177"/>
    <w:rsid w:val="00312181"/>
    <w:rsid w:val="003121E1"/>
    <w:rsid w:val="003122BB"/>
    <w:rsid w:val="003124C1"/>
    <w:rsid w:val="00312615"/>
    <w:rsid w:val="00312771"/>
    <w:rsid w:val="003128E4"/>
    <w:rsid w:val="00312961"/>
    <w:rsid w:val="00312984"/>
    <w:rsid w:val="00312991"/>
    <w:rsid w:val="003129DB"/>
    <w:rsid w:val="00312AF0"/>
    <w:rsid w:val="00312CB3"/>
    <w:rsid w:val="00312CD0"/>
    <w:rsid w:val="00312F95"/>
    <w:rsid w:val="00313250"/>
    <w:rsid w:val="00313391"/>
    <w:rsid w:val="003133F7"/>
    <w:rsid w:val="003135DD"/>
    <w:rsid w:val="00313675"/>
    <w:rsid w:val="003136B7"/>
    <w:rsid w:val="003136F8"/>
    <w:rsid w:val="00313994"/>
    <w:rsid w:val="00313A88"/>
    <w:rsid w:val="00313F5D"/>
    <w:rsid w:val="00314234"/>
    <w:rsid w:val="003149EE"/>
    <w:rsid w:val="00314A05"/>
    <w:rsid w:val="00314A35"/>
    <w:rsid w:val="00314A40"/>
    <w:rsid w:val="00314D84"/>
    <w:rsid w:val="00315150"/>
    <w:rsid w:val="003152A8"/>
    <w:rsid w:val="003152D5"/>
    <w:rsid w:val="00315304"/>
    <w:rsid w:val="0031531C"/>
    <w:rsid w:val="003153BE"/>
    <w:rsid w:val="003154F2"/>
    <w:rsid w:val="003155F1"/>
    <w:rsid w:val="0031579A"/>
    <w:rsid w:val="0031580B"/>
    <w:rsid w:val="00315CCB"/>
    <w:rsid w:val="00315CD6"/>
    <w:rsid w:val="00315DC8"/>
    <w:rsid w:val="00315E73"/>
    <w:rsid w:val="00315F7A"/>
    <w:rsid w:val="00316096"/>
    <w:rsid w:val="003160DB"/>
    <w:rsid w:val="003160FA"/>
    <w:rsid w:val="00316341"/>
    <w:rsid w:val="00316647"/>
    <w:rsid w:val="003166F6"/>
    <w:rsid w:val="00316769"/>
    <w:rsid w:val="00316A7A"/>
    <w:rsid w:val="00316B3F"/>
    <w:rsid w:val="00316B88"/>
    <w:rsid w:val="00316D76"/>
    <w:rsid w:val="00316E21"/>
    <w:rsid w:val="00316F50"/>
    <w:rsid w:val="00316F67"/>
    <w:rsid w:val="0031712D"/>
    <w:rsid w:val="0031754A"/>
    <w:rsid w:val="003175F1"/>
    <w:rsid w:val="00317890"/>
    <w:rsid w:val="0031791C"/>
    <w:rsid w:val="00317AE3"/>
    <w:rsid w:val="00317BCA"/>
    <w:rsid w:val="00317BCD"/>
    <w:rsid w:val="00317D8B"/>
    <w:rsid w:val="00317E53"/>
    <w:rsid w:val="00317F14"/>
    <w:rsid w:val="00317F8A"/>
    <w:rsid w:val="0032006C"/>
    <w:rsid w:val="003200B4"/>
    <w:rsid w:val="003200D0"/>
    <w:rsid w:val="0032027C"/>
    <w:rsid w:val="00320343"/>
    <w:rsid w:val="0032039E"/>
    <w:rsid w:val="003203B5"/>
    <w:rsid w:val="0032060D"/>
    <w:rsid w:val="003207E4"/>
    <w:rsid w:val="00320966"/>
    <w:rsid w:val="00320C2C"/>
    <w:rsid w:val="00320D43"/>
    <w:rsid w:val="00320DC6"/>
    <w:rsid w:val="00320DDB"/>
    <w:rsid w:val="00320E9E"/>
    <w:rsid w:val="0032127C"/>
    <w:rsid w:val="00321298"/>
    <w:rsid w:val="003214D9"/>
    <w:rsid w:val="00321783"/>
    <w:rsid w:val="00321AB3"/>
    <w:rsid w:val="00321ABB"/>
    <w:rsid w:val="00321BD8"/>
    <w:rsid w:val="00321CBA"/>
    <w:rsid w:val="00321D7C"/>
    <w:rsid w:val="00321E37"/>
    <w:rsid w:val="0032253B"/>
    <w:rsid w:val="00322623"/>
    <w:rsid w:val="003226B0"/>
    <w:rsid w:val="00322744"/>
    <w:rsid w:val="00322753"/>
    <w:rsid w:val="00322784"/>
    <w:rsid w:val="003227F5"/>
    <w:rsid w:val="00322977"/>
    <w:rsid w:val="003229A8"/>
    <w:rsid w:val="00322B40"/>
    <w:rsid w:val="00322B41"/>
    <w:rsid w:val="00322B68"/>
    <w:rsid w:val="00322D05"/>
    <w:rsid w:val="00322D88"/>
    <w:rsid w:val="00322FD8"/>
    <w:rsid w:val="00323206"/>
    <w:rsid w:val="00323771"/>
    <w:rsid w:val="0032383A"/>
    <w:rsid w:val="00323899"/>
    <w:rsid w:val="00323B23"/>
    <w:rsid w:val="00323B6C"/>
    <w:rsid w:val="00323C00"/>
    <w:rsid w:val="00323D45"/>
    <w:rsid w:val="00323D54"/>
    <w:rsid w:val="00323DC1"/>
    <w:rsid w:val="00323EE6"/>
    <w:rsid w:val="0032402A"/>
    <w:rsid w:val="0032405C"/>
    <w:rsid w:val="00324074"/>
    <w:rsid w:val="00324110"/>
    <w:rsid w:val="00324150"/>
    <w:rsid w:val="00324340"/>
    <w:rsid w:val="00324513"/>
    <w:rsid w:val="00324595"/>
    <w:rsid w:val="003245BE"/>
    <w:rsid w:val="003246B4"/>
    <w:rsid w:val="003246CA"/>
    <w:rsid w:val="00324829"/>
    <w:rsid w:val="003248B3"/>
    <w:rsid w:val="00324BD6"/>
    <w:rsid w:val="00324BDD"/>
    <w:rsid w:val="00324DFE"/>
    <w:rsid w:val="00324EFB"/>
    <w:rsid w:val="003250EC"/>
    <w:rsid w:val="0032511E"/>
    <w:rsid w:val="003251CB"/>
    <w:rsid w:val="00325305"/>
    <w:rsid w:val="00325306"/>
    <w:rsid w:val="00325609"/>
    <w:rsid w:val="00325696"/>
    <w:rsid w:val="0032569E"/>
    <w:rsid w:val="003256B2"/>
    <w:rsid w:val="003256F1"/>
    <w:rsid w:val="003256FB"/>
    <w:rsid w:val="00325958"/>
    <w:rsid w:val="0032597B"/>
    <w:rsid w:val="00325A38"/>
    <w:rsid w:val="00325B4E"/>
    <w:rsid w:val="00325BB3"/>
    <w:rsid w:val="00325E9D"/>
    <w:rsid w:val="00325ED9"/>
    <w:rsid w:val="00325EF3"/>
    <w:rsid w:val="0032608A"/>
    <w:rsid w:val="003260CD"/>
    <w:rsid w:val="0032612F"/>
    <w:rsid w:val="00326287"/>
    <w:rsid w:val="003262C0"/>
    <w:rsid w:val="00326351"/>
    <w:rsid w:val="00326422"/>
    <w:rsid w:val="00326519"/>
    <w:rsid w:val="00326641"/>
    <w:rsid w:val="0032674A"/>
    <w:rsid w:val="0032676D"/>
    <w:rsid w:val="00326AFA"/>
    <w:rsid w:val="00327195"/>
    <w:rsid w:val="003273B2"/>
    <w:rsid w:val="003275EC"/>
    <w:rsid w:val="00327604"/>
    <w:rsid w:val="00327723"/>
    <w:rsid w:val="00327735"/>
    <w:rsid w:val="0032784D"/>
    <w:rsid w:val="00327894"/>
    <w:rsid w:val="0032799E"/>
    <w:rsid w:val="00327A21"/>
    <w:rsid w:val="00327A5C"/>
    <w:rsid w:val="00327B7D"/>
    <w:rsid w:val="00327D29"/>
    <w:rsid w:val="00327DF8"/>
    <w:rsid w:val="0033005E"/>
    <w:rsid w:val="003301A2"/>
    <w:rsid w:val="0033028E"/>
    <w:rsid w:val="003302E1"/>
    <w:rsid w:val="0033036A"/>
    <w:rsid w:val="003304EF"/>
    <w:rsid w:val="00330572"/>
    <w:rsid w:val="003307C3"/>
    <w:rsid w:val="003308FE"/>
    <w:rsid w:val="00330A57"/>
    <w:rsid w:val="00330CB9"/>
    <w:rsid w:val="00331016"/>
    <w:rsid w:val="00331700"/>
    <w:rsid w:val="00331776"/>
    <w:rsid w:val="003318E0"/>
    <w:rsid w:val="003319C0"/>
    <w:rsid w:val="00331BA1"/>
    <w:rsid w:val="00331C28"/>
    <w:rsid w:val="00331D3F"/>
    <w:rsid w:val="00331E9C"/>
    <w:rsid w:val="00331EAD"/>
    <w:rsid w:val="00331F9E"/>
    <w:rsid w:val="003322F4"/>
    <w:rsid w:val="0033254C"/>
    <w:rsid w:val="00332984"/>
    <w:rsid w:val="00332BF5"/>
    <w:rsid w:val="00332CCB"/>
    <w:rsid w:val="00332CED"/>
    <w:rsid w:val="00332D27"/>
    <w:rsid w:val="00332DCA"/>
    <w:rsid w:val="00332E0D"/>
    <w:rsid w:val="00332ECF"/>
    <w:rsid w:val="00332EE8"/>
    <w:rsid w:val="00332F7A"/>
    <w:rsid w:val="00332FDE"/>
    <w:rsid w:val="003330B7"/>
    <w:rsid w:val="0033327A"/>
    <w:rsid w:val="003333FB"/>
    <w:rsid w:val="0033344D"/>
    <w:rsid w:val="00333491"/>
    <w:rsid w:val="003336AD"/>
    <w:rsid w:val="003336C6"/>
    <w:rsid w:val="003336C7"/>
    <w:rsid w:val="003337CE"/>
    <w:rsid w:val="003338E2"/>
    <w:rsid w:val="003339E4"/>
    <w:rsid w:val="00333B26"/>
    <w:rsid w:val="00333B5F"/>
    <w:rsid w:val="00333EDE"/>
    <w:rsid w:val="00333FC0"/>
    <w:rsid w:val="0033417B"/>
    <w:rsid w:val="003341F8"/>
    <w:rsid w:val="00334258"/>
    <w:rsid w:val="003342B6"/>
    <w:rsid w:val="00334303"/>
    <w:rsid w:val="003343B0"/>
    <w:rsid w:val="003344F5"/>
    <w:rsid w:val="003344F7"/>
    <w:rsid w:val="00334531"/>
    <w:rsid w:val="00334583"/>
    <w:rsid w:val="003347E5"/>
    <w:rsid w:val="00334831"/>
    <w:rsid w:val="00334A89"/>
    <w:rsid w:val="00334CF1"/>
    <w:rsid w:val="00334D9A"/>
    <w:rsid w:val="00334DB0"/>
    <w:rsid w:val="0033515D"/>
    <w:rsid w:val="0033527B"/>
    <w:rsid w:val="00335446"/>
    <w:rsid w:val="0033550A"/>
    <w:rsid w:val="0033564D"/>
    <w:rsid w:val="00335896"/>
    <w:rsid w:val="00335897"/>
    <w:rsid w:val="003358D6"/>
    <w:rsid w:val="003359E0"/>
    <w:rsid w:val="003359E3"/>
    <w:rsid w:val="00335AB6"/>
    <w:rsid w:val="00335BEC"/>
    <w:rsid w:val="00335BEF"/>
    <w:rsid w:val="00335C05"/>
    <w:rsid w:val="00335CCB"/>
    <w:rsid w:val="00335E85"/>
    <w:rsid w:val="00335ED2"/>
    <w:rsid w:val="00335F8C"/>
    <w:rsid w:val="00335FB9"/>
    <w:rsid w:val="003361AF"/>
    <w:rsid w:val="0033625C"/>
    <w:rsid w:val="0033627B"/>
    <w:rsid w:val="00336303"/>
    <w:rsid w:val="0033639C"/>
    <w:rsid w:val="003363DF"/>
    <w:rsid w:val="00336834"/>
    <w:rsid w:val="003368DF"/>
    <w:rsid w:val="00336A25"/>
    <w:rsid w:val="00336B51"/>
    <w:rsid w:val="00336D4A"/>
    <w:rsid w:val="00336D68"/>
    <w:rsid w:val="00337064"/>
    <w:rsid w:val="0033719F"/>
    <w:rsid w:val="003371FD"/>
    <w:rsid w:val="0033728A"/>
    <w:rsid w:val="003373E0"/>
    <w:rsid w:val="003373E5"/>
    <w:rsid w:val="00337611"/>
    <w:rsid w:val="0033771C"/>
    <w:rsid w:val="00337C35"/>
    <w:rsid w:val="00337DD7"/>
    <w:rsid w:val="00337E3D"/>
    <w:rsid w:val="00337F79"/>
    <w:rsid w:val="00340045"/>
    <w:rsid w:val="00340051"/>
    <w:rsid w:val="00340107"/>
    <w:rsid w:val="00340583"/>
    <w:rsid w:val="003405C6"/>
    <w:rsid w:val="00340658"/>
    <w:rsid w:val="003406DF"/>
    <w:rsid w:val="003406E4"/>
    <w:rsid w:val="003408DC"/>
    <w:rsid w:val="003408E8"/>
    <w:rsid w:val="00340A59"/>
    <w:rsid w:val="00340AC8"/>
    <w:rsid w:val="00340BD3"/>
    <w:rsid w:val="00340C09"/>
    <w:rsid w:val="00340E47"/>
    <w:rsid w:val="00340F36"/>
    <w:rsid w:val="00340FAF"/>
    <w:rsid w:val="003410B8"/>
    <w:rsid w:val="003411C0"/>
    <w:rsid w:val="00341613"/>
    <w:rsid w:val="003417D7"/>
    <w:rsid w:val="003418A4"/>
    <w:rsid w:val="003418A5"/>
    <w:rsid w:val="00341978"/>
    <w:rsid w:val="0034198F"/>
    <w:rsid w:val="00341FDF"/>
    <w:rsid w:val="0034208F"/>
    <w:rsid w:val="0034219F"/>
    <w:rsid w:val="00342273"/>
    <w:rsid w:val="0034257B"/>
    <w:rsid w:val="00342643"/>
    <w:rsid w:val="0034280C"/>
    <w:rsid w:val="003429BC"/>
    <w:rsid w:val="00342A65"/>
    <w:rsid w:val="00342ACB"/>
    <w:rsid w:val="00342B1E"/>
    <w:rsid w:val="00342F0B"/>
    <w:rsid w:val="00342F1D"/>
    <w:rsid w:val="00342F75"/>
    <w:rsid w:val="00342F87"/>
    <w:rsid w:val="0034316E"/>
    <w:rsid w:val="003431B4"/>
    <w:rsid w:val="003433F0"/>
    <w:rsid w:val="00343448"/>
    <w:rsid w:val="003434B7"/>
    <w:rsid w:val="00343526"/>
    <w:rsid w:val="00343604"/>
    <w:rsid w:val="00343628"/>
    <w:rsid w:val="00343754"/>
    <w:rsid w:val="0034379C"/>
    <w:rsid w:val="00343931"/>
    <w:rsid w:val="00343944"/>
    <w:rsid w:val="00343996"/>
    <w:rsid w:val="003439E8"/>
    <w:rsid w:val="00343A40"/>
    <w:rsid w:val="00343C3B"/>
    <w:rsid w:val="00343C4E"/>
    <w:rsid w:val="00343CBE"/>
    <w:rsid w:val="00343D7F"/>
    <w:rsid w:val="00343F58"/>
    <w:rsid w:val="00343FE2"/>
    <w:rsid w:val="0034402C"/>
    <w:rsid w:val="0034436F"/>
    <w:rsid w:val="0034466A"/>
    <w:rsid w:val="003447BD"/>
    <w:rsid w:val="00344845"/>
    <w:rsid w:val="003448D3"/>
    <w:rsid w:val="0034493B"/>
    <w:rsid w:val="00344AD6"/>
    <w:rsid w:val="00344C4F"/>
    <w:rsid w:val="00344CDC"/>
    <w:rsid w:val="00344CEE"/>
    <w:rsid w:val="00344EFE"/>
    <w:rsid w:val="00344F1C"/>
    <w:rsid w:val="00344F82"/>
    <w:rsid w:val="00345134"/>
    <w:rsid w:val="00345212"/>
    <w:rsid w:val="00345273"/>
    <w:rsid w:val="00345342"/>
    <w:rsid w:val="00345666"/>
    <w:rsid w:val="003457C3"/>
    <w:rsid w:val="00345B3A"/>
    <w:rsid w:val="00345C41"/>
    <w:rsid w:val="003461D7"/>
    <w:rsid w:val="003462B0"/>
    <w:rsid w:val="0034650A"/>
    <w:rsid w:val="00346614"/>
    <w:rsid w:val="00346675"/>
    <w:rsid w:val="003466E7"/>
    <w:rsid w:val="003468B0"/>
    <w:rsid w:val="00346934"/>
    <w:rsid w:val="00346E09"/>
    <w:rsid w:val="00346EDD"/>
    <w:rsid w:val="00347020"/>
    <w:rsid w:val="00347067"/>
    <w:rsid w:val="00347080"/>
    <w:rsid w:val="003470B2"/>
    <w:rsid w:val="0034713D"/>
    <w:rsid w:val="0034739C"/>
    <w:rsid w:val="003473D5"/>
    <w:rsid w:val="0034764E"/>
    <w:rsid w:val="0034786E"/>
    <w:rsid w:val="003478B8"/>
    <w:rsid w:val="0034796E"/>
    <w:rsid w:val="00347CC3"/>
    <w:rsid w:val="00347D8C"/>
    <w:rsid w:val="00347DC7"/>
    <w:rsid w:val="0035006E"/>
    <w:rsid w:val="0035007D"/>
    <w:rsid w:val="00350138"/>
    <w:rsid w:val="0035025F"/>
    <w:rsid w:val="00350335"/>
    <w:rsid w:val="003503D7"/>
    <w:rsid w:val="0035046D"/>
    <w:rsid w:val="00350508"/>
    <w:rsid w:val="00350596"/>
    <w:rsid w:val="003506B0"/>
    <w:rsid w:val="003506E7"/>
    <w:rsid w:val="00350798"/>
    <w:rsid w:val="003507E9"/>
    <w:rsid w:val="0035083F"/>
    <w:rsid w:val="003508F2"/>
    <w:rsid w:val="0035099C"/>
    <w:rsid w:val="00350AC0"/>
    <w:rsid w:val="00350AF5"/>
    <w:rsid w:val="00350F95"/>
    <w:rsid w:val="00350F9B"/>
    <w:rsid w:val="003511F4"/>
    <w:rsid w:val="00351310"/>
    <w:rsid w:val="00351381"/>
    <w:rsid w:val="00351453"/>
    <w:rsid w:val="0035152E"/>
    <w:rsid w:val="00351735"/>
    <w:rsid w:val="00351810"/>
    <w:rsid w:val="00351849"/>
    <w:rsid w:val="00351972"/>
    <w:rsid w:val="00351A90"/>
    <w:rsid w:val="00351AF1"/>
    <w:rsid w:val="00351BF7"/>
    <w:rsid w:val="00351C73"/>
    <w:rsid w:val="00351EBB"/>
    <w:rsid w:val="00352001"/>
    <w:rsid w:val="0035239F"/>
    <w:rsid w:val="003524D2"/>
    <w:rsid w:val="003525FF"/>
    <w:rsid w:val="0035260F"/>
    <w:rsid w:val="00352686"/>
    <w:rsid w:val="003526CC"/>
    <w:rsid w:val="003529E5"/>
    <w:rsid w:val="00352CE3"/>
    <w:rsid w:val="00352E6C"/>
    <w:rsid w:val="00352F8F"/>
    <w:rsid w:val="0035303C"/>
    <w:rsid w:val="003530E3"/>
    <w:rsid w:val="0035311B"/>
    <w:rsid w:val="00353349"/>
    <w:rsid w:val="00353350"/>
    <w:rsid w:val="00353410"/>
    <w:rsid w:val="003536BB"/>
    <w:rsid w:val="003537EC"/>
    <w:rsid w:val="00353894"/>
    <w:rsid w:val="00353A92"/>
    <w:rsid w:val="00353B38"/>
    <w:rsid w:val="00353D5A"/>
    <w:rsid w:val="00353F2E"/>
    <w:rsid w:val="00353FF8"/>
    <w:rsid w:val="00353FFA"/>
    <w:rsid w:val="00354488"/>
    <w:rsid w:val="003544C9"/>
    <w:rsid w:val="003545B5"/>
    <w:rsid w:val="003545CB"/>
    <w:rsid w:val="003546C0"/>
    <w:rsid w:val="0035474C"/>
    <w:rsid w:val="003547DF"/>
    <w:rsid w:val="0035487F"/>
    <w:rsid w:val="0035489B"/>
    <w:rsid w:val="00354ABB"/>
    <w:rsid w:val="00354C04"/>
    <w:rsid w:val="00354D18"/>
    <w:rsid w:val="00354E92"/>
    <w:rsid w:val="00354F34"/>
    <w:rsid w:val="00355047"/>
    <w:rsid w:val="00355232"/>
    <w:rsid w:val="0035529D"/>
    <w:rsid w:val="00355344"/>
    <w:rsid w:val="0035547A"/>
    <w:rsid w:val="003555D4"/>
    <w:rsid w:val="00355611"/>
    <w:rsid w:val="0035563F"/>
    <w:rsid w:val="0035575B"/>
    <w:rsid w:val="003558C8"/>
    <w:rsid w:val="0035595E"/>
    <w:rsid w:val="00355991"/>
    <w:rsid w:val="003559BB"/>
    <w:rsid w:val="00355AC5"/>
    <w:rsid w:val="00355BBA"/>
    <w:rsid w:val="00355F6C"/>
    <w:rsid w:val="0035608D"/>
    <w:rsid w:val="00356098"/>
    <w:rsid w:val="00356356"/>
    <w:rsid w:val="00356369"/>
    <w:rsid w:val="00356391"/>
    <w:rsid w:val="003567D9"/>
    <w:rsid w:val="00356846"/>
    <w:rsid w:val="00356A50"/>
    <w:rsid w:val="00356BDA"/>
    <w:rsid w:val="00356D93"/>
    <w:rsid w:val="00356EC8"/>
    <w:rsid w:val="00356F03"/>
    <w:rsid w:val="00357011"/>
    <w:rsid w:val="0035717C"/>
    <w:rsid w:val="003572FF"/>
    <w:rsid w:val="003573B2"/>
    <w:rsid w:val="00357793"/>
    <w:rsid w:val="003577CF"/>
    <w:rsid w:val="00357860"/>
    <w:rsid w:val="003579E5"/>
    <w:rsid w:val="00357E2C"/>
    <w:rsid w:val="00357E67"/>
    <w:rsid w:val="00357ED4"/>
    <w:rsid w:val="00357FEA"/>
    <w:rsid w:val="0036002F"/>
    <w:rsid w:val="00360046"/>
    <w:rsid w:val="003600E1"/>
    <w:rsid w:val="00360164"/>
    <w:rsid w:val="00360345"/>
    <w:rsid w:val="00360376"/>
    <w:rsid w:val="00360402"/>
    <w:rsid w:val="00360414"/>
    <w:rsid w:val="00360549"/>
    <w:rsid w:val="00360565"/>
    <w:rsid w:val="00360569"/>
    <w:rsid w:val="003606FA"/>
    <w:rsid w:val="0036070E"/>
    <w:rsid w:val="00360E02"/>
    <w:rsid w:val="00360E3F"/>
    <w:rsid w:val="00360EC4"/>
    <w:rsid w:val="00360EF9"/>
    <w:rsid w:val="00360F84"/>
    <w:rsid w:val="003611B5"/>
    <w:rsid w:val="0036129D"/>
    <w:rsid w:val="003613DD"/>
    <w:rsid w:val="00361509"/>
    <w:rsid w:val="00361996"/>
    <w:rsid w:val="00361B30"/>
    <w:rsid w:val="00361B9D"/>
    <w:rsid w:val="00361BE8"/>
    <w:rsid w:val="00362017"/>
    <w:rsid w:val="00362239"/>
    <w:rsid w:val="00362309"/>
    <w:rsid w:val="00362465"/>
    <w:rsid w:val="00362574"/>
    <w:rsid w:val="0036265D"/>
    <w:rsid w:val="0036279E"/>
    <w:rsid w:val="003628E2"/>
    <w:rsid w:val="00362C10"/>
    <w:rsid w:val="00362C7C"/>
    <w:rsid w:val="00362D04"/>
    <w:rsid w:val="00362DFC"/>
    <w:rsid w:val="003630F8"/>
    <w:rsid w:val="00363191"/>
    <w:rsid w:val="0036321E"/>
    <w:rsid w:val="00363429"/>
    <w:rsid w:val="00363720"/>
    <w:rsid w:val="003638B5"/>
    <w:rsid w:val="00363AE6"/>
    <w:rsid w:val="00363B76"/>
    <w:rsid w:val="00363C13"/>
    <w:rsid w:val="00363E20"/>
    <w:rsid w:val="00363E38"/>
    <w:rsid w:val="00363E60"/>
    <w:rsid w:val="00363ED6"/>
    <w:rsid w:val="00363F00"/>
    <w:rsid w:val="00363F26"/>
    <w:rsid w:val="00363FA1"/>
    <w:rsid w:val="003642D7"/>
    <w:rsid w:val="003645D4"/>
    <w:rsid w:val="00364668"/>
    <w:rsid w:val="00364697"/>
    <w:rsid w:val="0036470E"/>
    <w:rsid w:val="00364781"/>
    <w:rsid w:val="00364869"/>
    <w:rsid w:val="00364964"/>
    <w:rsid w:val="00364BDC"/>
    <w:rsid w:val="00364E4A"/>
    <w:rsid w:val="00364E80"/>
    <w:rsid w:val="00364ECC"/>
    <w:rsid w:val="00365166"/>
    <w:rsid w:val="00365386"/>
    <w:rsid w:val="0036549E"/>
    <w:rsid w:val="003654F6"/>
    <w:rsid w:val="003655B5"/>
    <w:rsid w:val="0036569E"/>
    <w:rsid w:val="00365817"/>
    <w:rsid w:val="00365826"/>
    <w:rsid w:val="00365986"/>
    <w:rsid w:val="00365ABC"/>
    <w:rsid w:val="00365B4D"/>
    <w:rsid w:val="00365CF6"/>
    <w:rsid w:val="00365D72"/>
    <w:rsid w:val="00365E21"/>
    <w:rsid w:val="00365E33"/>
    <w:rsid w:val="00365F77"/>
    <w:rsid w:val="00366101"/>
    <w:rsid w:val="0036622D"/>
    <w:rsid w:val="0036628E"/>
    <w:rsid w:val="0036638F"/>
    <w:rsid w:val="003665BD"/>
    <w:rsid w:val="003665F4"/>
    <w:rsid w:val="0036674A"/>
    <w:rsid w:val="00366815"/>
    <w:rsid w:val="0036687D"/>
    <w:rsid w:val="00366A1A"/>
    <w:rsid w:val="00366BE8"/>
    <w:rsid w:val="00366C12"/>
    <w:rsid w:val="00366C80"/>
    <w:rsid w:val="00366F87"/>
    <w:rsid w:val="0036705E"/>
    <w:rsid w:val="003672DD"/>
    <w:rsid w:val="003673C6"/>
    <w:rsid w:val="003675AB"/>
    <w:rsid w:val="0036766D"/>
    <w:rsid w:val="00367779"/>
    <w:rsid w:val="003678F3"/>
    <w:rsid w:val="003679F5"/>
    <w:rsid w:val="00367A24"/>
    <w:rsid w:val="00367DE7"/>
    <w:rsid w:val="00367E32"/>
    <w:rsid w:val="00367E77"/>
    <w:rsid w:val="003700DE"/>
    <w:rsid w:val="0037011A"/>
    <w:rsid w:val="0037041E"/>
    <w:rsid w:val="00370449"/>
    <w:rsid w:val="00370454"/>
    <w:rsid w:val="00370637"/>
    <w:rsid w:val="00370653"/>
    <w:rsid w:val="00370806"/>
    <w:rsid w:val="00370944"/>
    <w:rsid w:val="00370B04"/>
    <w:rsid w:val="00370BE1"/>
    <w:rsid w:val="00370C63"/>
    <w:rsid w:val="00370DC6"/>
    <w:rsid w:val="00370F10"/>
    <w:rsid w:val="0037101A"/>
    <w:rsid w:val="0037147D"/>
    <w:rsid w:val="00371492"/>
    <w:rsid w:val="003715C4"/>
    <w:rsid w:val="003716A6"/>
    <w:rsid w:val="00371A7B"/>
    <w:rsid w:val="00371B7D"/>
    <w:rsid w:val="00371BF8"/>
    <w:rsid w:val="00371CCB"/>
    <w:rsid w:val="00371CDB"/>
    <w:rsid w:val="00371E19"/>
    <w:rsid w:val="00372333"/>
    <w:rsid w:val="003723C7"/>
    <w:rsid w:val="003723E2"/>
    <w:rsid w:val="003724FE"/>
    <w:rsid w:val="00372664"/>
    <w:rsid w:val="003728EE"/>
    <w:rsid w:val="00372B3D"/>
    <w:rsid w:val="00372BA0"/>
    <w:rsid w:val="00372DB0"/>
    <w:rsid w:val="00372E65"/>
    <w:rsid w:val="00372E84"/>
    <w:rsid w:val="00372E99"/>
    <w:rsid w:val="003730A2"/>
    <w:rsid w:val="0037314F"/>
    <w:rsid w:val="003732D4"/>
    <w:rsid w:val="00373352"/>
    <w:rsid w:val="003735CE"/>
    <w:rsid w:val="00373636"/>
    <w:rsid w:val="0037363E"/>
    <w:rsid w:val="0037381A"/>
    <w:rsid w:val="00373961"/>
    <w:rsid w:val="003739F0"/>
    <w:rsid w:val="00373A24"/>
    <w:rsid w:val="00373A28"/>
    <w:rsid w:val="00373A8E"/>
    <w:rsid w:val="00373F5A"/>
    <w:rsid w:val="0037415A"/>
    <w:rsid w:val="00374245"/>
    <w:rsid w:val="003744FD"/>
    <w:rsid w:val="00374517"/>
    <w:rsid w:val="003745E4"/>
    <w:rsid w:val="003746AA"/>
    <w:rsid w:val="003747D5"/>
    <w:rsid w:val="003749A1"/>
    <w:rsid w:val="00374BC8"/>
    <w:rsid w:val="00374C0F"/>
    <w:rsid w:val="00374D89"/>
    <w:rsid w:val="00374DB2"/>
    <w:rsid w:val="00374DF8"/>
    <w:rsid w:val="00374E20"/>
    <w:rsid w:val="00375118"/>
    <w:rsid w:val="0037521C"/>
    <w:rsid w:val="003755E3"/>
    <w:rsid w:val="0037561F"/>
    <w:rsid w:val="0037575F"/>
    <w:rsid w:val="003758F4"/>
    <w:rsid w:val="00375C5E"/>
    <w:rsid w:val="00375DE1"/>
    <w:rsid w:val="00375E29"/>
    <w:rsid w:val="00375E2F"/>
    <w:rsid w:val="00375FB9"/>
    <w:rsid w:val="0037601A"/>
    <w:rsid w:val="00376036"/>
    <w:rsid w:val="00376072"/>
    <w:rsid w:val="0037615B"/>
    <w:rsid w:val="0037618F"/>
    <w:rsid w:val="003761AC"/>
    <w:rsid w:val="00376292"/>
    <w:rsid w:val="003762EB"/>
    <w:rsid w:val="00376321"/>
    <w:rsid w:val="003763CA"/>
    <w:rsid w:val="003763E7"/>
    <w:rsid w:val="0037654D"/>
    <w:rsid w:val="00376633"/>
    <w:rsid w:val="00376757"/>
    <w:rsid w:val="003768AE"/>
    <w:rsid w:val="00376AC2"/>
    <w:rsid w:val="00376D90"/>
    <w:rsid w:val="00376DE7"/>
    <w:rsid w:val="00376E47"/>
    <w:rsid w:val="00376F29"/>
    <w:rsid w:val="00376F42"/>
    <w:rsid w:val="00377613"/>
    <w:rsid w:val="00377790"/>
    <w:rsid w:val="003777F3"/>
    <w:rsid w:val="00377878"/>
    <w:rsid w:val="00377912"/>
    <w:rsid w:val="00377AA1"/>
    <w:rsid w:val="00377ABA"/>
    <w:rsid w:val="00377ADC"/>
    <w:rsid w:val="00377ED3"/>
    <w:rsid w:val="00377FFB"/>
    <w:rsid w:val="00380097"/>
    <w:rsid w:val="00380278"/>
    <w:rsid w:val="00380345"/>
    <w:rsid w:val="0038044E"/>
    <w:rsid w:val="0038046F"/>
    <w:rsid w:val="003806CD"/>
    <w:rsid w:val="003806EE"/>
    <w:rsid w:val="00380808"/>
    <w:rsid w:val="00380AC1"/>
    <w:rsid w:val="00380AF1"/>
    <w:rsid w:val="00380AF9"/>
    <w:rsid w:val="00380B63"/>
    <w:rsid w:val="00380BEA"/>
    <w:rsid w:val="00380CBC"/>
    <w:rsid w:val="00380D69"/>
    <w:rsid w:val="00380D74"/>
    <w:rsid w:val="00380DE4"/>
    <w:rsid w:val="00380FC1"/>
    <w:rsid w:val="00381035"/>
    <w:rsid w:val="00381063"/>
    <w:rsid w:val="00381142"/>
    <w:rsid w:val="0038122D"/>
    <w:rsid w:val="003813C6"/>
    <w:rsid w:val="003813D9"/>
    <w:rsid w:val="003813EA"/>
    <w:rsid w:val="00381594"/>
    <w:rsid w:val="00381625"/>
    <w:rsid w:val="00381688"/>
    <w:rsid w:val="0038172B"/>
    <w:rsid w:val="003817B7"/>
    <w:rsid w:val="0038183D"/>
    <w:rsid w:val="0038183F"/>
    <w:rsid w:val="0038192E"/>
    <w:rsid w:val="00381A76"/>
    <w:rsid w:val="00381BD6"/>
    <w:rsid w:val="00381C86"/>
    <w:rsid w:val="00381CA3"/>
    <w:rsid w:val="00381DC5"/>
    <w:rsid w:val="00381EBE"/>
    <w:rsid w:val="00381F9C"/>
    <w:rsid w:val="00382071"/>
    <w:rsid w:val="00382093"/>
    <w:rsid w:val="0038229F"/>
    <w:rsid w:val="003822C1"/>
    <w:rsid w:val="00382385"/>
    <w:rsid w:val="00382464"/>
    <w:rsid w:val="003825EA"/>
    <w:rsid w:val="003826F1"/>
    <w:rsid w:val="00382707"/>
    <w:rsid w:val="00382729"/>
    <w:rsid w:val="003828B1"/>
    <w:rsid w:val="00382A89"/>
    <w:rsid w:val="00382A9A"/>
    <w:rsid w:val="00382AB8"/>
    <w:rsid w:val="00382AD4"/>
    <w:rsid w:val="00382B7D"/>
    <w:rsid w:val="00382C2D"/>
    <w:rsid w:val="00382E8A"/>
    <w:rsid w:val="00382F02"/>
    <w:rsid w:val="00382F9A"/>
    <w:rsid w:val="00383094"/>
    <w:rsid w:val="003831B3"/>
    <w:rsid w:val="0038323E"/>
    <w:rsid w:val="003832F5"/>
    <w:rsid w:val="00383440"/>
    <w:rsid w:val="003835CE"/>
    <w:rsid w:val="003839E3"/>
    <w:rsid w:val="00383A56"/>
    <w:rsid w:val="00383B7D"/>
    <w:rsid w:val="00383C1E"/>
    <w:rsid w:val="00383E62"/>
    <w:rsid w:val="00383FD9"/>
    <w:rsid w:val="00384210"/>
    <w:rsid w:val="00384413"/>
    <w:rsid w:val="00384414"/>
    <w:rsid w:val="003846E0"/>
    <w:rsid w:val="0038476F"/>
    <w:rsid w:val="00384781"/>
    <w:rsid w:val="00384855"/>
    <w:rsid w:val="003849F1"/>
    <w:rsid w:val="00384A48"/>
    <w:rsid w:val="00384AF8"/>
    <w:rsid w:val="00384BDF"/>
    <w:rsid w:val="00384C2C"/>
    <w:rsid w:val="00384CCC"/>
    <w:rsid w:val="00384CD6"/>
    <w:rsid w:val="00384CD9"/>
    <w:rsid w:val="00384E49"/>
    <w:rsid w:val="00384F00"/>
    <w:rsid w:val="00384F2C"/>
    <w:rsid w:val="00385315"/>
    <w:rsid w:val="003853AF"/>
    <w:rsid w:val="003854A5"/>
    <w:rsid w:val="003854E8"/>
    <w:rsid w:val="003856E7"/>
    <w:rsid w:val="003857B6"/>
    <w:rsid w:val="003857FA"/>
    <w:rsid w:val="00385875"/>
    <w:rsid w:val="003858EA"/>
    <w:rsid w:val="00385943"/>
    <w:rsid w:val="00385C33"/>
    <w:rsid w:val="00385C5C"/>
    <w:rsid w:val="00385D6A"/>
    <w:rsid w:val="0038602F"/>
    <w:rsid w:val="0038638A"/>
    <w:rsid w:val="003865F4"/>
    <w:rsid w:val="0038677C"/>
    <w:rsid w:val="00386787"/>
    <w:rsid w:val="003867DC"/>
    <w:rsid w:val="003867FD"/>
    <w:rsid w:val="003868B0"/>
    <w:rsid w:val="003868BA"/>
    <w:rsid w:val="00386A30"/>
    <w:rsid w:val="00386AD4"/>
    <w:rsid w:val="00386B54"/>
    <w:rsid w:val="00386B79"/>
    <w:rsid w:val="00386C4A"/>
    <w:rsid w:val="00386C6B"/>
    <w:rsid w:val="00386EF3"/>
    <w:rsid w:val="00386F53"/>
    <w:rsid w:val="00386F67"/>
    <w:rsid w:val="00386FB3"/>
    <w:rsid w:val="00387035"/>
    <w:rsid w:val="0038704C"/>
    <w:rsid w:val="003870EC"/>
    <w:rsid w:val="0038730D"/>
    <w:rsid w:val="0038734B"/>
    <w:rsid w:val="00387452"/>
    <w:rsid w:val="00387621"/>
    <w:rsid w:val="00387C1F"/>
    <w:rsid w:val="00387C3A"/>
    <w:rsid w:val="00387D2C"/>
    <w:rsid w:val="00387E42"/>
    <w:rsid w:val="00387F4A"/>
    <w:rsid w:val="0039031D"/>
    <w:rsid w:val="0039050C"/>
    <w:rsid w:val="00390518"/>
    <w:rsid w:val="003907EA"/>
    <w:rsid w:val="00390968"/>
    <w:rsid w:val="00390A16"/>
    <w:rsid w:val="00390AA6"/>
    <w:rsid w:val="00390C1D"/>
    <w:rsid w:val="00390E02"/>
    <w:rsid w:val="00390F96"/>
    <w:rsid w:val="00391056"/>
    <w:rsid w:val="003911C4"/>
    <w:rsid w:val="003911DE"/>
    <w:rsid w:val="00391286"/>
    <w:rsid w:val="00391313"/>
    <w:rsid w:val="0039162C"/>
    <w:rsid w:val="0039174B"/>
    <w:rsid w:val="0039175D"/>
    <w:rsid w:val="0039187A"/>
    <w:rsid w:val="003918AE"/>
    <w:rsid w:val="003918F5"/>
    <w:rsid w:val="0039191E"/>
    <w:rsid w:val="00391E15"/>
    <w:rsid w:val="00391E5F"/>
    <w:rsid w:val="00391E6A"/>
    <w:rsid w:val="00391EB2"/>
    <w:rsid w:val="00391F36"/>
    <w:rsid w:val="00392054"/>
    <w:rsid w:val="00392092"/>
    <w:rsid w:val="0039219C"/>
    <w:rsid w:val="00392313"/>
    <w:rsid w:val="003924D1"/>
    <w:rsid w:val="003927F6"/>
    <w:rsid w:val="003928E9"/>
    <w:rsid w:val="00392A86"/>
    <w:rsid w:val="00392B8C"/>
    <w:rsid w:val="00392C7D"/>
    <w:rsid w:val="00392DDE"/>
    <w:rsid w:val="00392F67"/>
    <w:rsid w:val="00392FB9"/>
    <w:rsid w:val="00393070"/>
    <w:rsid w:val="003932BF"/>
    <w:rsid w:val="003932CC"/>
    <w:rsid w:val="003932F2"/>
    <w:rsid w:val="0039333F"/>
    <w:rsid w:val="00393482"/>
    <w:rsid w:val="003934C9"/>
    <w:rsid w:val="003937FD"/>
    <w:rsid w:val="00393A92"/>
    <w:rsid w:val="00393C65"/>
    <w:rsid w:val="00393C94"/>
    <w:rsid w:val="00393E3F"/>
    <w:rsid w:val="00394012"/>
    <w:rsid w:val="0039408A"/>
    <w:rsid w:val="00394181"/>
    <w:rsid w:val="00394267"/>
    <w:rsid w:val="003942C4"/>
    <w:rsid w:val="003943C2"/>
    <w:rsid w:val="00394448"/>
    <w:rsid w:val="0039480C"/>
    <w:rsid w:val="00394B11"/>
    <w:rsid w:val="00394D73"/>
    <w:rsid w:val="00394F4C"/>
    <w:rsid w:val="00395054"/>
    <w:rsid w:val="00395139"/>
    <w:rsid w:val="003951BB"/>
    <w:rsid w:val="003954C8"/>
    <w:rsid w:val="003955F1"/>
    <w:rsid w:val="003959D5"/>
    <w:rsid w:val="00395B63"/>
    <w:rsid w:val="00395BCD"/>
    <w:rsid w:val="00395C6C"/>
    <w:rsid w:val="00395E71"/>
    <w:rsid w:val="0039615D"/>
    <w:rsid w:val="0039618F"/>
    <w:rsid w:val="0039631B"/>
    <w:rsid w:val="003963D3"/>
    <w:rsid w:val="003964B8"/>
    <w:rsid w:val="003964E1"/>
    <w:rsid w:val="0039657C"/>
    <w:rsid w:val="003969C3"/>
    <w:rsid w:val="00396A76"/>
    <w:rsid w:val="00396AEF"/>
    <w:rsid w:val="00396C26"/>
    <w:rsid w:val="00396E0E"/>
    <w:rsid w:val="00396E48"/>
    <w:rsid w:val="00396E72"/>
    <w:rsid w:val="00396FB2"/>
    <w:rsid w:val="003971C1"/>
    <w:rsid w:val="00397259"/>
    <w:rsid w:val="003972BB"/>
    <w:rsid w:val="0039738F"/>
    <w:rsid w:val="003973E5"/>
    <w:rsid w:val="0039760F"/>
    <w:rsid w:val="00397739"/>
    <w:rsid w:val="00397842"/>
    <w:rsid w:val="00397889"/>
    <w:rsid w:val="003978FE"/>
    <w:rsid w:val="00397942"/>
    <w:rsid w:val="003979CD"/>
    <w:rsid w:val="00397A78"/>
    <w:rsid w:val="00397B81"/>
    <w:rsid w:val="00397CE2"/>
    <w:rsid w:val="00397F79"/>
    <w:rsid w:val="003A0025"/>
    <w:rsid w:val="003A009B"/>
    <w:rsid w:val="003A00F3"/>
    <w:rsid w:val="003A0199"/>
    <w:rsid w:val="003A0397"/>
    <w:rsid w:val="003A040D"/>
    <w:rsid w:val="003A04C6"/>
    <w:rsid w:val="003A04FD"/>
    <w:rsid w:val="003A0667"/>
    <w:rsid w:val="003A06D4"/>
    <w:rsid w:val="003A0932"/>
    <w:rsid w:val="003A0A74"/>
    <w:rsid w:val="003A0A9C"/>
    <w:rsid w:val="003A0D05"/>
    <w:rsid w:val="003A0E63"/>
    <w:rsid w:val="003A0F40"/>
    <w:rsid w:val="003A0FED"/>
    <w:rsid w:val="003A1171"/>
    <w:rsid w:val="003A11A8"/>
    <w:rsid w:val="003A1382"/>
    <w:rsid w:val="003A164A"/>
    <w:rsid w:val="003A1658"/>
    <w:rsid w:val="003A185F"/>
    <w:rsid w:val="003A1933"/>
    <w:rsid w:val="003A19AE"/>
    <w:rsid w:val="003A19B8"/>
    <w:rsid w:val="003A1A6B"/>
    <w:rsid w:val="003A1A78"/>
    <w:rsid w:val="003A1B88"/>
    <w:rsid w:val="003A1BB3"/>
    <w:rsid w:val="003A1C15"/>
    <w:rsid w:val="003A1C58"/>
    <w:rsid w:val="003A1D45"/>
    <w:rsid w:val="003A1DF5"/>
    <w:rsid w:val="003A1F7A"/>
    <w:rsid w:val="003A203B"/>
    <w:rsid w:val="003A2058"/>
    <w:rsid w:val="003A2081"/>
    <w:rsid w:val="003A2086"/>
    <w:rsid w:val="003A25E5"/>
    <w:rsid w:val="003A2897"/>
    <w:rsid w:val="003A2A2F"/>
    <w:rsid w:val="003A2BEB"/>
    <w:rsid w:val="003A2C80"/>
    <w:rsid w:val="003A2E5B"/>
    <w:rsid w:val="003A3133"/>
    <w:rsid w:val="003A3185"/>
    <w:rsid w:val="003A31DA"/>
    <w:rsid w:val="003A3294"/>
    <w:rsid w:val="003A38A3"/>
    <w:rsid w:val="003A3934"/>
    <w:rsid w:val="003A3985"/>
    <w:rsid w:val="003A39D4"/>
    <w:rsid w:val="003A3DA4"/>
    <w:rsid w:val="003A3DAC"/>
    <w:rsid w:val="003A4042"/>
    <w:rsid w:val="003A409E"/>
    <w:rsid w:val="003A40EC"/>
    <w:rsid w:val="003A416F"/>
    <w:rsid w:val="003A4198"/>
    <w:rsid w:val="003A4390"/>
    <w:rsid w:val="003A4450"/>
    <w:rsid w:val="003A4568"/>
    <w:rsid w:val="003A47C9"/>
    <w:rsid w:val="003A47E3"/>
    <w:rsid w:val="003A484A"/>
    <w:rsid w:val="003A48BB"/>
    <w:rsid w:val="003A498C"/>
    <w:rsid w:val="003A499F"/>
    <w:rsid w:val="003A4A24"/>
    <w:rsid w:val="003A4A8C"/>
    <w:rsid w:val="003A4AFF"/>
    <w:rsid w:val="003A4BF3"/>
    <w:rsid w:val="003A4DB0"/>
    <w:rsid w:val="003A4E48"/>
    <w:rsid w:val="003A502B"/>
    <w:rsid w:val="003A5090"/>
    <w:rsid w:val="003A5101"/>
    <w:rsid w:val="003A52B2"/>
    <w:rsid w:val="003A541A"/>
    <w:rsid w:val="003A567F"/>
    <w:rsid w:val="003A56AA"/>
    <w:rsid w:val="003A5719"/>
    <w:rsid w:val="003A5830"/>
    <w:rsid w:val="003A5C34"/>
    <w:rsid w:val="003A5C35"/>
    <w:rsid w:val="003A5C4E"/>
    <w:rsid w:val="003A5CAA"/>
    <w:rsid w:val="003A5D58"/>
    <w:rsid w:val="003A6070"/>
    <w:rsid w:val="003A6289"/>
    <w:rsid w:val="003A6396"/>
    <w:rsid w:val="003A6474"/>
    <w:rsid w:val="003A6505"/>
    <w:rsid w:val="003A6611"/>
    <w:rsid w:val="003A66B7"/>
    <w:rsid w:val="003A6796"/>
    <w:rsid w:val="003A6825"/>
    <w:rsid w:val="003A6859"/>
    <w:rsid w:val="003A68EC"/>
    <w:rsid w:val="003A693B"/>
    <w:rsid w:val="003A695D"/>
    <w:rsid w:val="003A6B01"/>
    <w:rsid w:val="003A6C16"/>
    <w:rsid w:val="003A6C4B"/>
    <w:rsid w:val="003A6CC7"/>
    <w:rsid w:val="003A6CD3"/>
    <w:rsid w:val="003A6CE7"/>
    <w:rsid w:val="003A6D55"/>
    <w:rsid w:val="003A6DDF"/>
    <w:rsid w:val="003A6F48"/>
    <w:rsid w:val="003A706E"/>
    <w:rsid w:val="003A70F8"/>
    <w:rsid w:val="003A7109"/>
    <w:rsid w:val="003A7153"/>
    <w:rsid w:val="003A7185"/>
    <w:rsid w:val="003A71F9"/>
    <w:rsid w:val="003A7239"/>
    <w:rsid w:val="003A73BE"/>
    <w:rsid w:val="003A7428"/>
    <w:rsid w:val="003A75AC"/>
    <w:rsid w:val="003A75D5"/>
    <w:rsid w:val="003A7607"/>
    <w:rsid w:val="003A76D6"/>
    <w:rsid w:val="003A76EA"/>
    <w:rsid w:val="003A7798"/>
    <w:rsid w:val="003A77C7"/>
    <w:rsid w:val="003A798E"/>
    <w:rsid w:val="003A7A70"/>
    <w:rsid w:val="003A7A71"/>
    <w:rsid w:val="003A7A89"/>
    <w:rsid w:val="003A7BE5"/>
    <w:rsid w:val="003A7C02"/>
    <w:rsid w:val="003A7C68"/>
    <w:rsid w:val="003A7D1C"/>
    <w:rsid w:val="003A7F63"/>
    <w:rsid w:val="003A7FBA"/>
    <w:rsid w:val="003B0126"/>
    <w:rsid w:val="003B048A"/>
    <w:rsid w:val="003B049F"/>
    <w:rsid w:val="003B0670"/>
    <w:rsid w:val="003B0884"/>
    <w:rsid w:val="003B0A0D"/>
    <w:rsid w:val="003B0B59"/>
    <w:rsid w:val="003B0B92"/>
    <w:rsid w:val="003B0C34"/>
    <w:rsid w:val="003B0CF2"/>
    <w:rsid w:val="003B0F54"/>
    <w:rsid w:val="003B112A"/>
    <w:rsid w:val="003B125A"/>
    <w:rsid w:val="003B1367"/>
    <w:rsid w:val="003B141F"/>
    <w:rsid w:val="003B154A"/>
    <w:rsid w:val="003B1757"/>
    <w:rsid w:val="003B1805"/>
    <w:rsid w:val="003B185D"/>
    <w:rsid w:val="003B1A00"/>
    <w:rsid w:val="003B1AF6"/>
    <w:rsid w:val="003B1C69"/>
    <w:rsid w:val="003B1E7C"/>
    <w:rsid w:val="003B1ECF"/>
    <w:rsid w:val="003B1FAA"/>
    <w:rsid w:val="003B1FCB"/>
    <w:rsid w:val="003B21EB"/>
    <w:rsid w:val="003B21FE"/>
    <w:rsid w:val="003B2282"/>
    <w:rsid w:val="003B23C2"/>
    <w:rsid w:val="003B2420"/>
    <w:rsid w:val="003B25C5"/>
    <w:rsid w:val="003B25E6"/>
    <w:rsid w:val="003B2665"/>
    <w:rsid w:val="003B2694"/>
    <w:rsid w:val="003B277A"/>
    <w:rsid w:val="003B292B"/>
    <w:rsid w:val="003B2A6C"/>
    <w:rsid w:val="003B2A87"/>
    <w:rsid w:val="003B2CDE"/>
    <w:rsid w:val="003B2E96"/>
    <w:rsid w:val="003B2F1A"/>
    <w:rsid w:val="003B2FE2"/>
    <w:rsid w:val="003B307E"/>
    <w:rsid w:val="003B308D"/>
    <w:rsid w:val="003B30DF"/>
    <w:rsid w:val="003B3157"/>
    <w:rsid w:val="003B3283"/>
    <w:rsid w:val="003B329B"/>
    <w:rsid w:val="003B3446"/>
    <w:rsid w:val="003B3481"/>
    <w:rsid w:val="003B34BD"/>
    <w:rsid w:val="003B3A86"/>
    <w:rsid w:val="003B3B53"/>
    <w:rsid w:val="003B3BFD"/>
    <w:rsid w:val="003B3CC3"/>
    <w:rsid w:val="003B3F15"/>
    <w:rsid w:val="003B40EF"/>
    <w:rsid w:val="003B41E9"/>
    <w:rsid w:val="003B4626"/>
    <w:rsid w:val="003B4671"/>
    <w:rsid w:val="003B46EE"/>
    <w:rsid w:val="003B4A42"/>
    <w:rsid w:val="003B4BD0"/>
    <w:rsid w:val="003B4C5F"/>
    <w:rsid w:val="003B4D7C"/>
    <w:rsid w:val="003B50EB"/>
    <w:rsid w:val="003B54A3"/>
    <w:rsid w:val="003B581E"/>
    <w:rsid w:val="003B5989"/>
    <w:rsid w:val="003B5AB1"/>
    <w:rsid w:val="003B5B58"/>
    <w:rsid w:val="003B5D2A"/>
    <w:rsid w:val="003B5D79"/>
    <w:rsid w:val="003B5E90"/>
    <w:rsid w:val="003B5EAA"/>
    <w:rsid w:val="003B5F09"/>
    <w:rsid w:val="003B5FA3"/>
    <w:rsid w:val="003B60B3"/>
    <w:rsid w:val="003B61D7"/>
    <w:rsid w:val="003B61D8"/>
    <w:rsid w:val="003B6297"/>
    <w:rsid w:val="003B676C"/>
    <w:rsid w:val="003B69AA"/>
    <w:rsid w:val="003B6A4B"/>
    <w:rsid w:val="003B6B23"/>
    <w:rsid w:val="003B6B7A"/>
    <w:rsid w:val="003B6CBC"/>
    <w:rsid w:val="003B6E39"/>
    <w:rsid w:val="003B6E61"/>
    <w:rsid w:val="003B6E75"/>
    <w:rsid w:val="003B6F47"/>
    <w:rsid w:val="003B70CF"/>
    <w:rsid w:val="003B7194"/>
    <w:rsid w:val="003B7198"/>
    <w:rsid w:val="003B7339"/>
    <w:rsid w:val="003B741E"/>
    <w:rsid w:val="003B77D5"/>
    <w:rsid w:val="003B78B7"/>
    <w:rsid w:val="003B78BE"/>
    <w:rsid w:val="003B7A15"/>
    <w:rsid w:val="003B7AAD"/>
    <w:rsid w:val="003B7D8F"/>
    <w:rsid w:val="003B7E3D"/>
    <w:rsid w:val="003C0052"/>
    <w:rsid w:val="003C0083"/>
    <w:rsid w:val="003C0100"/>
    <w:rsid w:val="003C010C"/>
    <w:rsid w:val="003C0364"/>
    <w:rsid w:val="003C03FF"/>
    <w:rsid w:val="003C0563"/>
    <w:rsid w:val="003C077A"/>
    <w:rsid w:val="003C0D64"/>
    <w:rsid w:val="003C0F20"/>
    <w:rsid w:val="003C0F7F"/>
    <w:rsid w:val="003C1222"/>
    <w:rsid w:val="003C12A0"/>
    <w:rsid w:val="003C12A9"/>
    <w:rsid w:val="003C14B7"/>
    <w:rsid w:val="003C14BA"/>
    <w:rsid w:val="003C172F"/>
    <w:rsid w:val="003C1765"/>
    <w:rsid w:val="003C17A3"/>
    <w:rsid w:val="003C18F2"/>
    <w:rsid w:val="003C197F"/>
    <w:rsid w:val="003C1A0A"/>
    <w:rsid w:val="003C1B70"/>
    <w:rsid w:val="003C1D7D"/>
    <w:rsid w:val="003C1F16"/>
    <w:rsid w:val="003C1F3D"/>
    <w:rsid w:val="003C2297"/>
    <w:rsid w:val="003C24BB"/>
    <w:rsid w:val="003C2543"/>
    <w:rsid w:val="003C26FB"/>
    <w:rsid w:val="003C272B"/>
    <w:rsid w:val="003C2B09"/>
    <w:rsid w:val="003C2CA4"/>
    <w:rsid w:val="003C2CAF"/>
    <w:rsid w:val="003C2CF9"/>
    <w:rsid w:val="003C2DC5"/>
    <w:rsid w:val="003C2E35"/>
    <w:rsid w:val="003C2F18"/>
    <w:rsid w:val="003C312D"/>
    <w:rsid w:val="003C3237"/>
    <w:rsid w:val="003C33F4"/>
    <w:rsid w:val="003C3426"/>
    <w:rsid w:val="003C3596"/>
    <w:rsid w:val="003C37AF"/>
    <w:rsid w:val="003C392C"/>
    <w:rsid w:val="003C3955"/>
    <w:rsid w:val="003C39C6"/>
    <w:rsid w:val="003C3A6F"/>
    <w:rsid w:val="003C3AE7"/>
    <w:rsid w:val="003C3B31"/>
    <w:rsid w:val="003C3FB5"/>
    <w:rsid w:val="003C40D0"/>
    <w:rsid w:val="003C4174"/>
    <w:rsid w:val="003C41EF"/>
    <w:rsid w:val="003C4302"/>
    <w:rsid w:val="003C44DC"/>
    <w:rsid w:val="003C454F"/>
    <w:rsid w:val="003C4564"/>
    <w:rsid w:val="003C46BC"/>
    <w:rsid w:val="003C4740"/>
    <w:rsid w:val="003C4854"/>
    <w:rsid w:val="003C48A6"/>
    <w:rsid w:val="003C4B21"/>
    <w:rsid w:val="003C4D7C"/>
    <w:rsid w:val="003C4E98"/>
    <w:rsid w:val="003C4EBA"/>
    <w:rsid w:val="003C4EF0"/>
    <w:rsid w:val="003C4FD9"/>
    <w:rsid w:val="003C4FF6"/>
    <w:rsid w:val="003C5169"/>
    <w:rsid w:val="003C579B"/>
    <w:rsid w:val="003C57A8"/>
    <w:rsid w:val="003C59C0"/>
    <w:rsid w:val="003C5B5E"/>
    <w:rsid w:val="003C5D5D"/>
    <w:rsid w:val="003C5F21"/>
    <w:rsid w:val="003C6055"/>
    <w:rsid w:val="003C6078"/>
    <w:rsid w:val="003C60C9"/>
    <w:rsid w:val="003C61AB"/>
    <w:rsid w:val="003C6208"/>
    <w:rsid w:val="003C6253"/>
    <w:rsid w:val="003C62AC"/>
    <w:rsid w:val="003C644F"/>
    <w:rsid w:val="003C6535"/>
    <w:rsid w:val="003C66B2"/>
    <w:rsid w:val="003C672D"/>
    <w:rsid w:val="003C698B"/>
    <w:rsid w:val="003C69F5"/>
    <w:rsid w:val="003C6ACA"/>
    <w:rsid w:val="003C6AF3"/>
    <w:rsid w:val="003C6BB1"/>
    <w:rsid w:val="003C6CF9"/>
    <w:rsid w:val="003C6D64"/>
    <w:rsid w:val="003C6D72"/>
    <w:rsid w:val="003C71CC"/>
    <w:rsid w:val="003C7320"/>
    <w:rsid w:val="003C74D8"/>
    <w:rsid w:val="003C7571"/>
    <w:rsid w:val="003C76B4"/>
    <w:rsid w:val="003C7807"/>
    <w:rsid w:val="003C7A8B"/>
    <w:rsid w:val="003C7ADF"/>
    <w:rsid w:val="003C7BDF"/>
    <w:rsid w:val="003C7D14"/>
    <w:rsid w:val="003C7D15"/>
    <w:rsid w:val="003C7E0C"/>
    <w:rsid w:val="003D00AF"/>
    <w:rsid w:val="003D0166"/>
    <w:rsid w:val="003D02CD"/>
    <w:rsid w:val="003D04C3"/>
    <w:rsid w:val="003D0573"/>
    <w:rsid w:val="003D05D5"/>
    <w:rsid w:val="003D073F"/>
    <w:rsid w:val="003D0971"/>
    <w:rsid w:val="003D09E4"/>
    <w:rsid w:val="003D0B53"/>
    <w:rsid w:val="003D0B55"/>
    <w:rsid w:val="003D0CCF"/>
    <w:rsid w:val="003D114F"/>
    <w:rsid w:val="003D1232"/>
    <w:rsid w:val="003D123C"/>
    <w:rsid w:val="003D142B"/>
    <w:rsid w:val="003D1467"/>
    <w:rsid w:val="003D14B7"/>
    <w:rsid w:val="003D18A1"/>
    <w:rsid w:val="003D196A"/>
    <w:rsid w:val="003D1CA6"/>
    <w:rsid w:val="003D1CBB"/>
    <w:rsid w:val="003D2067"/>
    <w:rsid w:val="003D2104"/>
    <w:rsid w:val="003D216A"/>
    <w:rsid w:val="003D27B8"/>
    <w:rsid w:val="003D27C0"/>
    <w:rsid w:val="003D282F"/>
    <w:rsid w:val="003D29D8"/>
    <w:rsid w:val="003D2B06"/>
    <w:rsid w:val="003D2CA0"/>
    <w:rsid w:val="003D2D03"/>
    <w:rsid w:val="003D2DEF"/>
    <w:rsid w:val="003D2EE8"/>
    <w:rsid w:val="003D2F9A"/>
    <w:rsid w:val="003D31BC"/>
    <w:rsid w:val="003D3229"/>
    <w:rsid w:val="003D3277"/>
    <w:rsid w:val="003D35A6"/>
    <w:rsid w:val="003D35F1"/>
    <w:rsid w:val="003D3621"/>
    <w:rsid w:val="003D365E"/>
    <w:rsid w:val="003D3696"/>
    <w:rsid w:val="003D36BE"/>
    <w:rsid w:val="003D37B9"/>
    <w:rsid w:val="003D37C3"/>
    <w:rsid w:val="003D39D9"/>
    <w:rsid w:val="003D3BA7"/>
    <w:rsid w:val="003D3C4D"/>
    <w:rsid w:val="003D3C9C"/>
    <w:rsid w:val="003D3F20"/>
    <w:rsid w:val="003D3F7B"/>
    <w:rsid w:val="003D4006"/>
    <w:rsid w:val="003D40ED"/>
    <w:rsid w:val="003D419F"/>
    <w:rsid w:val="003D41FE"/>
    <w:rsid w:val="003D428D"/>
    <w:rsid w:val="003D42D2"/>
    <w:rsid w:val="003D4387"/>
    <w:rsid w:val="003D4401"/>
    <w:rsid w:val="003D444D"/>
    <w:rsid w:val="003D4603"/>
    <w:rsid w:val="003D466F"/>
    <w:rsid w:val="003D474C"/>
    <w:rsid w:val="003D47C2"/>
    <w:rsid w:val="003D493F"/>
    <w:rsid w:val="003D4983"/>
    <w:rsid w:val="003D4AB3"/>
    <w:rsid w:val="003D4B1A"/>
    <w:rsid w:val="003D4B1E"/>
    <w:rsid w:val="003D4D25"/>
    <w:rsid w:val="003D4DD6"/>
    <w:rsid w:val="003D4E72"/>
    <w:rsid w:val="003D4F06"/>
    <w:rsid w:val="003D4F26"/>
    <w:rsid w:val="003D51F6"/>
    <w:rsid w:val="003D5387"/>
    <w:rsid w:val="003D538C"/>
    <w:rsid w:val="003D53C4"/>
    <w:rsid w:val="003D54EC"/>
    <w:rsid w:val="003D5632"/>
    <w:rsid w:val="003D5692"/>
    <w:rsid w:val="003D577F"/>
    <w:rsid w:val="003D58AC"/>
    <w:rsid w:val="003D59E3"/>
    <w:rsid w:val="003D5AF8"/>
    <w:rsid w:val="003D5B8B"/>
    <w:rsid w:val="003D5C70"/>
    <w:rsid w:val="003D5CEB"/>
    <w:rsid w:val="003D5E2B"/>
    <w:rsid w:val="003D5FC4"/>
    <w:rsid w:val="003D6107"/>
    <w:rsid w:val="003D619C"/>
    <w:rsid w:val="003D626D"/>
    <w:rsid w:val="003D6559"/>
    <w:rsid w:val="003D65AB"/>
    <w:rsid w:val="003D6649"/>
    <w:rsid w:val="003D66D7"/>
    <w:rsid w:val="003D675C"/>
    <w:rsid w:val="003D6783"/>
    <w:rsid w:val="003D67BA"/>
    <w:rsid w:val="003D69E2"/>
    <w:rsid w:val="003D6B49"/>
    <w:rsid w:val="003D6CEE"/>
    <w:rsid w:val="003D6E3D"/>
    <w:rsid w:val="003D70F7"/>
    <w:rsid w:val="003D73E6"/>
    <w:rsid w:val="003D7677"/>
    <w:rsid w:val="003D7A91"/>
    <w:rsid w:val="003D7B25"/>
    <w:rsid w:val="003D7C1C"/>
    <w:rsid w:val="003D7D3F"/>
    <w:rsid w:val="003D7DA9"/>
    <w:rsid w:val="003D7E81"/>
    <w:rsid w:val="003D7F34"/>
    <w:rsid w:val="003D7FBD"/>
    <w:rsid w:val="003E00F3"/>
    <w:rsid w:val="003E0143"/>
    <w:rsid w:val="003E01C3"/>
    <w:rsid w:val="003E0475"/>
    <w:rsid w:val="003E0542"/>
    <w:rsid w:val="003E070C"/>
    <w:rsid w:val="003E0AA8"/>
    <w:rsid w:val="003E0C42"/>
    <w:rsid w:val="003E0C9E"/>
    <w:rsid w:val="003E0CB1"/>
    <w:rsid w:val="003E0ED2"/>
    <w:rsid w:val="003E0EE5"/>
    <w:rsid w:val="003E0F08"/>
    <w:rsid w:val="003E123A"/>
    <w:rsid w:val="003E144D"/>
    <w:rsid w:val="003E15EF"/>
    <w:rsid w:val="003E1615"/>
    <w:rsid w:val="003E1625"/>
    <w:rsid w:val="003E1685"/>
    <w:rsid w:val="003E16B5"/>
    <w:rsid w:val="003E183E"/>
    <w:rsid w:val="003E1904"/>
    <w:rsid w:val="003E1A1F"/>
    <w:rsid w:val="003E1AFC"/>
    <w:rsid w:val="003E1BEC"/>
    <w:rsid w:val="003E1C3B"/>
    <w:rsid w:val="003E1C92"/>
    <w:rsid w:val="003E1DFA"/>
    <w:rsid w:val="003E20F0"/>
    <w:rsid w:val="003E21D6"/>
    <w:rsid w:val="003E24A4"/>
    <w:rsid w:val="003E2504"/>
    <w:rsid w:val="003E2557"/>
    <w:rsid w:val="003E2861"/>
    <w:rsid w:val="003E28D8"/>
    <w:rsid w:val="003E2A2C"/>
    <w:rsid w:val="003E2DDF"/>
    <w:rsid w:val="003E2E21"/>
    <w:rsid w:val="003E334E"/>
    <w:rsid w:val="003E3376"/>
    <w:rsid w:val="003E3501"/>
    <w:rsid w:val="003E353C"/>
    <w:rsid w:val="003E3690"/>
    <w:rsid w:val="003E3697"/>
    <w:rsid w:val="003E36F2"/>
    <w:rsid w:val="003E3801"/>
    <w:rsid w:val="003E3A4B"/>
    <w:rsid w:val="003E3ABD"/>
    <w:rsid w:val="003E3AC1"/>
    <w:rsid w:val="003E3ACF"/>
    <w:rsid w:val="003E3EEA"/>
    <w:rsid w:val="003E4069"/>
    <w:rsid w:val="003E40C7"/>
    <w:rsid w:val="003E4195"/>
    <w:rsid w:val="003E433E"/>
    <w:rsid w:val="003E4385"/>
    <w:rsid w:val="003E44BE"/>
    <w:rsid w:val="003E457F"/>
    <w:rsid w:val="003E461B"/>
    <w:rsid w:val="003E4650"/>
    <w:rsid w:val="003E46C5"/>
    <w:rsid w:val="003E46EC"/>
    <w:rsid w:val="003E4763"/>
    <w:rsid w:val="003E4997"/>
    <w:rsid w:val="003E49BA"/>
    <w:rsid w:val="003E4A68"/>
    <w:rsid w:val="003E4AF7"/>
    <w:rsid w:val="003E4CBB"/>
    <w:rsid w:val="003E4D6A"/>
    <w:rsid w:val="003E4D8A"/>
    <w:rsid w:val="003E4EDA"/>
    <w:rsid w:val="003E509B"/>
    <w:rsid w:val="003E5207"/>
    <w:rsid w:val="003E5241"/>
    <w:rsid w:val="003E529B"/>
    <w:rsid w:val="003E5532"/>
    <w:rsid w:val="003E57CB"/>
    <w:rsid w:val="003E57E4"/>
    <w:rsid w:val="003E5886"/>
    <w:rsid w:val="003E58A0"/>
    <w:rsid w:val="003E5CC9"/>
    <w:rsid w:val="003E5DBF"/>
    <w:rsid w:val="003E61F0"/>
    <w:rsid w:val="003E6303"/>
    <w:rsid w:val="003E63C3"/>
    <w:rsid w:val="003E642E"/>
    <w:rsid w:val="003E65A9"/>
    <w:rsid w:val="003E669F"/>
    <w:rsid w:val="003E67BC"/>
    <w:rsid w:val="003E6A9F"/>
    <w:rsid w:val="003E6AD1"/>
    <w:rsid w:val="003E6F0D"/>
    <w:rsid w:val="003E7044"/>
    <w:rsid w:val="003E7074"/>
    <w:rsid w:val="003E70A2"/>
    <w:rsid w:val="003E70EB"/>
    <w:rsid w:val="003E745C"/>
    <w:rsid w:val="003E74F8"/>
    <w:rsid w:val="003E7535"/>
    <w:rsid w:val="003E76D9"/>
    <w:rsid w:val="003E7846"/>
    <w:rsid w:val="003E7870"/>
    <w:rsid w:val="003E7B54"/>
    <w:rsid w:val="003E7CDE"/>
    <w:rsid w:val="003E7F17"/>
    <w:rsid w:val="003E7F94"/>
    <w:rsid w:val="003F026B"/>
    <w:rsid w:val="003F02D7"/>
    <w:rsid w:val="003F0353"/>
    <w:rsid w:val="003F0699"/>
    <w:rsid w:val="003F06DA"/>
    <w:rsid w:val="003F07DB"/>
    <w:rsid w:val="003F093C"/>
    <w:rsid w:val="003F0A4C"/>
    <w:rsid w:val="003F0A8C"/>
    <w:rsid w:val="003F0C54"/>
    <w:rsid w:val="003F0C5C"/>
    <w:rsid w:val="003F0CB7"/>
    <w:rsid w:val="003F1066"/>
    <w:rsid w:val="003F1416"/>
    <w:rsid w:val="003F1564"/>
    <w:rsid w:val="003F1587"/>
    <w:rsid w:val="003F1614"/>
    <w:rsid w:val="003F164A"/>
    <w:rsid w:val="003F1660"/>
    <w:rsid w:val="003F1670"/>
    <w:rsid w:val="003F1679"/>
    <w:rsid w:val="003F18DE"/>
    <w:rsid w:val="003F1998"/>
    <w:rsid w:val="003F20F3"/>
    <w:rsid w:val="003F2346"/>
    <w:rsid w:val="003F2433"/>
    <w:rsid w:val="003F25EA"/>
    <w:rsid w:val="003F26E1"/>
    <w:rsid w:val="003F29F6"/>
    <w:rsid w:val="003F2E4C"/>
    <w:rsid w:val="003F2F1B"/>
    <w:rsid w:val="003F3250"/>
    <w:rsid w:val="003F34A6"/>
    <w:rsid w:val="003F34D8"/>
    <w:rsid w:val="003F3537"/>
    <w:rsid w:val="003F3553"/>
    <w:rsid w:val="003F374A"/>
    <w:rsid w:val="003F3A02"/>
    <w:rsid w:val="003F3B4C"/>
    <w:rsid w:val="003F3C77"/>
    <w:rsid w:val="003F3D12"/>
    <w:rsid w:val="003F3F06"/>
    <w:rsid w:val="003F3F90"/>
    <w:rsid w:val="003F3FD1"/>
    <w:rsid w:val="003F4070"/>
    <w:rsid w:val="003F40B9"/>
    <w:rsid w:val="003F4159"/>
    <w:rsid w:val="003F4296"/>
    <w:rsid w:val="003F44A3"/>
    <w:rsid w:val="003F470D"/>
    <w:rsid w:val="003F4798"/>
    <w:rsid w:val="003F497D"/>
    <w:rsid w:val="003F49BE"/>
    <w:rsid w:val="003F4AED"/>
    <w:rsid w:val="003F4B4B"/>
    <w:rsid w:val="003F4C7E"/>
    <w:rsid w:val="003F4E64"/>
    <w:rsid w:val="003F4EFC"/>
    <w:rsid w:val="003F4F11"/>
    <w:rsid w:val="003F515D"/>
    <w:rsid w:val="003F5164"/>
    <w:rsid w:val="003F51F8"/>
    <w:rsid w:val="003F52A9"/>
    <w:rsid w:val="003F558E"/>
    <w:rsid w:val="003F5986"/>
    <w:rsid w:val="003F5BCD"/>
    <w:rsid w:val="003F5C01"/>
    <w:rsid w:val="003F5C14"/>
    <w:rsid w:val="003F5C3B"/>
    <w:rsid w:val="003F5CBA"/>
    <w:rsid w:val="003F5D11"/>
    <w:rsid w:val="003F5D59"/>
    <w:rsid w:val="003F5DA3"/>
    <w:rsid w:val="003F5DC7"/>
    <w:rsid w:val="003F5E65"/>
    <w:rsid w:val="003F5E7C"/>
    <w:rsid w:val="003F5F1B"/>
    <w:rsid w:val="003F6698"/>
    <w:rsid w:val="003F67B7"/>
    <w:rsid w:val="003F68B8"/>
    <w:rsid w:val="003F6BA2"/>
    <w:rsid w:val="003F6E9F"/>
    <w:rsid w:val="003F706F"/>
    <w:rsid w:val="003F708C"/>
    <w:rsid w:val="003F71FA"/>
    <w:rsid w:val="003F7247"/>
    <w:rsid w:val="003F72C5"/>
    <w:rsid w:val="003F7560"/>
    <w:rsid w:val="003F76DB"/>
    <w:rsid w:val="003F77F2"/>
    <w:rsid w:val="003F7ABC"/>
    <w:rsid w:val="003F7ADA"/>
    <w:rsid w:val="003F7B40"/>
    <w:rsid w:val="003F7CB2"/>
    <w:rsid w:val="003F7DA0"/>
    <w:rsid w:val="003F7F27"/>
    <w:rsid w:val="0040002E"/>
    <w:rsid w:val="0040003E"/>
    <w:rsid w:val="00400055"/>
    <w:rsid w:val="0040005E"/>
    <w:rsid w:val="00400264"/>
    <w:rsid w:val="00400284"/>
    <w:rsid w:val="004002AE"/>
    <w:rsid w:val="004002D1"/>
    <w:rsid w:val="004002EB"/>
    <w:rsid w:val="0040039D"/>
    <w:rsid w:val="0040045D"/>
    <w:rsid w:val="00400476"/>
    <w:rsid w:val="004004F6"/>
    <w:rsid w:val="00400506"/>
    <w:rsid w:val="004007A5"/>
    <w:rsid w:val="00400800"/>
    <w:rsid w:val="0040080D"/>
    <w:rsid w:val="00400C46"/>
    <w:rsid w:val="00400D02"/>
    <w:rsid w:val="00400D55"/>
    <w:rsid w:val="00400D9F"/>
    <w:rsid w:val="00400DE1"/>
    <w:rsid w:val="00400DF8"/>
    <w:rsid w:val="00400E55"/>
    <w:rsid w:val="00400E5C"/>
    <w:rsid w:val="00400F1F"/>
    <w:rsid w:val="00400FF1"/>
    <w:rsid w:val="00401108"/>
    <w:rsid w:val="00401145"/>
    <w:rsid w:val="00401275"/>
    <w:rsid w:val="00401300"/>
    <w:rsid w:val="0040130E"/>
    <w:rsid w:val="004014C9"/>
    <w:rsid w:val="00401568"/>
    <w:rsid w:val="00401578"/>
    <w:rsid w:val="004016B2"/>
    <w:rsid w:val="0040181A"/>
    <w:rsid w:val="0040188F"/>
    <w:rsid w:val="004018B9"/>
    <w:rsid w:val="00401C3D"/>
    <w:rsid w:val="00401DFC"/>
    <w:rsid w:val="00401EAC"/>
    <w:rsid w:val="00401F7A"/>
    <w:rsid w:val="00401FE2"/>
    <w:rsid w:val="0040208D"/>
    <w:rsid w:val="004021A6"/>
    <w:rsid w:val="00402268"/>
    <w:rsid w:val="00402278"/>
    <w:rsid w:val="004022D0"/>
    <w:rsid w:val="004023D1"/>
    <w:rsid w:val="004024E7"/>
    <w:rsid w:val="0040254B"/>
    <w:rsid w:val="00402587"/>
    <w:rsid w:val="004026BC"/>
    <w:rsid w:val="0040273F"/>
    <w:rsid w:val="00402895"/>
    <w:rsid w:val="0040290F"/>
    <w:rsid w:val="00402A2E"/>
    <w:rsid w:val="00402A34"/>
    <w:rsid w:val="00402CA1"/>
    <w:rsid w:val="00402D0A"/>
    <w:rsid w:val="00402EEF"/>
    <w:rsid w:val="00402F64"/>
    <w:rsid w:val="004030A4"/>
    <w:rsid w:val="004030D4"/>
    <w:rsid w:val="0040311E"/>
    <w:rsid w:val="004032CF"/>
    <w:rsid w:val="004032DC"/>
    <w:rsid w:val="0040336B"/>
    <w:rsid w:val="0040336F"/>
    <w:rsid w:val="004035F3"/>
    <w:rsid w:val="00403655"/>
    <w:rsid w:val="00403657"/>
    <w:rsid w:val="0040365B"/>
    <w:rsid w:val="004038AB"/>
    <w:rsid w:val="00403928"/>
    <w:rsid w:val="00403B37"/>
    <w:rsid w:val="00403BBE"/>
    <w:rsid w:val="00403BDA"/>
    <w:rsid w:val="00403BFB"/>
    <w:rsid w:val="00403E5A"/>
    <w:rsid w:val="00404043"/>
    <w:rsid w:val="0040419B"/>
    <w:rsid w:val="004042DA"/>
    <w:rsid w:val="00404336"/>
    <w:rsid w:val="00404341"/>
    <w:rsid w:val="0040434C"/>
    <w:rsid w:val="004044D7"/>
    <w:rsid w:val="004045EE"/>
    <w:rsid w:val="00404655"/>
    <w:rsid w:val="004046C6"/>
    <w:rsid w:val="0040494B"/>
    <w:rsid w:val="00404B39"/>
    <w:rsid w:val="00404BEC"/>
    <w:rsid w:val="00404CB7"/>
    <w:rsid w:val="00404D0E"/>
    <w:rsid w:val="00404D4D"/>
    <w:rsid w:val="00404DE0"/>
    <w:rsid w:val="00404F4D"/>
    <w:rsid w:val="004050FD"/>
    <w:rsid w:val="0040519C"/>
    <w:rsid w:val="004051B5"/>
    <w:rsid w:val="004052BA"/>
    <w:rsid w:val="004056A2"/>
    <w:rsid w:val="00405780"/>
    <w:rsid w:val="004059AC"/>
    <w:rsid w:val="004059CD"/>
    <w:rsid w:val="00405B44"/>
    <w:rsid w:val="00405B50"/>
    <w:rsid w:val="00405BF8"/>
    <w:rsid w:val="00405C4B"/>
    <w:rsid w:val="00405F3A"/>
    <w:rsid w:val="00406048"/>
    <w:rsid w:val="0040608F"/>
    <w:rsid w:val="004061C4"/>
    <w:rsid w:val="004061CE"/>
    <w:rsid w:val="0040640D"/>
    <w:rsid w:val="00406460"/>
    <w:rsid w:val="004064B0"/>
    <w:rsid w:val="004065B1"/>
    <w:rsid w:val="00406681"/>
    <w:rsid w:val="004067CB"/>
    <w:rsid w:val="00406804"/>
    <w:rsid w:val="00406835"/>
    <w:rsid w:val="00406B2D"/>
    <w:rsid w:val="00406C89"/>
    <w:rsid w:val="00406F02"/>
    <w:rsid w:val="00407207"/>
    <w:rsid w:val="00407356"/>
    <w:rsid w:val="0040760A"/>
    <w:rsid w:val="004078B5"/>
    <w:rsid w:val="004078E9"/>
    <w:rsid w:val="004079E3"/>
    <w:rsid w:val="00407A44"/>
    <w:rsid w:val="00407C15"/>
    <w:rsid w:val="00407CCA"/>
    <w:rsid w:val="00407CE2"/>
    <w:rsid w:val="00407D5F"/>
    <w:rsid w:val="00407DBD"/>
    <w:rsid w:val="00407FB4"/>
    <w:rsid w:val="0041023D"/>
    <w:rsid w:val="004102D7"/>
    <w:rsid w:val="0041033A"/>
    <w:rsid w:val="00410440"/>
    <w:rsid w:val="0041059C"/>
    <w:rsid w:val="00410690"/>
    <w:rsid w:val="004106EC"/>
    <w:rsid w:val="004107FD"/>
    <w:rsid w:val="0041085F"/>
    <w:rsid w:val="00410946"/>
    <w:rsid w:val="00410D3C"/>
    <w:rsid w:val="00410EB4"/>
    <w:rsid w:val="00411168"/>
    <w:rsid w:val="00411433"/>
    <w:rsid w:val="00411555"/>
    <w:rsid w:val="004115EF"/>
    <w:rsid w:val="0041160F"/>
    <w:rsid w:val="004117D9"/>
    <w:rsid w:val="004118E3"/>
    <w:rsid w:val="0041193F"/>
    <w:rsid w:val="00411C19"/>
    <w:rsid w:val="00411CC5"/>
    <w:rsid w:val="00411EB2"/>
    <w:rsid w:val="00411FF6"/>
    <w:rsid w:val="00412019"/>
    <w:rsid w:val="004121C0"/>
    <w:rsid w:val="0041221B"/>
    <w:rsid w:val="00412335"/>
    <w:rsid w:val="0041233B"/>
    <w:rsid w:val="00412550"/>
    <w:rsid w:val="0041259A"/>
    <w:rsid w:val="004125E5"/>
    <w:rsid w:val="004126C6"/>
    <w:rsid w:val="00412818"/>
    <w:rsid w:val="00412984"/>
    <w:rsid w:val="004129F5"/>
    <w:rsid w:val="00412A24"/>
    <w:rsid w:val="00412B47"/>
    <w:rsid w:val="00412BDB"/>
    <w:rsid w:val="00412CC4"/>
    <w:rsid w:val="00412FF2"/>
    <w:rsid w:val="004130B8"/>
    <w:rsid w:val="00413242"/>
    <w:rsid w:val="00413246"/>
    <w:rsid w:val="004134D2"/>
    <w:rsid w:val="0041374F"/>
    <w:rsid w:val="00413775"/>
    <w:rsid w:val="004137D1"/>
    <w:rsid w:val="004137EB"/>
    <w:rsid w:val="00413861"/>
    <w:rsid w:val="004138AE"/>
    <w:rsid w:val="00413CBF"/>
    <w:rsid w:val="00413CD3"/>
    <w:rsid w:val="00413E6C"/>
    <w:rsid w:val="00413F12"/>
    <w:rsid w:val="00413F35"/>
    <w:rsid w:val="00413FD7"/>
    <w:rsid w:val="00413FF0"/>
    <w:rsid w:val="00414272"/>
    <w:rsid w:val="00414458"/>
    <w:rsid w:val="00414469"/>
    <w:rsid w:val="00414486"/>
    <w:rsid w:val="004145BD"/>
    <w:rsid w:val="00414665"/>
    <w:rsid w:val="004149DC"/>
    <w:rsid w:val="00414D25"/>
    <w:rsid w:val="00414D5E"/>
    <w:rsid w:val="00414DFE"/>
    <w:rsid w:val="00414EE8"/>
    <w:rsid w:val="00414F8A"/>
    <w:rsid w:val="0041513C"/>
    <w:rsid w:val="004153ED"/>
    <w:rsid w:val="004155A9"/>
    <w:rsid w:val="004155B1"/>
    <w:rsid w:val="004155BB"/>
    <w:rsid w:val="004155DC"/>
    <w:rsid w:val="004156B5"/>
    <w:rsid w:val="00415707"/>
    <w:rsid w:val="0041570B"/>
    <w:rsid w:val="00415779"/>
    <w:rsid w:val="00415AC0"/>
    <w:rsid w:val="00415C1F"/>
    <w:rsid w:val="00415C98"/>
    <w:rsid w:val="00415CB3"/>
    <w:rsid w:val="00415CEB"/>
    <w:rsid w:val="00415D6E"/>
    <w:rsid w:val="00415FE2"/>
    <w:rsid w:val="0041601A"/>
    <w:rsid w:val="0041630A"/>
    <w:rsid w:val="00416363"/>
    <w:rsid w:val="004163FA"/>
    <w:rsid w:val="00416499"/>
    <w:rsid w:val="004164BF"/>
    <w:rsid w:val="00416712"/>
    <w:rsid w:val="00416764"/>
    <w:rsid w:val="004167CA"/>
    <w:rsid w:val="004167FD"/>
    <w:rsid w:val="0041687E"/>
    <w:rsid w:val="004168F8"/>
    <w:rsid w:val="0041699E"/>
    <w:rsid w:val="004169E9"/>
    <w:rsid w:val="00416FF1"/>
    <w:rsid w:val="004170CA"/>
    <w:rsid w:val="0041726A"/>
    <w:rsid w:val="0041738C"/>
    <w:rsid w:val="0041741D"/>
    <w:rsid w:val="004175FA"/>
    <w:rsid w:val="00417683"/>
    <w:rsid w:val="004176F8"/>
    <w:rsid w:val="00417793"/>
    <w:rsid w:val="00417860"/>
    <w:rsid w:val="00417B52"/>
    <w:rsid w:val="00417D81"/>
    <w:rsid w:val="00417D9D"/>
    <w:rsid w:val="00417DEA"/>
    <w:rsid w:val="00417E78"/>
    <w:rsid w:val="00417E7F"/>
    <w:rsid w:val="00417F63"/>
    <w:rsid w:val="00420057"/>
    <w:rsid w:val="00420363"/>
    <w:rsid w:val="0042063A"/>
    <w:rsid w:val="004206E0"/>
    <w:rsid w:val="004209EE"/>
    <w:rsid w:val="00420CD1"/>
    <w:rsid w:val="00420D87"/>
    <w:rsid w:val="00420DA0"/>
    <w:rsid w:val="00420DB0"/>
    <w:rsid w:val="00420F55"/>
    <w:rsid w:val="00421037"/>
    <w:rsid w:val="00421044"/>
    <w:rsid w:val="00421274"/>
    <w:rsid w:val="004217BC"/>
    <w:rsid w:val="004217D2"/>
    <w:rsid w:val="00421850"/>
    <w:rsid w:val="0042187C"/>
    <w:rsid w:val="00421919"/>
    <w:rsid w:val="004219E7"/>
    <w:rsid w:val="00421BB3"/>
    <w:rsid w:val="00421CCE"/>
    <w:rsid w:val="00421DFB"/>
    <w:rsid w:val="00421EA8"/>
    <w:rsid w:val="00422033"/>
    <w:rsid w:val="00422057"/>
    <w:rsid w:val="004220A0"/>
    <w:rsid w:val="004222D2"/>
    <w:rsid w:val="004223BE"/>
    <w:rsid w:val="00422568"/>
    <w:rsid w:val="00422605"/>
    <w:rsid w:val="00422669"/>
    <w:rsid w:val="004226C2"/>
    <w:rsid w:val="00422973"/>
    <w:rsid w:val="00422CD5"/>
    <w:rsid w:val="00422E79"/>
    <w:rsid w:val="00422EEB"/>
    <w:rsid w:val="00422F60"/>
    <w:rsid w:val="0042315B"/>
    <w:rsid w:val="00423236"/>
    <w:rsid w:val="0042327A"/>
    <w:rsid w:val="0042327D"/>
    <w:rsid w:val="0042346F"/>
    <w:rsid w:val="0042355A"/>
    <w:rsid w:val="004236F4"/>
    <w:rsid w:val="00423889"/>
    <w:rsid w:val="00423A47"/>
    <w:rsid w:val="00423AB0"/>
    <w:rsid w:val="00423BFB"/>
    <w:rsid w:val="00423C90"/>
    <w:rsid w:val="00423D4C"/>
    <w:rsid w:val="004240AA"/>
    <w:rsid w:val="0042412E"/>
    <w:rsid w:val="00424406"/>
    <w:rsid w:val="0042444B"/>
    <w:rsid w:val="0042449F"/>
    <w:rsid w:val="00424506"/>
    <w:rsid w:val="00424512"/>
    <w:rsid w:val="00424694"/>
    <w:rsid w:val="004247C7"/>
    <w:rsid w:val="00424978"/>
    <w:rsid w:val="00424A14"/>
    <w:rsid w:val="00424A9B"/>
    <w:rsid w:val="00424DC9"/>
    <w:rsid w:val="00424EFD"/>
    <w:rsid w:val="00425240"/>
    <w:rsid w:val="00425409"/>
    <w:rsid w:val="00425572"/>
    <w:rsid w:val="004255DF"/>
    <w:rsid w:val="004257F5"/>
    <w:rsid w:val="004258D4"/>
    <w:rsid w:val="00425912"/>
    <w:rsid w:val="00425AEA"/>
    <w:rsid w:val="00425B6F"/>
    <w:rsid w:val="00425D74"/>
    <w:rsid w:val="00425ED9"/>
    <w:rsid w:val="004260C7"/>
    <w:rsid w:val="004260D3"/>
    <w:rsid w:val="004260FE"/>
    <w:rsid w:val="00426115"/>
    <w:rsid w:val="004261C5"/>
    <w:rsid w:val="00426394"/>
    <w:rsid w:val="004263C6"/>
    <w:rsid w:val="004264EF"/>
    <w:rsid w:val="00426719"/>
    <w:rsid w:val="0042680E"/>
    <w:rsid w:val="0042686A"/>
    <w:rsid w:val="004268A9"/>
    <w:rsid w:val="00426975"/>
    <w:rsid w:val="004269C5"/>
    <w:rsid w:val="00426A44"/>
    <w:rsid w:val="00426A75"/>
    <w:rsid w:val="00426BCA"/>
    <w:rsid w:val="00426C48"/>
    <w:rsid w:val="00426D30"/>
    <w:rsid w:val="00426E04"/>
    <w:rsid w:val="00426EA3"/>
    <w:rsid w:val="00426F16"/>
    <w:rsid w:val="00426FF3"/>
    <w:rsid w:val="004272E6"/>
    <w:rsid w:val="004274BF"/>
    <w:rsid w:val="004277C2"/>
    <w:rsid w:val="004278B2"/>
    <w:rsid w:val="004279A1"/>
    <w:rsid w:val="004279BF"/>
    <w:rsid w:val="004279E4"/>
    <w:rsid w:val="004279F0"/>
    <w:rsid w:val="00427BDD"/>
    <w:rsid w:val="00427CDF"/>
    <w:rsid w:val="00427DE6"/>
    <w:rsid w:val="00427E1F"/>
    <w:rsid w:val="004300CA"/>
    <w:rsid w:val="00430133"/>
    <w:rsid w:val="004301AB"/>
    <w:rsid w:val="00430261"/>
    <w:rsid w:val="0043039C"/>
    <w:rsid w:val="00430486"/>
    <w:rsid w:val="004304AC"/>
    <w:rsid w:val="004306CA"/>
    <w:rsid w:val="00430735"/>
    <w:rsid w:val="00430763"/>
    <w:rsid w:val="00430978"/>
    <w:rsid w:val="00430C8E"/>
    <w:rsid w:val="00430D3C"/>
    <w:rsid w:val="00430D4D"/>
    <w:rsid w:val="00430DEB"/>
    <w:rsid w:val="00430E78"/>
    <w:rsid w:val="004311A1"/>
    <w:rsid w:val="00431372"/>
    <w:rsid w:val="00431436"/>
    <w:rsid w:val="0043159B"/>
    <w:rsid w:val="00431748"/>
    <w:rsid w:val="0043184E"/>
    <w:rsid w:val="0043199F"/>
    <w:rsid w:val="00431AEA"/>
    <w:rsid w:val="00431BD6"/>
    <w:rsid w:val="00431CEC"/>
    <w:rsid w:val="00431D44"/>
    <w:rsid w:val="00431D75"/>
    <w:rsid w:val="00431F60"/>
    <w:rsid w:val="004321A0"/>
    <w:rsid w:val="004323AD"/>
    <w:rsid w:val="0043240C"/>
    <w:rsid w:val="0043252E"/>
    <w:rsid w:val="00432593"/>
    <w:rsid w:val="004325E5"/>
    <w:rsid w:val="00432672"/>
    <w:rsid w:val="00432759"/>
    <w:rsid w:val="00432773"/>
    <w:rsid w:val="004328ED"/>
    <w:rsid w:val="00432970"/>
    <w:rsid w:val="00432A6D"/>
    <w:rsid w:val="00432CA4"/>
    <w:rsid w:val="00432CAD"/>
    <w:rsid w:val="00432E1F"/>
    <w:rsid w:val="00433002"/>
    <w:rsid w:val="0043308A"/>
    <w:rsid w:val="004332B3"/>
    <w:rsid w:val="004333B5"/>
    <w:rsid w:val="00433406"/>
    <w:rsid w:val="00433472"/>
    <w:rsid w:val="00433508"/>
    <w:rsid w:val="0043354A"/>
    <w:rsid w:val="004336FB"/>
    <w:rsid w:val="0043374E"/>
    <w:rsid w:val="004337E4"/>
    <w:rsid w:val="0043399E"/>
    <w:rsid w:val="00433BF2"/>
    <w:rsid w:val="00433CF8"/>
    <w:rsid w:val="00433D73"/>
    <w:rsid w:val="00433EFB"/>
    <w:rsid w:val="00433FC4"/>
    <w:rsid w:val="00434423"/>
    <w:rsid w:val="004344EB"/>
    <w:rsid w:val="0043462C"/>
    <w:rsid w:val="004346E7"/>
    <w:rsid w:val="004347CC"/>
    <w:rsid w:val="004347E8"/>
    <w:rsid w:val="0043496E"/>
    <w:rsid w:val="00434BD6"/>
    <w:rsid w:val="00434D27"/>
    <w:rsid w:val="00434F26"/>
    <w:rsid w:val="00434FFB"/>
    <w:rsid w:val="00435266"/>
    <w:rsid w:val="00435376"/>
    <w:rsid w:val="00435548"/>
    <w:rsid w:val="004356DA"/>
    <w:rsid w:val="004357C6"/>
    <w:rsid w:val="004357F7"/>
    <w:rsid w:val="00435C10"/>
    <w:rsid w:val="00435CE7"/>
    <w:rsid w:val="00435E2B"/>
    <w:rsid w:val="00435E5C"/>
    <w:rsid w:val="00435EC3"/>
    <w:rsid w:val="00435ECA"/>
    <w:rsid w:val="004363A3"/>
    <w:rsid w:val="0043644A"/>
    <w:rsid w:val="004364E8"/>
    <w:rsid w:val="004366DC"/>
    <w:rsid w:val="00436901"/>
    <w:rsid w:val="00436A5E"/>
    <w:rsid w:val="00436AC3"/>
    <w:rsid w:val="00436D63"/>
    <w:rsid w:val="00436F83"/>
    <w:rsid w:val="00436F85"/>
    <w:rsid w:val="00436FC6"/>
    <w:rsid w:val="0043717E"/>
    <w:rsid w:val="00437266"/>
    <w:rsid w:val="004373B3"/>
    <w:rsid w:val="00437409"/>
    <w:rsid w:val="00437586"/>
    <w:rsid w:val="004376D2"/>
    <w:rsid w:val="00437704"/>
    <w:rsid w:val="004379E8"/>
    <w:rsid w:val="00437C84"/>
    <w:rsid w:val="00437D22"/>
    <w:rsid w:val="004400F3"/>
    <w:rsid w:val="00440203"/>
    <w:rsid w:val="00440379"/>
    <w:rsid w:val="00440746"/>
    <w:rsid w:val="0044084D"/>
    <w:rsid w:val="004408A9"/>
    <w:rsid w:val="00440947"/>
    <w:rsid w:val="00440961"/>
    <w:rsid w:val="00440BD7"/>
    <w:rsid w:val="00440C0F"/>
    <w:rsid w:val="00440D4B"/>
    <w:rsid w:val="00440D8B"/>
    <w:rsid w:val="00440D8E"/>
    <w:rsid w:val="00440F76"/>
    <w:rsid w:val="0044118D"/>
    <w:rsid w:val="004411F0"/>
    <w:rsid w:val="00441786"/>
    <w:rsid w:val="00441986"/>
    <w:rsid w:val="00441B1C"/>
    <w:rsid w:val="00441BB5"/>
    <w:rsid w:val="00441C28"/>
    <w:rsid w:val="00441CB0"/>
    <w:rsid w:val="00441D7D"/>
    <w:rsid w:val="00441DD8"/>
    <w:rsid w:val="00441EAD"/>
    <w:rsid w:val="00441F4D"/>
    <w:rsid w:val="00441F8D"/>
    <w:rsid w:val="0044223A"/>
    <w:rsid w:val="00442363"/>
    <w:rsid w:val="00442561"/>
    <w:rsid w:val="0044258D"/>
    <w:rsid w:val="004425E4"/>
    <w:rsid w:val="0044264F"/>
    <w:rsid w:val="0044265A"/>
    <w:rsid w:val="004427AD"/>
    <w:rsid w:val="0044283C"/>
    <w:rsid w:val="004428AF"/>
    <w:rsid w:val="0044295A"/>
    <w:rsid w:val="004429E8"/>
    <w:rsid w:val="00442ABB"/>
    <w:rsid w:val="00442B28"/>
    <w:rsid w:val="00442C04"/>
    <w:rsid w:val="00442DF6"/>
    <w:rsid w:val="00442E38"/>
    <w:rsid w:val="00442E72"/>
    <w:rsid w:val="00442F37"/>
    <w:rsid w:val="0044314A"/>
    <w:rsid w:val="0044314C"/>
    <w:rsid w:val="00443287"/>
    <w:rsid w:val="00443289"/>
    <w:rsid w:val="00443331"/>
    <w:rsid w:val="0044339E"/>
    <w:rsid w:val="00443450"/>
    <w:rsid w:val="004434A5"/>
    <w:rsid w:val="004435F9"/>
    <w:rsid w:val="00443980"/>
    <w:rsid w:val="00443B07"/>
    <w:rsid w:val="00443BF2"/>
    <w:rsid w:val="00443CA9"/>
    <w:rsid w:val="00443CED"/>
    <w:rsid w:val="00443DA7"/>
    <w:rsid w:val="00443FF4"/>
    <w:rsid w:val="0044406B"/>
    <w:rsid w:val="004441C8"/>
    <w:rsid w:val="00444243"/>
    <w:rsid w:val="004443C1"/>
    <w:rsid w:val="0044465D"/>
    <w:rsid w:val="0044478B"/>
    <w:rsid w:val="004447C4"/>
    <w:rsid w:val="00444908"/>
    <w:rsid w:val="0044497F"/>
    <w:rsid w:val="00444A4E"/>
    <w:rsid w:val="00444BCC"/>
    <w:rsid w:val="00444BF2"/>
    <w:rsid w:val="00444DD4"/>
    <w:rsid w:val="00444E8A"/>
    <w:rsid w:val="00444F91"/>
    <w:rsid w:val="0044503D"/>
    <w:rsid w:val="00445158"/>
    <w:rsid w:val="004451C3"/>
    <w:rsid w:val="004451FF"/>
    <w:rsid w:val="00445272"/>
    <w:rsid w:val="0044527E"/>
    <w:rsid w:val="004452A9"/>
    <w:rsid w:val="00445432"/>
    <w:rsid w:val="00445503"/>
    <w:rsid w:val="0044552F"/>
    <w:rsid w:val="00445779"/>
    <w:rsid w:val="004458F4"/>
    <w:rsid w:val="00445A1F"/>
    <w:rsid w:val="00445A78"/>
    <w:rsid w:val="00445B0F"/>
    <w:rsid w:val="00445B30"/>
    <w:rsid w:val="00445B5D"/>
    <w:rsid w:val="00445D62"/>
    <w:rsid w:val="00445F9D"/>
    <w:rsid w:val="004460B7"/>
    <w:rsid w:val="00446157"/>
    <w:rsid w:val="004461AF"/>
    <w:rsid w:val="00446301"/>
    <w:rsid w:val="004463BC"/>
    <w:rsid w:val="00446457"/>
    <w:rsid w:val="004464E6"/>
    <w:rsid w:val="004465B1"/>
    <w:rsid w:val="00446877"/>
    <w:rsid w:val="004468CB"/>
    <w:rsid w:val="00446B4E"/>
    <w:rsid w:val="00446C5A"/>
    <w:rsid w:val="00446ED6"/>
    <w:rsid w:val="0044708B"/>
    <w:rsid w:val="00447118"/>
    <w:rsid w:val="00447156"/>
    <w:rsid w:val="004471AE"/>
    <w:rsid w:val="0044759A"/>
    <w:rsid w:val="004475A5"/>
    <w:rsid w:val="004475CE"/>
    <w:rsid w:val="0044761A"/>
    <w:rsid w:val="0044763E"/>
    <w:rsid w:val="0044769A"/>
    <w:rsid w:val="004476C2"/>
    <w:rsid w:val="0044783E"/>
    <w:rsid w:val="00447984"/>
    <w:rsid w:val="004479A5"/>
    <w:rsid w:val="00447A1E"/>
    <w:rsid w:val="00447B8A"/>
    <w:rsid w:val="00447C6A"/>
    <w:rsid w:val="00447E91"/>
    <w:rsid w:val="004502D2"/>
    <w:rsid w:val="004504D2"/>
    <w:rsid w:val="004505B5"/>
    <w:rsid w:val="0045071F"/>
    <w:rsid w:val="00450882"/>
    <w:rsid w:val="00450989"/>
    <w:rsid w:val="00450A48"/>
    <w:rsid w:val="00450A6D"/>
    <w:rsid w:val="00450C2C"/>
    <w:rsid w:val="00450F92"/>
    <w:rsid w:val="00450FA8"/>
    <w:rsid w:val="00451131"/>
    <w:rsid w:val="0045123F"/>
    <w:rsid w:val="0045125E"/>
    <w:rsid w:val="00451329"/>
    <w:rsid w:val="00451443"/>
    <w:rsid w:val="00451459"/>
    <w:rsid w:val="00451545"/>
    <w:rsid w:val="00451816"/>
    <w:rsid w:val="00451895"/>
    <w:rsid w:val="00451897"/>
    <w:rsid w:val="00451A8F"/>
    <w:rsid w:val="00451CD3"/>
    <w:rsid w:val="00451DC0"/>
    <w:rsid w:val="0045204F"/>
    <w:rsid w:val="00452088"/>
    <w:rsid w:val="0045209D"/>
    <w:rsid w:val="00452130"/>
    <w:rsid w:val="00452227"/>
    <w:rsid w:val="0045228E"/>
    <w:rsid w:val="0045230C"/>
    <w:rsid w:val="00452377"/>
    <w:rsid w:val="004523F0"/>
    <w:rsid w:val="00452465"/>
    <w:rsid w:val="004524DF"/>
    <w:rsid w:val="004524EE"/>
    <w:rsid w:val="004525FF"/>
    <w:rsid w:val="00452604"/>
    <w:rsid w:val="0045261B"/>
    <w:rsid w:val="0045266E"/>
    <w:rsid w:val="0045272D"/>
    <w:rsid w:val="0045297E"/>
    <w:rsid w:val="00452AE2"/>
    <w:rsid w:val="00452B70"/>
    <w:rsid w:val="00452E8C"/>
    <w:rsid w:val="00452FD6"/>
    <w:rsid w:val="0045302E"/>
    <w:rsid w:val="004532C0"/>
    <w:rsid w:val="00453371"/>
    <w:rsid w:val="004535A3"/>
    <w:rsid w:val="004536D5"/>
    <w:rsid w:val="00453835"/>
    <w:rsid w:val="0045394A"/>
    <w:rsid w:val="00453C88"/>
    <w:rsid w:val="00453CBD"/>
    <w:rsid w:val="00453D80"/>
    <w:rsid w:val="00453EDA"/>
    <w:rsid w:val="00453EEF"/>
    <w:rsid w:val="00453F60"/>
    <w:rsid w:val="00453F6C"/>
    <w:rsid w:val="00453FE8"/>
    <w:rsid w:val="0045413E"/>
    <w:rsid w:val="004543A6"/>
    <w:rsid w:val="004543FD"/>
    <w:rsid w:val="00454450"/>
    <w:rsid w:val="004544F0"/>
    <w:rsid w:val="00454546"/>
    <w:rsid w:val="00454587"/>
    <w:rsid w:val="00454706"/>
    <w:rsid w:val="00454727"/>
    <w:rsid w:val="00454741"/>
    <w:rsid w:val="00454761"/>
    <w:rsid w:val="00454B0F"/>
    <w:rsid w:val="00454C0F"/>
    <w:rsid w:val="00454C7B"/>
    <w:rsid w:val="00454CB4"/>
    <w:rsid w:val="00454CD6"/>
    <w:rsid w:val="00454DCE"/>
    <w:rsid w:val="00454ED5"/>
    <w:rsid w:val="00454F31"/>
    <w:rsid w:val="00454F4B"/>
    <w:rsid w:val="0045506D"/>
    <w:rsid w:val="004550D6"/>
    <w:rsid w:val="004552DF"/>
    <w:rsid w:val="004554CB"/>
    <w:rsid w:val="0045550A"/>
    <w:rsid w:val="0045557A"/>
    <w:rsid w:val="004557DD"/>
    <w:rsid w:val="00455897"/>
    <w:rsid w:val="004558C1"/>
    <w:rsid w:val="004559EC"/>
    <w:rsid w:val="00455C65"/>
    <w:rsid w:val="00455CA9"/>
    <w:rsid w:val="00455CAD"/>
    <w:rsid w:val="00455FA1"/>
    <w:rsid w:val="0045607C"/>
    <w:rsid w:val="004561F6"/>
    <w:rsid w:val="004562CE"/>
    <w:rsid w:val="004565E6"/>
    <w:rsid w:val="004566E6"/>
    <w:rsid w:val="004567D3"/>
    <w:rsid w:val="004567E7"/>
    <w:rsid w:val="004568D2"/>
    <w:rsid w:val="004568F3"/>
    <w:rsid w:val="00456920"/>
    <w:rsid w:val="00456988"/>
    <w:rsid w:val="004569C5"/>
    <w:rsid w:val="00456A9F"/>
    <w:rsid w:val="00456B2B"/>
    <w:rsid w:val="00456CBB"/>
    <w:rsid w:val="00456D1C"/>
    <w:rsid w:val="00456DCD"/>
    <w:rsid w:val="00456E0F"/>
    <w:rsid w:val="0045731B"/>
    <w:rsid w:val="00457552"/>
    <w:rsid w:val="00457695"/>
    <w:rsid w:val="0045772E"/>
    <w:rsid w:val="0045787A"/>
    <w:rsid w:val="004578BE"/>
    <w:rsid w:val="00457995"/>
    <w:rsid w:val="00457B31"/>
    <w:rsid w:val="00457C9E"/>
    <w:rsid w:val="00457D7D"/>
    <w:rsid w:val="00457D95"/>
    <w:rsid w:val="00457DEE"/>
    <w:rsid w:val="004600A6"/>
    <w:rsid w:val="004601CD"/>
    <w:rsid w:val="00460412"/>
    <w:rsid w:val="004604F6"/>
    <w:rsid w:val="0046059B"/>
    <w:rsid w:val="004606D1"/>
    <w:rsid w:val="0046078D"/>
    <w:rsid w:val="004608FF"/>
    <w:rsid w:val="004609D4"/>
    <w:rsid w:val="00460BC7"/>
    <w:rsid w:val="00460C46"/>
    <w:rsid w:val="00460CA6"/>
    <w:rsid w:val="00460CDC"/>
    <w:rsid w:val="00460D61"/>
    <w:rsid w:val="00460EC7"/>
    <w:rsid w:val="0046106E"/>
    <w:rsid w:val="00461125"/>
    <w:rsid w:val="00461134"/>
    <w:rsid w:val="0046114C"/>
    <w:rsid w:val="00461189"/>
    <w:rsid w:val="00461279"/>
    <w:rsid w:val="0046133A"/>
    <w:rsid w:val="00461405"/>
    <w:rsid w:val="0046140B"/>
    <w:rsid w:val="00461706"/>
    <w:rsid w:val="00461851"/>
    <w:rsid w:val="004618EE"/>
    <w:rsid w:val="00461A67"/>
    <w:rsid w:val="00461B03"/>
    <w:rsid w:val="00461B6C"/>
    <w:rsid w:val="00461C0C"/>
    <w:rsid w:val="00461CE2"/>
    <w:rsid w:val="00461DE4"/>
    <w:rsid w:val="0046201B"/>
    <w:rsid w:val="004622AD"/>
    <w:rsid w:val="004625FA"/>
    <w:rsid w:val="00462663"/>
    <w:rsid w:val="0046288C"/>
    <w:rsid w:val="00462BB3"/>
    <w:rsid w:val="00462C35"/>
    <w:rsid w:val="00462D1E"/>
    <w:rsid w:val="00462D40"/>
    <w:rsid w:val="0046317F"/>
    <w:rsid w:val="00463252"/>
    <w:rsid w:val="0046327F"/>
    <w:rsid w:val="00463308"/>
    <w:rsid w:val="004635D5"/>
    <w:rsid w:val="004635FD"/>
    <w:rsid w:val="00463666"/>
    <w:rsid w:val="0046366F"/>
    <w:rsid w:val="00463673"/>
    <w:rsid w:val="0046376A"/>
    <w:rsid w:val="004639A6"/>
    <w:rsid w:val="00463B36"/>
    <w:rsid w:val="00463C6F"/>
    <w:rsid w:val="00463C76"/>
    <w:rsid w:val="00463DAA"/>
    <w:rsid w:val="00463F20"/>
    <w:rsid w:val="00463F90"/>
    <w:rsid w:val="0046406E"/>
    <w:rsid w:val="004641FD"/>
    <w:rsid w:val="004642DF"/>
    <w:rsid w:val="00464397"/>
    <w:rsid w:val="00464616"/>
    <w:rsid w:val="00464770"/>
    <w:rsid w:val="00464774"/>
    <w:rsid w:val="00464776"/>
    <w:rsid w:val="00464805"/>
    <w:rsid w:val="00464824"/>
    <w:rsid w:val="0046482D"/>
    <w:rsid w:val="00464887"/>
    <w:rsid w:val="00464B2B"/>
    <w:rsid w:val="00464C27"/>
    <w:rsid w:val="00464EE5"/>
    <w:rsid w:val="0046532D"/>
    <w:rsid w:val="00465419"/>
    <w:rsid w:val="004654C5"/>
    <w:rsid w:val="00465801"/>
    <w:rsid w:val="00465A6F"/>
    <w:rsid w:val="00465B71"/>
    <w:rsid w:val="00465BC4"/>
    <w:rsid w:val="00465BFD"/>
    <w:rsid w:val="00465C69"/>
    <w:rsid w:val="00465D01"/>
    <w:rsid w:val="00465D8B"/>
    <w:rsid w:val="00465E85"/>
    <w:rsid w:val="0046611B"/>
    <w:rsid w:val="0046613A"/>
    <w:rsid w:val="0046660C"/>
    <w:rsid w:val="004667E9"/>
    <w:rsid w:val="00466844"/>
    <w:rsid w:val="004668D1"/>
    <w:rsid w:val="004668D5"/>
    <w:rsid w:val="00466B33"/>
    <w:rsid w:val="00466C3B"/>
    <w:rsid w:val="00466CCC"/>
    <w:rsid w:val="00466DD3"/>
    <w:rsid w:val="00466E6A"/>
    <w:rsid w:val="00466F9C"/>
    <w:rsid w:val="00467020"/>
    <w:rsid w:val="0046705D"/>
    <w:rsid w:val="004670B1"/>
    <w:rsid w:val="00467528"/>
    <w:rsid w:val="0046761F"/>
    <w:rsid w:val="004677B8"/>
    <w:rsid w:val="00467A01"/>
    <w:rsid w:val="00467A41"/>
    <w:rsid w:val="00467ACA"/>
    <w:rsid w:val="00467AF3"/>
    <w:rsid w:val="00467B59"/>
    <w:rsid w:val="00467BBC"/>
    <w:rsid w:val="00467C60"/>
    <w:rsid w:val="00467C63"/>
    <w:rsid w:val="00467C7B"/>
    <w:rsid w:val="00467D9A"/>
    <w:rsid w:val="00467E53"/>
    <w:rsid w:val="00467EBF"/>
    <w:rsid w:val="00467EF7"/>
    <w:rsid w:val="00467F62"/>
    <w:rsid w:val="004701AA"/>
    <w:rsid w:val="00470258"/>
    <w:rsid w:val="004702F7"/>
    <w:rsid w:val="00470353"/>
    <w:rsid w:val="0047069D"/>
    <w:rsid w:val="00470874"/>
    <w:rsid w:val="00470930"/>
    <w:rsid w:val="0047096E"/>
    <w:rsid w:val="00470AAF"/>
    <w:rsid w:val="00470B12"/>
    <w:rsid w:val="00470B6D"/>
    <w:rsid w:val="00470C72"/>
    <w:rsid w:val="00470CB7"/>
    <w:rsid w:val="00470CF9"/>
    <w:rsid w:val="00470D21"/>
    <w:rsid w:val="00470D6C"/>
    <w:rsid w:val="00470DAF"/>
    <w:rsid w:val="00470E3A"/>
    <w:rsid w:val="00470EA0"/>
    <w:rsid w:val="00470F0D"/>
    <w:rsid w:val="00471089"/>
    <w:rsid w:val="0047139F"/>
    <w:rsid w:val="0047161C"/>
    <w:rsid w:val="0047162B"/>
    <w:rsid w:val="004719C5"/>
    <w:rsid w:val="004719EE"/>
    <w:rsid w:val="00471A7D"/>
    <w:rsid w:val="00471B16"/>
    <w:rsid w:val="00471E52"/>
    <w:rsid w:val="00471E83"/>
    <w:rsid w:val="00471EEB"/>
    <w:rsid w:val="0047213E"/>
    <w:rsid w:val="004724E8"/>
    <w:rsid w:val="00472561"/>
    <w:rsid w:val="004725B5"/>
    <w:rsid w:val="004726CE"/>
    <w:rsid w:val="004726FA"/>
    <w:rsid w:val="0047280A"/>
    <w:rsid w:val="00472837"/>
    <w:rsid w:val="00472945"/>
    <w:rsid w:val="00472DA7"/>
    <w:rsid w:val="00472DFD"/>
    <w:rsid w:val="00472F76"/>
    <w:rsid w:val="0047302F"/>
    <w:rsid w:val="00473055"/>
    <w:rsid w:val="00473085"/>
    <w:rsid w:val="004730A7"/>
    <w:rsid w:val="004732F6"/>
    <w:rsid w:val="0047331F"/>
    <w:rsid w:val="004733FE"/>
    <w:rsid w:val="00473689"/>
    <w:rsid w:val="00473757"/>
    <w:rsid w:val="004737CE"/>
    <w:rsid w:val="00473864"/>
    <w:rsid w:val="004738CA"/>
    <w:rsid w:val="004739B6"/>
    <w:rsid w:val="00473A0C"/>
    <w:rsid w:val="00473AC1"/>
    <w:rsid w:val="00473B69"/>
    <w:rsid w:val="00473C13"/>
    <w:rsid w:val="00473CE9"/>
    <w:rsid w:val="00473D98"/>
    <w:rsid w:val="00473DB1"/>
    <w:rsid w:val="00473F1A"/>
    <w:rsid w:val="00473FD2"/>
    <w:rsid w:val="0047400F"/>
    <w:rsid w:val="004741DA"/>
    <w:rsid w:val="00474233"/>
    <w:rsid w:val="004742AD"/>
    <w:rsid w:val="0047436A"/>
    <w:rsid w:val="00474551"/>
    <w:rsid w:val="0047479A"/>
    <w:rsid w:val="00474852"/>
    <w:rsid w:val="0047491E"/>
    <w:rsid w:val="00474A45"/>
    <w:rsid w:val="00474B0F"/>
    <w:rsid w:val="00474B76"/>
    <w:rsid w:val="00474B98"/>
    <w:rsid w:val="00474C03"/>
    <w:rsid w:val="00474CE8"/>
    <w:rsid w:val="00474DC8"/>
    <w:rsid w:val="00474E5B"/>
    <w:rsid w:val="00474F1E"/>
    <w:rsid w:val="00474F23"/>
    <w:rsid w:val="00474F8A"/>
    <w:rsid w:val="00474FED"/>
    <w:rsid w:val="00475142"/>
    <w:rsid w:val="00475345"/>
    <w:rsid w:val="0047554E"/>
    <w:rsid w:val="0047559A"/>
    <w:rsid w:val="004756C3"/>
    <w:rsid w:val="0047572A"/>
    <w:rsid w:val="0047577A"/>
    <w:rsid w:val="004758A7"/>
    <w:rsid w:val="00475AF7"/>
    <w:rsid w:val="00475B22"/>
    <w:rsid w:val="00475E76"/>
    <w:rsid w:val="00475F2E"/>
    <w:rsid w:val="00475F57"/>
    <w:rsid w:val="00475FCF"/>
    <w:rsid w:val="0047603E"/>
    <w:rsid w:val="004760C0"/>
    <w:rsid w:val="004760F9"/>
    <w:rsid w:val="00476124"/>
    <w:rsid w:val="00476138"/>
    <w:rsid w:val="004761E8"/>
    <w:rsid w:val="00476288"/>
    <w:rsid w:val="00476382"/>
    <w:rsid w:val="0047640C"/>
    <w:rsid w:val="0047643F"/>
    <w:rsid w:val="004764FD"/>
    <w:rsid w:val="00476564"/>
    <w:rsid w:val="004766FF"/>
    <w:rsid w:val="004768D8"/>
    <w:rsid w:val="004769D5"/>
    <w:rsid w:val="00476A89"/>
    <w:rsid w:val="00476C9A"/>
    <w:rsid w:val="00476DA1"/>
    <w:rsid w:val="00476DAC"/>
    <w:rsid w:val="00476DFA"/>
    <w:rsid w:val="00476E00"/>
    <w:rsid w:val="00476E1D"/>
    <w:rsid w:val="00476F1C"/>
    <w:rsid w:val="00476FB6"/>
    <w:rsid w:val="0047709F"/>
    <w:rsid w:val="00477157"/>
    <w:rsid w:val="004772FC"/>
    <w:rsid w:val="00477360"/>
    <w:rsid w:val="0047736C"/>
    <w:rsid w:val="004773B1"/>
    <w:rsid w:val="00477484"/>
    <w:rsid w:val="00477848"/>
    <w:rsid w:val="00477866"/>
    <w:rsid w:val="00477A40"/>
    <w:rsid w:val="00477F5C"/>
    <w:rsid w:val="00480090"/>
    <w:rsid w:val="00480218"/>
    <w:rsid w:val="004802A8"/>
    <w:rsid w:val="004802C9"/>
    <w:rsid w:val="004802E3"/>
    <w:rsid w:val="004802F7"/>
    <w:rsid w:val="0048043E"/>
    <w:rsid w:val="004804AD"/>
    <w:rsid w:val="004804DC"/>
    <w:rsid w:val="0048053E"/>
    <w:rsid w:val="004805AF"/>
    <w:rsid w:val="00480677"/>
    <w:rsid w:val="00480685"/>
    <w:rsid w:val="004807D7"/>
    <w:rsid w:val="004807F8"/>
    <w:rsid w:val="00480886"/>
    <w:rsid w:val="00480BE1"/>
    <w:rsid w:val="00480C76"/>
    <w:rsid w:val="00480D81"/>
    <w:rsid w:val="00480E77"/>
    <w:rsid w:val="00480E95"/>
    <w:rsid w:val="00481055"/>
    <w:rsid w:val="004813BB"/>
    <w:rsid w:val="004813C3"/>
    <w:rsid w:val="00481533"/>
    <w:rsid w:val="004815AC"/>
    <w:rsid w:val="004815DF"/>
    <w:rsid w:val="0048168B"/>
    <w:rsid w:val="004816C1"/>
    <w:rsid w:val="004816FA"/>
    <w:rsid w:val="00481827"/>
    <w:rsid w:val="00481AE0"/>
    <w:rsid w:val="00481C59"/>
    <w:rsid w:val="00481C6D"/>
    <w:rsid w:val="0048212E"/>
    <w:rsid w:val="004822A6"/>
    <w:rsid w:val="00482584"/>
    <w:rsid w:val="00482598"/>
    <w:rsid w:val="004825EA"/>
    <w:rsid w:val="00482683"/>
    <w:rsid w:val="00482756"/>
    <w:rsid w:val="004828C3"/>
    <w:rsid w:val="004828DD"/>
    <w:rsid w:val="00482B82"/>
    <w:rsid w:val="00482BBD"/>
    <w:rsid w:val="00482BCB"/>
    <w:rsid w:val="00482BE8"/>
    <w:rsid w:val="00482E06"/>
    <w:rsid w:val="00482F2F"/>
    <w:rsid w:val="004830BD"/>
    <w:rsid w:val="00483225"/>
    <w:rsid w:val="004832D4"/>
    <w:rsid w:val="00483435"/>
    <w:rsid w:val="0048349B"/>
    <w:rsid w:val="00483554"/>
    <w:rsid w:val="00483711"/>
    <w:rsid w:val="0048371F"/>
    <w:rsid w:val="004837A1"/>
    <w:rsid w:val="00483854"/>
    <w:rsid w:val="00483B74"/>
    <w:rsid w:val="00483CA7"/>
    <w:rsid w:val="00483D20"/>
    <w:rsid w:val="00483D9B"/>
    <w:rsid w:val="00483EDD"/>
    <w:rsid w:val="00483F92"/>
    <w:rsid w:val="0048416E"/>
    <w:rsid w:val="0048420B"/>
    <w:rsid w:val="004843E7"/>
    <w:rsid w:val="004844F8"/>
    <w:rsid w:val="00484569"/>
    <w:rsid w:val="00484596"/>
    <w:rsid w:val="00484685"/>
    <w:rsid w:val="004847BE"/>
    <w:rsid w:val="00484820"/>
    <w:rsid w:val="00484B07"/>
    <w:rsid w:val="00484BAF"/>
    <w:rsid w:val="00484BEC"/>
    <w:rsid w:val="00484E77"/>
    <w:rsid w:val="00484EA7"/>
    <w:rsid w:val="00485131"/>
    <w:rsid w:val="0048517D"/>
    <w:rsid w:val="004851C0"/>
    <w:rsid w:val="004851DD"/>
    <w:rsid w:val="004852AF"/>
    <w:rsid w:val="00485325"/>
    <w:rsid w:val="004854FB"/>
    <w:rsid w:val="00485814"/>
    <w:rsid w:val="00485842"/>
    <w:rsid w:val="00485A02"/>
    <w:rsid w:val="00485B5B"/>
    <w:rsid w:val="00485BF4"/>
    <w:rsid w:val="00485C69"/>
    <w:rsid w:val="00485D47"/>
    <w:rsid w:val="00485F27"/>
    <w:rsid w:val="00485F71"/>
    <w:rsid w:val="00486022"/>
    <w:rsid w:val="0048605D"/>
    <w:rsid w:val="004860B3"/>
    <w:rsid w:val="004860E2"/>
    <w:rsid w:val="004863C1"/>
    <w:rsid w:val="00486503"/>
    <w:rsid w:val="004868C1"/>
    <w:rsid w:val="00486951"/>
    <w:rsid w:val="00486A38"/>
    <w:rsid w:val="00486BE8"/>
    <w:rsid w:val="00486DF2"/>
    <w:rsid w:val="00487036"/>
    <w:rsid w:val="00487295"/>
    <w:rsid w:val="00487307"/>
    <w:rsid w:val="004874B1"/>
    <w:rsid w:val="0048769C"/>
    <w:rsid w:val="004876F5"/>
    <w:rsid w:val="0048775A"/>
    <w:rsid w:val="0048778C"/>
    <w:rsid w:val="00487A06"/>
    <w:rsid w:val="00487A32"/>
    <w:rsid w:val="00487B0E"/>
    <w:rsid w:val="00487B5D"/>
    <w:rsid w:val="00487C09"/>
    <w:rsid w:val="00487C27"/>
    <w:rsid w:val="00487EB9"/>
    <w:rsid w:val="00487EF3"/>
    <w:rsid w:val="00487F7F"/>
    <w:rsid w:val="0049006F"/>
    <w:rsid w:val="0049007D"/>
    <w:rsid w:val="004902D7"/>
    <w:rsid w:val="004903A3"/>
    <w:rsid w:val="00490628"/>
    <w:rsid w:val="0049079C"/>
    <w:rsid w:val="00490836"/>
    <w:rsid w:val="004909FA"/>
    <w:rsid w:val="00490AC8"/>
    <w:rsid w:val="00490B8A"/>
    <w:rsid w:val="00490C32"/>
    <w:rsid w:val="00490CBD"/>
    <w:rsid w:val="00490CDC"/>
    <w:rsid w:val="00490D64"/>
    <w:rsid w:val="00490FC0"/>
    <w:rsid w:val="004911CF"/>
    <w:rsid w:val="004912FC"/>
    <w:rsid w:val="00491346"/>
    <w:rsid w:val="00491388"/>
    <w:rsid w:val="00491478"/>
    <w:rsid w:val="00491FF7"/>
    <w:rsid w:val="0049202A"/>
    <w:rsid w:val="00492032"/>
    <w:rsid w:val="00492090"/>
    <w:rsid w:val="004920B5"/>
    <w:rsid w:val="004920E6"/>
    <w:rsid w:val="004923A6"/>
    <w:rsid w:val="004923CE"/>
    <w:rsid w:val="004923E5"/>
    <w:rsid w:val="00492631"/>
    <w:rsid w:val="00492694"/>
    <w:rsid w:val="00492D8E"/>
    <w:rsid w:val="0049302C"/>
    <w:rsid w:val="0049310D"/>
    <w:rsid w:val="00493203"/>
    <w:rsid w:val="0049324F"/>
    <w:rsid w:val="004932EC"/>
    <w:rsid w:val="0049356A"/>
    <w:rsid w:val="00493681"/>
    <w:rsid w:val="004936EF"/>
    <w:rsid w:val="004936FE"/>
    <w:rsid w:val="00493A4E"/>
    <w:rsid w:val="00493A7F"/>
    <w:rsid w:val="00493CEE"/>
    <w:rsid w:val="00493D5C"/>
    <w:rsid w:val="00493E22"/>
    <w:rsid w:val="00493E9C"/>
    <w:rsid w:val="00493EC7"/>
    <w:rsid w:val="00493ED1"/>
    <w:rsid w:val="00493F23"/>
    <w:rsid w:val="00493F6A"/>
    <w:rsid w:val="00494154"/>
    <w:rsid w:val="00494233"/>
    <w:rsid w:val="004942B9"/>
    <w:rsid w:val="00494499"/>
    <w:rsid w:val="00494654"/>
    <w:rsid w:val="004946BF"/>
    <w:rsid w:val="004947CC"/>
    <w:rsid w:val="004947FC"/>
    <w:rsid w:val="00494854"/>
    <w:rsid w:val="0049487A"/>
    <w:rsid w:val="0049490B"/>
    <w:rsid w:val="004949D4"/>
    <w:rsid w:val="00494A9D"/>
    <w:rsid w:val="00494BDB"/>
    <w:rsid w:val="00494E4E"/>
    <w:rsid w:val="0049509B"/>
    <w:rsid w:val="004950A0"/>
    <w:rsid w:val="00495156"/>
    <w:rsid w:val="004951B3"/>
    <w:rsid w:val="004951EB"/>
    <w:rsid w:val="0049539D"/>
    <w:rsid w:val="00495528"/>
    <w:rsid w:val="004955FF"/>
    <w:rsid w:val="004956D6"/>
    <w:rsid w:val="00495817"/>
    <w:rsid w:val="00495B82"/>
    <w:rsid w:val="00495D46"/>
    <w:rsid w:val="00495D7C"/>
    <w:rsid w:val="00495E30"/>
    <w:rsid w:val="00495E4B"/>
    <w:rsid w:val="00495E58"/>
    <w:rsid w:val="00495ED1"/>
    <w:rsid w:val="00496067"/>
    <w:rsid w:val="0049606E"/>
    <w:rsid w:val="004960EE"/>
    <w:rsid w:val="004960FA"/>
    <w:rsid w:val="0049610A"/>
    <w:rsid w:val="00496275"/>
    <w:rsid w:val="004963BE"/>
    <w:rsid w:val="00496402"/>
    <w:rsid w:val="00496489"/>
    <w:rsid w:val="00496491"/>
    <w:rsid w:val="00496858"/>
    <w:rsid w:val="00496982"/>
    <w:rsid w:val="004969B4"/>
    <w:rsid w:val="00496A16"/>
    <w:rsid w:val="00496BA7"/>
    <w:rsid w:val="00496CF5"/>
    <w:rsid w:val="00496D33"/>
    <w:rsid w:val="00496D65"/>
    <w:rsid w:val="00496E62"/>
    <w:rsid w:val="00496FC9"/>
    <w:rsid w:val="00496FE5"/>
    <w:rsid w:val="0049709F"/>
    <w:rsid w:val="00497565"/>
    <w:rsid w:val="004975A0"/>
    <w:rsid w:val="0049769A"/>
    <w:rsid w:val="0049784C"/>
    <w:rsid w:val="00497B33"/>
    <w:rsid w:val="00497B4D"/>
    <w:rsid w:val="00497B9C"/>
    <w:rsid w:val="00497BAB"/>
    <w:rsid w:val="00497E3C"/>
    <w:rsid w:val="00497E65"/>
    <w:rsid w:val="004A0154"/>
    <w:rsid w:val="004A01A3"/>
    <w:rsid w:val="004A03BB"/>
    <w:rsid w:val="004A0A75"/>
    <w:rsid w:val="004A0A89"/>
    <w:rsid w:val="004A0ACC"/>
    <w:rsid w:val="004A0AE6"/>
    <w:rsid w:val="004A0CE2"/>
    <w:rsid w:val="004A0EC1"/>
    <w:rsid w:val="004A0F17"/>
    <w:rsid w:val="004A1045"/>
    <w:rsid w:val="004A11C6"/>
    <w:rsid w:val="004A11E8"/>
    <w:rsid w:val="004A12DA"/>
    <w:rsid w:val="004A1302"/>
    <w:rsid w:val="004A1325"/>
    <w:rsid w:val="004A139B"/>
    <w:rsid w:val="004A13AF"/>
    <w:rsid w:val="004A1576"/>
    <w:rsid w:val="004A16FA"/>
    <w:rsid w:val="004A17EB"/>
    <w:rsid w:val="004A1951"/>
    <w:rsid w:val="004A1979"/>
    <w:rsid w:val="004A1C6D"/>
    <w:rsid w:val="004A1F0D"/>
    <w:rsid w:val="004A1F49"/>
    <w:rsid w:val="004A200B"/>
    <w:rsid w:val="004A2025"/>
    <w:rsid w:val="004A2214"/>
    <w:rsid w:val="004A23AE"/>
    <w:rsid w:val="004A240B"/>
    <w:rsid w:val="004A241A"/>
    <w:rsid w:val="004A25F8"/>
    <w:rsid w:val="004A283D"/>
    <w:rsid w:val="004A2844"/>
    <w:rsid w:val="004A2909"/>
    <w:rsid w:val="004A2929"/>
    <w:rsid w:val="004A299E"/>
    <w:rsid w:val="004A29C2"/>
    <w:rsid w:val="004A2AE3"/>
    <w:rsid w:val="004A2B33"/>
    <w:rsid w:val="004A2C74"/>
    <w:rsid w:val="004A2EC2"/>
    <w:rsid w:val="004A2F90"/>
    <w:rsid w:val="004A311B"/>
    <w:rsid w:val="004A3663"/>
    <w:rsid w:val="004A36AF"/>
    <w:rsid w:val="004A37E6"/>
    <w:rsid w:val="004A3839"/>
    <w:rsid w:val="004A3849"/>
    <w:rsid w:val="004A390A"/>
    <w:rsid w:val="004A39AC"/>
    <w:rsid w:val="004A3BF1"/>
    <w:rsid w:val="004A3C57"/>
    <w:rsid w:val="004A3C5E"/>
    <w:rsid w:val="004A3D68"/>
    <w:rsid w:val="004A3ED8"/>
    <w:rsid w:val="004A3F1C"/>
    <w:rsid w:val="004A3FF4"/>
    <w:rsid w:val="004A40EC"/>
    <w:rsid w:val="004A42D3"/>
    <w:rsid w:val="004A4360"/>
    <w:rsid w:val="004A4A8F"/>
    <w:rsid w:val="004A4B29"/>
    <w:rsid w:val="004A4B56"/>
    <w:rsid w:val="004A4D4F"/>
    <w:rsid w:val="004A4DDF"/>
    <w:rsid w:val="004A4F8D"/>
    <w:rsid w:val="004A4FE7"/>
    <w:rsid w:val="004A50F1"/>
    <w:rsid w:val="004A510C"/>
    <w:rsid w:val="004A5337"/>
    <w:rsid w:val="004A536F"/>
    <w:rsid w:val="004A56A4"/>
    <w:rsid w:val="004A57E9"/>
    <w:rsid w:val="004A5855"/>
    <w:rsid w:val="004A58EA"/>
    <w:rsid w:val="004A5939"/>
    <w:rsid w:val="004A5AF0"/>
    <w:rsid w:val="004A5BCA"/>
    <w:rsid w:val="004A5F38"/>
    <w:rsid w:val="004A6002"/>
    <w:rsid w:val="004A6202"/>
    <w:rsid w:val="004A6226"/>
    <w:rsid w:val="004A6229"/>
    <w:rsid w:val="004A624D"/>
    <w:rsid w:val="004A6611"/>
    <w:rsid w:val="004A6A00"/>
    <w:rsid w:val="004A6ADC"/>
    <w:rsid w:val="004A6ED0"/>
    <w:rsid w:val="004A6FA7"/>
    <w:rsid w:val="004A7175"/>
    <w:rsid w:val="004A71A5"/>
    <w:rsid w:val="004A72A6"/>
    <w:rsid w:val="004A73E9"/>
    <w:rsid w:val="004A74BB"/>
    <w:rsid w:val="004A7551"/>
    <w:rsid w:val="004A75A6"/>
    <w:rsid w:val="004A762D"/>
    <w:rsid w:val="004A7763"/>
    <w:rsid w:val="004A77E7"/>
    <w:rsid w:val="004A7BAA"/>
    <w:rsid w:val="004A7C01"/>
    <w:rsid w:val="004A7D77"/>
    <w:rsid w:val="004A7DBA"/>
    <w:rsid w:val="004A7DCD"/>
    <w:rsid w:val="004A7E5A"/>
    <w:rsid w:val="004A7EBC"/>
    <w:rsid w:val="004A7F1A"/>
    <w:rsid w:val="004A7F67"/>
    <w:rsid w:val="004B017F"/>
    <w:rsid w:val="004B01E8"/>
    <w:rsid w:val="004B036C"/>
    <w:rsid w:val="004B0468"/>
    <w:rsid w:val="004B04E4"/>
    <w:rsid w:val="004B066F"/>
    <w:rsid w:val="004B091C"/>
    <w:rsid w:val="004B09E6"/>
    <w:rsid w:val="004B0A8E"/>
    <w:rsid w:val="004B0B1C"/>
    <w:rsid w:val="004B0B89"/>
    <w:rsid w:val="004B0D46"/>
    <w:rsid w:val="004B0D55"/>
    <w:rsid w:val="004B0F66"/>
    <w:rsid w:val="004B10B4"/>
    <w:rsid w:val="004B10FD"/>
    <w:rsid w:val="004B12A9"/>
    <w:rsid w:val="004B12B1"/>
    <w:rsid w:val="004B16B6"/>
    <w:rsid w:val="004B183E"/>
    <w:rsid w:val="004B198A"/>
    <w:rsid w:val="004B1AE2"/>
    <w:rsid w:val="004B1C39"/>
    <w:rsid w:val="004B1C46"/>
    <w:rsid w:val="004B2009"/>
    <w:rsid w:val="004B2199"/>
    <w:rsid w:val="004B223D"/>
    <w:rsid w:val="004B22DC"/>
    <w:rsid w:val="004B2434"/>
    <w:rsid w:val="004B2455"/>
    <w:rsid w:val="004B24DB"/>
    <w:rsid w:val="004B2644"/>
    <w:rsid w:val="004B265B"/>
    <w:rsid w:val="004B2904"/>
    <w:rsid w:val="004B2A0F"/>
    <w:rsid w:val="004B2AA1"/>
    <w:rsid w:val="004B2ACF"/>
    <w:rsid w:val="004B2B05"/>
    <w:rsid w:val="004B2BA1"/>
    <w:rsid w:val="004B2C07"/>
    <w:rsid w:val="004B2CA3"/>
    <w:rsid w:val="004B2D6D"/>
    <w:rsid w:val="004B2F6A"/>
    <w:rsid w:val="004B2F83"/>
    <w:rsid w:val="004B305C"/>
    <w:rsid w:val="004B30CB"/>
    <w:rsid w:val="004B30E8"/>
    <w:rsid w:val="004B3310"/>
    <w:rsid w:val="004B3800"/>
    <w:rsid w:val="004B39D3"/>
    <w:rsid w:val="004B3A24"/>
    <w:rsid w:val="004B3A6B"/>
    <w:rsid w:val="004B3AD2"/>
    <w:rsid w:val="004B3BEB"/>
    <w:rsid w:val="004B3C36"/>
    <w:rsid w:val="004B3CC6"/>
    <w:rsid w:val="004B3CD0"/>
    <w:rsid w:val="004B3E3C"/>
    <w:rsid w:val="004B3E80"/>
    <w:rsid w:val="004B3FF0"/>
    <w:rsid w:val="004B400A"/>
    <w:rsid w:val="004B4168"/>
    <w:rsid w:val="004B424D"/>
    <w:rsid w:val="004B432B"/>
    <w:rsid w:val="004B439D"/>
    <w:rsid w:val="004B4440"/>
    <w:rsid w:val="004B451D"/>
    <w:rsid w:val="004B45BA"/>
    <w:rsid w:val="004B488C"/>
    <w:rsid w:val="004B489A"/>
    <w:rsid w:val="004B4B98"/>
    <w:rsid w:val="004B4C2D"/>
    <w:rsid w:val="004B4E31"/>
    <w:rsid w:val="004B5203"/>
    <w:rsid w:val="004B54E9"/>
    <w:rsid w:val="004B54FE"/>
    <w:rsid w:val="004B5575"/>
    <w:rsid w:val="004B56A8"/>
    <w:rsid w:val="004B59EB"/>
    <w:rsid w:val="004B5B1F"/>
    <w:rsid w:val="004B5B2F"/>
    <w:rsid w:val="004B5C21"/>
    <w:rsid w:val="004B5C76"/>
    <w:rsid w:val="004B5DBD"/>
    <w:rsid w:val="004B60E0"/>
    <w:rsid w:val="004B62B1"/>
    <w:rsid w:val="004B635F"/>
    <w:rsid w:val="004B63C7"/>
    <w:rsid w:val="004B64F1"/>
    <w:rsid w:val="004B6614"/>
    <w:rsid w:val="004B6885"/>
    <w:rsid w:val="004B68AB"/>
    <w:rsid w:val="004B6A42"/>
    <w:rsid w:val="004B6A8B"/>
    <w:rsid w:val="004B6BEA"/>
    <w:rsid w:val="004B6C20"/>
    <w:rsid w:val="004B6D05"/>
    <w:rsid w:val="004B6E0A"/>
    <w:rsid w:val="004B6FDE"/>
    <w:rsid w:val="004B70AD"/>
    <w:rsid w:val="004B71EE"/>
    <w:rsid w:val="004B720E"/>
    <w:rsid w:val="004B72CB"/>
    <w:rsid w:val="004B735A"/>
    <w:rsid w:val="004B76CB"/>
    <w:rsid w:val="004B7713"/>
    <w:rsid w:val="004B7816"/>
    <w:rsid w:val="004B78F9"/>
    <w:rsid w:val="004B78FA"/>
    <w:rsid w:val="004B797F"/>
    <w:rsid w:val="004B79FB"/>
    <w:rsid w:val="004B7A11"/>
    <w:rsid w:val="004B7B00"/>
    <w:rsid w:val="004B7B46"/>
    <w:rsid w:val="004B7CBB"/>
    <w:rsid w:val="004B7D44"/>
    <w:rsid w:val="004B7F6F"/>
    <w:rsid w:val="004C011F"/>
    <w:rsid w:val="004C016C"/>
    <w:rsid w:val="004C01B9"/>
    <w:rsid w:val="004C0414"/>
    <w:rsid w:val="004C0496"/>
    <w:rsid w:val="004C04A1"/>
    <w:rsid w:val="004C057C"/>
    <w:rsid w:val="004C0590"/>
    <w:rsid w:val="004C066C"/>
    <w:rsid w:val="004C0688"/>
    <w:rsid w:val="004C0AF6"/>
    <w:rsid w:val="004C0C62"/>
    <w:rsid w:val="004C0F68"/>
    <w:rsid w:val="004C11E9"/>
    <w:rsid w:val="004C146D"/>
    <w:rsid w:val="004C165A"/>
    <w:rsid w:val="004C16BA"/>
    <w:rsid w:val="004C17A3"/>
    <w:rsid w:val="004C19A3"/>
    <w:rsid w:val="004C19F3"/>
    <w:rsid w:val="004C1A64"/>
    <w:rsid w:val="004C1B4C"/>
    <w:rsid w:val="004C1BB9"/>
    <w:rsid w:val="004C1D93"/>
    <w:rsid w:val="004C1E69"/>
    <w:rsid w:val="004C2270"/>
    <w:rsid w:val="004C24FC"/>
    <w:rsid w:val="004C2549"/>
    <w:rsid w:val="004C2559"/>
    <w:rsid w:val="004C26C6"/>
    <w:rsid w:val="004C27B7"/>
    <w:rsid w:val="004C2852"/>
    <w:rsid w:val="004C2899"/>
    <w:rsid w:val="004C295C"/>
    <w:rsid w:val="004C2D72"/>
    <w:rsid w:val="004C3027"/>
    <w:rsid w:val="004C30C3"/>
    <w:rsid w:val="004C3170"/>
    <w:rsid w:val="004C3287"/>
    <w:rsid w:val="004C32BC"/>
    <w:rsid w:val="004C32DA"/>
    <w:rsid w:val="004C36D6"/>
    <w:rsid w:val="004C370F"/>
    <w:rsid w:val="004C3A38"/>
    <w:rsid w:val="004C3BCA"/>
    <w:rsid w:val="004C3CB7"/>
    <w:rsid w:val="004C3CFC"/>
    <w:rsid w:val="004C3D70"/>
    <w:rsid w:val="004C3ED6"/>
    <w:rsid w:val="004C4180"/>
    <w:rsid w:val="004C41AF"/>
    <w:rsid w:val="004C4314"/>
    <w:rsid w:val="004C43AF"/>
    <w:rsid w:val="004C463F"/>
    <w:rsid w:val="004C4656"/>
    <w:rsid w:val="004C46BD"/>
    <w:rsid w:val="004C477E"/>
    <w:rsid w:val="004C4825"/>
    <w:rsid w:val="004C48B2"/>
    <w:rsid w:val="004C4938"/>
    <w:rsid w:val="004C4B04"/>
    <w:rsid w:val="004C4C4B"/>
    <w:rsid w:val="004C4D52"/>
    <w:rsid w:val="004C4F3D"/>
    <w:rsid w:val="004C4FC2"/>
    <w:rsid w:val="004C505B"/>
    <w:rsid w:val="004C515F"/>
    <w:rsid w:val="004C51D1"/>
    <w:rsid w:val="004C5390"/>
    <w:rsid w:val="004C545D"/>
    <w:rsid w:val="004C5467"/>
    <w:rsid w:val="004C5541"/>
    <w:rsid w:val="004C5587"/>
    <w:rsid w:val="004C5616"/>
    <w:rsid w:val="004C59B4"/>
    <w:rsid w:val="004C5B65"/>
    <w:rsid w:val="004C5E14"/>
    <w:rsid w:val="004C5E74"/>
    <w:rsid w:val="004C5F93"/>
    <w:rsid w:val="004C606D"/>
    <w:rsid w:val="004C61E3"/>
    <w:rsid w:val="004C6256"/>
    <w:rsid w:val="004C629C"/>
    <w:rsid w:val="004C6645"/>
    <w:rsid w:val="004C66DB"/>
    <w:rsid w:val="004C68D7"/>
    <w:rsid w:val="004C68F7"/>
    <w:rsid w:val="004C6C0A"/>
    <w:rsid w:val="004C6C29"/>
    <w:rsid w:val="004C6C97"/>
    <w:rsid w:val="004C6DEC"/>
    <w:rsid w:val="004C709F"/>
    <w:rsid w:val="004C70AB"/>
    <w:rsid w:val="004C712F"/>
    <w:rsid w:val="004C7301"/>
    <w:rsid w:val="004C73E6"/>
    <w:rsid w:val="004C7494"/>
    <w:rsid w:val="004C74D4"/>
    <w:rsid w:val="004C75A7"/>
    <w:rsid w:val="004C77DD"/>
    <w:rsid w:val="004C7BCE"/>
    <w:rsid w:val="004C7C10"/>
    <w:rsid w:val="004C7C54"/>
    <w:rsid w:val="004C7D45"/>
    <w:rsid w:val="004C7ED9"/>
    <w:rsid w:val="004C7F77"/>
    <w:rsid w:val="004D0137"/>
    <w:rsid w:val="004D0201"/>
    <w:rsid w:val="004D03BC"/>
    <w:rsid w:val="004D03DC"/>
    <w:rsid w:val="004D0434"/>
    <w:rsid w:val="004D043E"/>
    <w:rsid w:val="004D0459"/>
    <w:rsid w:val="004D0478"/>
    <w:rsid w:val="004D0517"/>
    <w:rsid w:val="004D059D"/>
    <w:rsid w:val="004D0729"/>
    <w:rsid w:val="004D07D2"/>
    <w:rsid w:val="004D0A5E"/>
    <w:rsid w:val="004D0B09"/>
    <w:rsid w:val="004D0B94"/>
    <w:rsid w:val="004D0C29"/>
    <w:rsid w:val="004D0D69"/>
    <w:rsid w:val="004D0EEF"/>
    <w:rsid w:val="004D1155"/>
    <w:rsid w:val="004D1291"/>
    <w:rsid w:val="004D137F"/>
    <w:rsid w:val="004D1466"/>
    <w:rsid w:val="004D14BA"/>
    <w:rsid w:val="004D14C9"/>
    <w:rsid w:val="004D153D"/>
    <w:rsid w:val="004D157C"/>
    <w:rsid w:val="004D16D7"/>
    <w:rsid w:val="004D173F"/>
    <w:rsid w:val="004D18D0"/>
    <w:rsid w:val="004D1942"/>
    <w:rsid w:val="004D1A69"/>
    <w:rsid w:val="004D1AB4"/>
    <w:rsid w:val="004D1C73"/>
    <w:rsid w:val="004D1CEC"/>
    <w:rsid w:val="004D1D54"/>
    <w:rsid w:val="004D1E61"/>
    <w:rsid w:val="004D1FDB"/>
    <w:rsid w:val="004D2044"/>
    <w:rsid w:val="004D2180"/>
    <w:rsid w:val="004D236F"/>
    <w:rsid w:val="004D23C7"/>
    <w:rsid w:val="004D23E9"/>
    <w:rsid w:val="004D2413"/>
    <w:rsid w:val="004D24A7"/>
    <w:rsid w:val="004D24FB"/>
    <w:rsid w:val="004D2629"/>
    <w:rsid w:val="004D272D"/>
    <w:rsid w:val="004D27F9"/>
    <w:rsid w:val="004D2939"/>
    <w:rsid w:val="004D294A"/>
    <w:rsid w:val="004D297C"/>
    <w:rsid w:val="004D2A1E"/>
    <w:rsid w:val="004D2A2F"/>
    <w:rsid w:val="004D2B17"/>
    <w:rsid w:val="004D2D00"/>
    <w:rsid w:val="004D2DF5"/>
    <w:rsid w:val="004D2ECD"/>
    <w:rsid w:val="004D2FC5"/>
    <w:rsid w:val="004D3066"/>
    <w:rsid w:val="004D3340"/>
    <w:rsid w:val="004D34E1"/>
    <w:rsid w:val="004D366E"/>
    <w:rsid w:val="004D36CE"/>
    <w:rsid w:val="004D36D5"/>
    <w:rsid w:val="004D385F"/>
    <w:rsid w:val="004D3889"/>
    <w:rsid w:val="004D3C38"/>
    <w:rsid w:val="004D3D60"/>
    <w:rsid w:val="004D3D8E"/>
    <w:rsid w:val="004D3E39"/>
    <w:rsid w:val="004D3E91"/>
    <w:rsid w:val="004D3F0A"/>
    <w:rsid w:val="004D3F61"/>
    <w:rsid w:val="004D40AC"/>
    <w:rsid w:val="004D4302"/>
    <w:rsid w:val="004D43F0"/>
    <w:rsid w:val="004D4550"/>
    <w:rsid w:val="004D488F"/>
    <w:rsid w:val="004D4AF4"/>
    <w:rsid w:val="004D4BEC"/>
    <w:rsid w:val="004D4C5F"/>
    <w:rsid w:val="004D4CC7"/>
    <w:rsid w:val="004D4CF3"/>
    <w:rsid w:val="004D4D66"/>
    <w:rsid w:val="004D4DB6"/>
    <w:rsid w:val="004D50B9"/>
    <w:rsid w:val="004D5229"/>
    <w:rsid w:val="004D527F"/>
    <w:rsid w:val="004D54B0"/>
    <w:rsid w:val="004D54B3"/>
    <w:rsid w:val="004D54CC"/>
    <w:rsid w:val="004D5579"/>
    <w:rsid w:val="004D5704"/>
    <w:rsid w:val="004D5774"/>
    <w:rsid w:val="004D58BA"/>
    <w:rsid w:val="004D5953"/>
    <w:rsid w:val="004D5A46"/>
    <w:rsid w:val="004D5AEF"/>
    <w:rsid w:val="004D5B3D"/>
    <w:rsid w:val="004D5C05"/>
    <w:rsid w:val="004D5C30"/>
    <w:rsid w:val="004D5C7F"/>
    <w:rsid w:val="004D6038"/>
    <w:rsid w:val="004D60DA"/>
    <w:rsid w:val="004D60E5"/>
    <w:rsid w:val="004D611D"/>
    <w:rsid w:val="004D615D"/>
    <w:rsid w:val="004D626D"/>
    <w:rsid w:val="004D6389"/>
    <w:rsid w:val="004D68E8"/>
    <w:rsid w:val="004D6C1E"/>
    <w:rsid w:val="004D6C7D"/>
    <w:rsid w:val="004D6D4E"/>
    <w:rsid w:val="004D6E20"/>
    <w:rsid w:val="004D6EF8"/>
    <w:rsid w:val="004D6F0E"/>
    <w:rsid w:val="004D70B7"/>
    <w:rsid w:val="004D71F8"/>
    <w:rsid w:val="004D7364"/>
    <w:rsid w:val="004D74EF"/>
    <w:rsid w:val="004D7764"/>
    <w:rsid w:val="004D7780"/>
    <w:rsid w:val="004D780C"/>
    <w:rsid w:val="004D780E"/>
    <w:rsid w:val="004D78A3"/>
    <w:rsid w:val="004D7935"/>
    <w:rsid w:val="004D795D"/>
    <w:rsid w:val="004D7A43"/>
    <w:rsid w:val="004D7B1E"/>
    <w:rsid w:val="004D7CEB"/>
    <w:rsid w:val="004D7DBD"/>
    <w:rsid w:val="004D7E28"/>
    <w:rsid w:val="004E0114"/>
    <w:rsid w:val="004E0311"/>
    <w:rsid w:val="004E034E"/>
    <w:rsid w:val="004E050D"/>
    <w:rsid w:val="004E05D4"/>
    <w:rsid w:val="004E0601"/>
    <w:rsid w:val="004E060C"/>
    <w:rsid w:val="004E06DB"/>
    <w:rsid w:val="004E07EF"/>
    <w:rsid w:val="004E08D6"/>
    <w:rsid w:val="004E0900"/>
    <w:rsid w:val="004E0945"/>
    <w:rsid w:val="004E0A5C"/>
    <w:rsid w:val="004E0CB1"/>
    <w:rsid w:val="004E0CFD"/>
    <w:rsid w:val="004E0D62"/>
    <w:rsid w:val="004E11DE"/>
    <w:rsid w:val="004E1275"/>
    <w:rsid w:val="004E12B5"/>
    <w:rsid w:val="004E12EB"/>
    <w:rsid w:val="004E15AC"/>
    <w:rsid w:val="004E1656"/>
    <w:rsid w:val="004E16CE"/>
    <w:rsid w:val="004E1700"/>
    <w:rsid w:val="004E1955"/>
    <w:rsid w:val="004E1A37"/>
    <w:rsid w:val="004E1CD4"/>
    <w:rsid w:val="004E1E89"/>
    <w:rsid w:val="004E1FC9"/>
    <w:rsid w:val="004E1FD2"/>
    <w:rsid w:val="004E2026"/>
    <w:rsid w:val="004E20CC"/>
    <w:rsid w:val="004E2156"/>
    <w:rsid w:val="004E23F5"/>
    <w:rsid w:val="004E251F"/>
    <w:rsid w:val="004E25AB"/>
    <w:rsid w:val="004E27B4"/>
    <w:rsid w:val="004E2802"/>
    <w:rsid w:val="004E287F"/>
    <w:rsid w:val="004E2916"/>
    <w:rsid w:val="004E2B37"/>
    <w:rsid w:val="004E2CA4"/>
    <w:rsid w:val="004E2D6D"/>
    <w:rsid w:val="004E30ED"/>
    <w:rsid w:val="004E3384"/>
    <w:rsid w:val="004E3564"/>
    <w:rsid w:val="004E36B5"/>
    <w:rsid w:val="004E36C1"/>
    <w:rsid w:val="004E378C"/>
    <w:rsid w:val="004E3A7C"/>
    <w:rsid w:val="004E3AC7"/>
    <w:rsid w:val="004E3C8C"/>
    <w:rsid w:val="004E3CE4"/>
    <w:rsid w:val="004E3DBC"/>
    <w:rsid w:val="004E3E13"/>
    <w:rsid w:val="004E3FD3"/>
    <w:rsid w:val="004E3FEE"/>
    <w:rsid w:val="004E42DE"/>
    <w:rsid w:val="004E43A0"/>
    <w:rsid w:val="004E460F"/>
    <w:rsid w:val="004E462C"/>
    <w:rsid w:val="004E4868"/>
    <w:rsid w:val="004E48B8"/>
    <w:rsid w:val="004E49CF"/>
    <w:rsid w:val="004E4A4E"/>
    <w:rsid w:val="004E4B11"/>
    <w:rsid w:val="004E4D86"/>
    <w:rsid w:val="004E4DFD"/>
    <w:rsid w:val="004E4F4A"/>
    <w:rsid w:val="004E50AF"/>
    <w:rsid w:val="004E5100"/>
    <w:rsid w:val="004E5190"/>
    <w:rsid w:val="004E52E2"/>
    <w:rsid w:val="004E530F"/>
    <w:rsid w:val="004E5316"/>
    <w:rsid w:val="004E53AF"/>
    <w:rsid w:val="004E53F6"/>
    <w:rsid w:val="004E5560"/>
    <w:rsid w:val="004E5587"/>
    <w:rsid w:val="004E599D"/>
    <w:rsid w:val="004E5AC7"/>
    <w:rsid w:val="004E5ADA"/>
    <w:rsid w:val="004E5BE8"/>
    <w:rsid w:val="004E5E3A"/>
    <w:rsid w:val="004E5E3B"/>
    <w:rsid w:val="004E5E83"/>
    <w:rsid w:val="004E5ED1"/>
    <w:rsid w:val="004E5EF6"/>
    <w:rsid w:val="004E5FE6"/>
    <w:rsid w:val="004E619A"/>
    <w:rsid w:val="004E61DD"/>
    <w:rsid w:val="004E6680"/>
    <w:rsid w:val="004E66F7"/>
    <w:rsid w:val="004E67A9"/>
    <w:rsid w:val="004E67F1"/>
    <w:rsid w:val="004E683B"/>
    <w:rsid w:val="004E68C6"/>
    <w:rsid w:val="004E6A18"/>
    <w:rsid w:val="004E6C46"/>
    <w:rsid w:val="004E6D89"/>
    <w:rsid w:val="004E6E04"/>
    <w:rsid w:val="004E6E56"/>
    <w:rsid w:val="004E6E62"/>
    <w:rsid w:val="004E6ED9"/>
    <w:rsid w:val="004E700B"/>
    <w:rsid w:val="004E7040"/>
    <w:rsid w:val="004E704E"/>
    <w:rsid w:val="004E7099"/>
    <w:rsid w:val="004E711B"/>
    <w:rsid w:val="004E715F"/>
    <w:rsid w:val="004E73C9"/>
    <w:rsid w:val="004E746B"/>
    <w:rsid w:val="004E76D4"/>
    <w:rsid w:val="004E7808"/>
    <w:rsid w:val="004E78BE"/>
    <w:rsid w:val="004E78D5"/>
    <w:rsid w:val="004E7E1D"/>
    <w:rsid w:val="004E7E58"/>
    <w:rsid w:val="004E7F92"/>
    <w:rsid w:val="004F00C6"/>
    <w:rsid w:val="004F01D0"/>
    <w:rsid w:val="004F0269"/>
    <w:rsid w:val="004F0291"/>
    <w:rsid w:val="004F02A0"/>
    <w:rsid w:val="004F02EE"/>
    <w:rsid w:val="004F0367"/>
    <w:rsid w:val="004F0381"/>
    <w:rsid w:val="004F06CB"/>
    <w:rsid w:val="004F07F2"/>
    <w:rsid w:val="004F08A9"/>
    <w:rsid w:val="004F08E5"/>
    <w:rsid w:val="004F0906"/>
    <w:rsid w:val="004F0A24"/>
    <w:rsid w:val="004F0B94"/>
    <w:rsid w:val="004F0EA1"/>
    <w:rsid w:val="004F1033"/>
    <w:rsid w:val="004F134E"/>
    <w:rsid w:val="004F16AF"/>
    <w:rsid w:val="004F16B0"/>
    <w:rsid w:val="004F16CB"/>
    <w:rsid w:val="004F18A1"/>
    <w:rsid w:val="004F1931"/>
    <w:rsid w:val="004F1A0F"/>
    <w:rsid w:val="004F1DEB"/>
    <w:rsid w:val="004F1F09"/>
    <w:rsid w:val="004F1F8D"/>
    <w:rsid w:val="004F202A"/>
    <w:rsid w:val="004F20AD"/>
    <w:rsid w:val="004F2151"/>
    <w:rsid w:val="004F21AE"/>
    <w:rsid w:val="004F21BB"/>
    <w:rsid w:val="004F231E"/>
    <w:rsid w:val="004F265C"/>
    <w:rsid w:val="004F280D"/>
    <w:rsid w:val="004F282F"/>
    <w:rsid w:val="004F28BD"/>
    <w:rsid w:val="004F29A6"/>
    <w:rsid w:val="004F2A7B"/>
    <w:rsid w:val="004F2A8A"/>
    <w:rsid w:val="004F2AC9"/>
    <w:rsid w:val="004F2DA2"/>
    <w:rsid w:val="004F2DC2"/>
    <w:rsid w:val="004F2E2E"/>
    <w:rsid w:val="004F304B"/>
    <w:rsid w:val="004F30D4"/>
    <w:rsid w:val="004F318E"/>
    <w:rsid w:val="004F3343"/>
    <w:rsid w:val="004F34BC"/>
    <w:rsid w:val="004F34E5"/>
    <w:rsid w:val="004F3531"/>
    <w:rsid w:val="004F357D"/>
    <w:rsid w:val="004F3690"/>
    <w:rsid w:val="004F3A0B"/>
    <w:rsid w:val="004F3B0C"/>
    <w:rsid w:val="004F3B0D"/>
    <w:rsid w:val="004F3BCF"/>
    <w:rsid w:val="004F3CAA"/>
    <w:rsid w:val="004F3D46"/>
    <w:rsid w:val="004F3D6C"/>
    <w:rsid w:val="004F3DCF"/>
    <w:rsid w:val="004F3EB4"/>
    <w:rsid w:val="004F41E9"/>
    <w:rsid w:val="004F4233"/>
    <w:rsid w:val="004F427F"/>
    <w:rsid w:val="004F446A"/>
    <w:rsid w:val="004F4485"/>
    <w:rsid w:val="004F44E0"/>
    <w:rsid w:val="004F468E"/>
    <w:rsid w:val="004F46D2"/>
    <w:rsid w:val="004F4765"/>
    <w:rsid w:val="004F47DC"/>
    <w:rsid w:val="004F4A8B"/>
    <w:rsid w:val="004F4AF8"/>
    <w:rsid w:val="004F4CB6"/>
    <w:rsid w:val="004F4F10"/>
    <w:rsid w:val="004F5164"/>
    <w:rsid w:val="004F5179"/>
    <w:rsid w:val="004F517D"/>
    <w:rsid w:val="004F524E"/>
    <w:rsid w:val="004F536E"/>
    <w:rsid w:val="004F5386"/>
    <w:rsid w:val="004F541E"/>
    <w:rsid w:val="004F547A"/>
    <w:rsid w:val="004F5561"/>
    <w:rsid w:val="004F55B9"/>
    <w:rsid w:val="004F5857"/>
    <w:rsid w:val="004F5905"/>
    <w:rsid w:val="004F59DE"/>
    <w:rsid w:val="004F5A9D"/>
    <w:rsid w:val="004F5B82"/>
    <w:rsid w:val="004F610D"/>
    <w:rsid w:val="004F6324"/>
    <w:rsid w:val="004F669B"/>
    <w:rsid w:val="004F66BD"/>
    <w:rsid w:val="004F67A3"/>
    <w:rsid w:val="004F67B8"/>
    <w:rsid w:val="004F67C8"/>
    <w:rsid w:val="004F6A4F"/>
    <w:rsid w:val="004F6C91"/>
    <w:rsid w:val="004F6D49"/>
    <w:rsid w:val="004F6F10"/>
    <w:rsid w:val="004F6F3C"/>
    <w:rsid w:val="004F6F95"/>
    <w:rsid w:val="004F7012"/>
    <w:rsid w:val="004F70F2"/>
    <w:rsid w:val="004F7278"/>
    <w:rsid w:val="004F738D"/>
    <w:rsid w:val="004F740F"/>
    <w:rsid w:val="004F76EE"/>
    <w:rsid w:val="004F770C"/>
    <w:rsid w:val="004F79C7"/>
    <w:rsid w:val="004F7A37"/>
    <w:rsid w:val="004F7A5B"/>
    <w:rsid w:val="004F7B0C"/>
    <w:rsid w:val="004F7BBB"/>
    <w:rsid w:val="004F7C96"/>
    <w:rsid w:val="004F7ED3"/>
    <w:rsid w:val="004F7FA3"/>
    <w:rsid w:val="00500101"/>
    <w:rsid w:val="0050047A"/>
    <w:rsid w:val="005006E0"/>
    <w:rsid w:val="00500844"/>
    <w:rsid w:val="0050084F"/>
    <w:rsid w:val="00500AAD"/>
    <w:rsid w:val="00500B9F"/>
    <w:rsid w:val="00500BEB"/>
    <w:rsid w:val="00500E43"/>
    <w:rsid w:val="00500EB3"/>
    <w:rsid w:val="00500EB6"/>
    <w:rsid w:val="00500F26"/>
    <w:rsid w:val="00500F4C"/>
    <w:rsid w:val="00500FCB"/>
    <w:rsid w:val="00500FF7"/>
    <w:rsid w:val="005011E1"/>
    <w:rsid w:val="00501225"/>
    <w:rsid w:val="00501312"/>
    <w:rsid w:val="005014B2"/>
    <w:rsid w:val="0050152A"/>
    <w:rsid w:val="005015F7"/>
    <w:rsid w:val="005017BB"/>
    <w:rsid w:val="00501A69"/>
    <w:rsid w:val="00501B17"/>
    <w:rsid w:val="00501B5E"/>
    <w:rsid w:val="00501BD7"/>
    <w:rsid w:val="00501CA9"/>
    <w:rsid w:val="00501CD6"/>
    <w:rsid w:val="00501D0D"/>
    <w:rsid w:val="00501D13"/>
    <w:rsid w:val="00501E26"/>
    <w:rsid w:val="00501F14"/>
    <w:rsid w:val="005020FE"/>
    <w:rsid w:val="00502250"/>
    <w:rsid w:val="005024A9"/>
    <w:rsid w:val="005024D1"/>
    <w:rsid w:val="00502597"/>
    <w:rsid w:val="00502638"/>
    <w:rsid w:val="005026E3"/>
    <w:rsid w:val="00502770"/>
    <w:rsid w:val="00502788"/>
    <w:rsid w:val="005029EB"/>
    <w:rsid w:val="00502B60"/>
    <w:rsid w:val="00502BEB"/>
    <w:rsid w:val="00502C3B"/>
    <w:rsid w:val="00502C3F"/>
    <w:rsid w:val="00502EDD"/>
    <w:rsid w:val="0050311F"/>
    <w:rsid w:val="00503177"/>
    <w:rsid w:val="005031A4"/>
    <w:rsid w:val="005033B3"/>
    <w:rsid w:val="0050342E"/>
    <w:rsid w:val="00503448"/>
    <w:rsid w:val="005034C5"/>
    <w:rsid w:val="005034E5"/>
    <w:rsid w:val="00503514"/>
    <w:rsid w:val="0050356C"/>
    <w:rsid w:val="0050358E"/>
    <w:rsid w:val="005035C0"/>
    <w:rsid w:val="00503624"/>
    <w:rsid w:val="005036B2"/>
    <w:rsid w:val="005036E9"/>
    <w:rsid w:val="00503706"/>
    <w:rsid w:val="00503A11"/>
    <w:rsid w:val="00503A1F"/>
    <w:rsid w:val="00503A55"/>
    <w:rsid w:val="00503B80"/>
    <w:rsid w:val="00503B95"/>
    <w:rsid w:val="0050423F"/>
    <w:rsid w:val="00504258"/>
    <w:rsid w:val="00504455"/>
    <w:rsid w:val="005046C1"/>
    <w:rsid w:val="005046DD"/>
    <w:rsid w:val="005046E5"/>
    <w:rsid w:val="00504726"/>
    <w:rsid w:val="00504836"/>
    <w:rsid w:val="005049C3"/>
    <w:rsid w:val="00504C1D"/>
    <w:rsid w:val="00504D07"/>
    <w:rsid w:val="00504D66"/>
    <w:rsid w:val="00504F62"/>
    <w:rsid w:val="00504FD0"/>
    <w:rsid w:val="00505016"/>
    <w:rsid w:val="00505024"/>
    <w:rsid w:val="005050E8"/>
    <w:rsid w:val="005051B2"/>
    <w:rsid w:val="005051D4"/>
    <w:rsid w:val="00505224"/>
    <w:rsid w:val="00505265"/>
    <w:rsid w:val="0050529B"/>
    <w:rsid w:val="005052F0"/>
    <w:rsid w:val="00505513"/>
    <w:rsid w:val="0050551F"/>
    <w:rsid w:val="00505533"/>
    <w:rsid w:val="00505580"/>
    <w:rsid w:val="0050566A"/>
    <w:rsid w:val="005057B6"/>
    <w:rsid w:val="005058A4"/>
    <w:rsid w:val="005058F5"/>
    <w:rsid w:val="00505A8B"/>
    <w:rsid w:val="00505AC9"/>
    <w:rsid w:val="00505B8C"/>
    <w:rsid w:val="00505CC2"/>
    <w:rsid w:val="00505E75"/>
    <w:rsid w:val="00506270"/>
    <w:rsid w:val="0050641D"/>
    <w:rsid w:val="0050646B"/>
    <w:rsid w:val="00506609"/>
    <w:rsid w:val="00506657"/>
    <w:rsid w:val="00506895"/>
    <w:rsid w:val="00506921"/>
    <w:rsid w:val="005069EC"/>
    <w:rsid w:val="00506B31"/>
    <w:rsid w:val="00506F27"/>
    <w:rsid w:val="00506FC2"/>
    <w:rsid w:val="005071F5"/>
    <w:rsid w:val="0050720F"/>
    <w:rsid w:val="0050730E"/>
    <w:rsid w:val="005074F5"/>
    <w:rsid w:val="00507507"/>
    <w:rsid w:val="00507550"/>
    <w:rsid w:val="0050784C"/>
    <w:rsid w:val="005078FA"/>
    <w:rsid w:val="00507AD8"/>
    <w:rsid w:val="00507AF6"/>
    <w:rsid w:val="00507BC5"/>
    <w:rsid w:val="00507CCE"/>
    <w:rsid w:val="00507D46"/>
    <w:rsid w:val="00507DBA"/>
    <w:rsid w:val="00507DCA"/>
    <w:rsid w:val="00510054"/>
    <w:rsid w:val="00510197"/>
    <w:rsid w:val="00510394"/>
    <w:rsid w:val="00510407"/>
    <w:rsid w:val="005104A8"/>
    <w:rsid w:val="00510503"/>
    <w:rsid w:val="005105ED"/>
    <w:rsid w:val="0051067C"/>
    <w:rsid w:val="00510754"/>
    <w:rsid w:val="00510769"/>
    <w:rsid w:val="0051077B"/>
    <w:rsid w:val="005107B9"/>
    <w:rsid w:val="005108D0"/>
    <w:rsid w:val="00510A20"/>
    <w:rsid w:val="00510A87"/>
    <w:rsid w:val="00510B51"/>
    <w:rsid w:val="00510B63"/>
    <w:rsid w:val="00510B6F"/>
    <w:rsid w:val="00510BF5"/>
    <w:rsid w:val="00510EAB"/>
    <w:rsid w:val="00511081"/>
    <w:rsid w:val="00511163"/>
    <w:rsid w:val="00511318"/>
    <w:rsid w:val="0051131C"/>
    <w:rsid w:val="00511468"/>
    <w:rsid w:val="005114CF"/>
    <w:rsid w:val="005114F3"/>
    <w:rsid w:val="00511802"/>
    <w:rsid w:val="00511813"/>
    <w:rsid w:val="00511926"/>
    <w:rsid w:val="00511A6B"/>
    <w:rsid w:val="00511D9F"/>
    <w:rsid w:val="00511E1C"/>
    <w:rsid w:val="00511F61"/>
    <w:rsid w:val="005122DA"/>
    <w:rsid w:val="0051237A"/>
    <w:rsid w:val="00512440"/>
    <w:rsid w:val="00512474"/>
    <w:rsid w:val="005125DA"/>
    <w:rsid w:val="005126D8"/>
    <w:rsid w:val="00512862"/>
    <w:rsid w:val="00512940"/>
    <w:rsid w:val="00512A7C"/>
    <w:rsid w:val="00512B0F"/>
    <w:rsid w:val="00512B73"/>
    <w:rsid w:val="00512E10"/>
    <w:rsid w:val="00512F41"/>
    <w:rsid w:val="00512FD2"/>
    <w:rsid w:val="005130A6"/>
    <w:rsid w:val="00513120"/>
    <w:rsid w:val="0051314B"/>
    <w:rsid w:val="0051336A"/>
    <w:rsid w:val="005133C1"/>
    <w:rsid w:val="005134F4"/>
    <w:rsid w:val="005136DD"/>
    <w:rsid w:val="0051376E"/>
    <w:rsid w:val="00513775"/>
    <w:rsid w:val="00513795"/>
    <w:rsid w:val="005137A2"/>
    <w:rsid w:val="005139DB"/>
    <w:rsid w:val="00513A9B"/>
    <w:rsid w:val="00513AB8"/>
    <w:rsid w:val="00513B3E"/>
    <w:rsid w:val="00513B97"/>
    <w:rsid w:val="00513BF2"/>
    <w:rsid w:val="00513C25"/>
    <w:rsid w:val="00513D31"/>
    <w:rsid w:val="00513ED4"/>
    <w:rsid w:val="00513F2E"/>
    <w:rsid w:val="00514177"/>
    <w:rsid w:val="00514230"/>
    <w:rsid w:val="00514411"/>
    <w:rsid w:val="005144D7"/>
    <w:rsid w:val="005145D6"/>
    <w:rsid w:val="00514611"/>
    <w:rsid w:val="00514660"/>
    <w:rsid w:val="005146B5"/>
    <w:rsid w:val="005148D8"/>
    <w:rsid w:val="005149FD"/>
    <w:rsid w:val="00514AF1"/>
    <w:rsid w:val="00514B8B"/>
    <w:rsid w:val="00514DF6"/>
    <w:rsid w:val="00514E6D"/>
    <w:rsid w:val="00514EDB"/>
    <w:rsid w:val="00514EF3"/>
    <w:rsid w:val="00514EFB"/>
    <w:rsid w:val="00514F0B"/>
    <w:rsid w:val="005154B4"/>
    <w:rsid w:val="005155B8"/>
    <w:rsid w:val="005155D1"/>
    <w:rsid w:val="005159D2"/>
    <w:rsid w:val="00515AF5"/>
    <w:rsid w:val="00515B90"/>
    <w:rsid w:val="00515D28"/>
    <w:rsid w:val="00515DE5"/>
    <w:rsid w:val="00515F9F"/>
    <w:rsid w:val="005160A5"/>
    <w:rsid w:val="0051619C"/>
    <w:rsid w:val="0051630A"/>
    <w:rsid w:val="00516316"/>
    <w:rsid w:val="00516350"/>
    <w:rsid w:val="00516488"/>
    <w:rsid w:val="005165B8"/>
    <w:rsid w:val="005165C5"/>
    <w:rsid w:val="00516648"/>
    <w:rsid w:val="00516708"/>
    <w:rsid w:val="00516BC1"/>
    <w:rsid w:val="00516D33"/>
    <w:rsid w:val="00516DFE"/>
    <w:rsid w:val="00517198"/>
    <w:rsid w:val="0051738B"/>
    <w:rsid w:val="00517455"/>
    <w:rsid w:val="0051745C"/>
    <w:rsid w:val="00517474"/>
    <w:rsid w:val="005174D3"/>
    <w:rsid w:val="005174F9"/>
    <w:rsid w:val="005176BE"/>
    <w:rsid w:val="00517783"/>
    <w:rsid w:val="0051788B"/>
    <w:rsid w:val="00517975"/>
    <w:rsid w:val="005179F0"/>
    <w:rsid w:val="00517B4B"/>
    <w:rsid w:val="00517B76"/>
    <w:rsid w:val="00517C32"/>
    <w:rsid w:val="00517D6D"/>
    <w:rsid w:val="00520019"/>
    <w:rsid w:val="005201B5"/>
    <w:rsid w:val="005203AA"/>
    <w:rsid w:val="00520506"/>
    <w:rsid w:val="005206C4"/>
    <w:rsid w:val="0052074B"/>
    <w:rsid w:val="0052081A"/>
    <w:rsid w:val="0052082A"/>
    <w:rsid w:val="0052095A"/>
    <w:rsid w:val="00520C0F"/>
    <w:rsid w:val="00520CEB"/>
    <w:rsid w:val="00520D8A"/>
    <w:rsid w:val="00520F33"/>
    <w:rsid w:val="00520F7E"/>
    <w:rsid w:val="00520FC5"/>
    <w:rsid w:val="0052138D"/>
    <w:rsid w:val="005213DF"/>
    <w:rsid w:val="005215CC"/>
    <w:rsid w:val="00521663"/>
    <w:rsid w:val="005217C6"/>
    <w:rsid w:val="005218DA"/>
    <w:rsid w:val="00521A91"/>
    <w:rsid w:val="00521B69"/>
    <w:rsid w:val="00521BE2"/>
    <w:rsid w:val="00521D80"/>
    <w:rsid w:val="00521EF5"/>
    <w:rsid w:val="00521F6A"/>
    <w:rsid w:val="00522127"/>
    <w:rsid w:val="00522170"/>
    <w:rsid w:val="00522191"/>
    <w:rsid w:val="005221B2"/>
    <w:rsid w:val="00522273"/>
    <w:rsid w:val="00522641"/>
    <w:rsid w:val="005226BE"/>
    <w:rsid w:val="005227CE"/>
    <w:rsid w:val="005227D5"/>
    <w:rsid w:val="005227E4"/>
    <w:rsid w:val="005228A2"/>
    <w:rsid w:val="00522B86"/>
    <w:rsid w:val="00522BA7"/>
    <w:rsid w:val="00522CE3"/>
    <w:rsid w:val="00522D2B"/>
    <w:rsid w:val="00522D61"/>
    <w:rsid w:val="005230EF"/>
    <w:rsid w:val="00523140"/>
    <w:rsid w:val="00523372"/>
    <w:rsid w:val="005234E2"/>
    <w:rsid w:val="00523524"/>
    <w:rsid w:val="005236F8"/>
    <w:rsid w:val="00523787"/>
    <w:rsid w:val="005238FC"/>
    <w:rsid w:val="00523ACF"/>
    <w:rsid w:val="00523C8A"/>
    <w:rsid w:val="00523E8C"/>
    <w:rsid w:val="00523E9A"/>
    <w:rsid w:val="00524136"/>
    <w:rsid w:val="00524196"/>
    <w:rsid w:val="005244D9"/>
    <w:rsid w:val="00524589"/>
    <w:rsid w:val="005245CF"/>
    <w:rsid w:val="00524699"/>
    <w:rsid w:val="00524792"/>
    <w:rsid w:val="00524854"/>
    <w:rsid w:val="00524897"/>
    <w:rsid w:val="005248DA"/>
    <w:rsid w:val="00524975"/>
    <w:rsid w:val="00524C1E"/>
    <w:rsid w:val="00524C9C"/>
    <w:rsid w:val="00524D80"/>
    <w:rsid w:val="005250AC"/>
    <w:rsid w:val="00525227"/>
    <w:rsid w:val="00525252"/>
    <w:rsid w:val="005252C1"/>
    <w:rsid w:val="0052535F"/>
    <w:rsid w:val="0052554C"/>
    <w:rsid w:val="00525761"/>
    <w:rsid w:val="00525864"/>
    <w:rsid w:val="00525891"/>
    <w:rsid w:val="005258DF"/>
    <w:rsid w:val="005258F9"/>
    <w:rsid w:val="00525954"/>
    <w:rsid w:val="005259A1"/>
    <w:rsid w:val="005259B1"/>
    <w:rsid w:val="005259B6"/>
    <w:rsid w:val="00525A1A"/>
    <w:rsid w:val="00525CBD"/>
    <w:rsid w:val="00525E14"/>
    <w:rsid w:val="00525E2C"/>
    <w:rsid w:val="00525EC9"/>
    <w:rsid w:val="005260A5"/>
    <w:rsid w:val="005261B6"/>
    <w:rsid w:val="00526252"/>
    <w:rsid w:val="0052626D"/>
    <w:rsid w:val="00526288"/>
    <w:rsid w:val="005262ED"/>
    <w:rsid w:val="00526313"/>
    <w:rsid w:val="005263DD"/>
    <w:rsid w:val="0052654F"/>
    <w:rsid w:val="00526583"/>
    <w:rsid w:val="005265F0"/>
    <w:rsid w:val="00526626"/>
    <w:rsid w:val="00526742"/>
    <w:rsid w:val="0052674C"/>
    <w:rsid w:val="00526784"/>
    <w:rsid w:val="00526813"/>
    <w:rsid w:val="005268C9"/>
    <w:rsid w:val="00526AFF"/>
    <w:rsid w:val="00526C3E"/>
    <w:rsid w:val="00526D21"/>
    <w:rsid w:val="00526E8B"/>
    <w:rsid w:val="00526EE1"/>
    <w:rsid w:val="00526FD9"/>
    <w:rsid w:val="00526FFA"/>
    <w:rsid w:val="00527268"/>
    <w:rsid w:val="0052727A"/>
    <w:rsid w:val="005272A9"/>
    <w:rsid w:val="0052751A"/>
    <w:rsid w:val="005276FF"/>
    <w:rsid w:val="00527908"/>
    <w:rsid w:val="00527AF3"/>
    <w:rsid w:val="00527B96"/>
    <w:rsid w:val="00527F32"/>
    <w:rsid w:val="00527F9E"/>
    <w:rsid w:val="00527FDD"/>
    <w:rsid w:val="00530024"/>
    <w:rsid w:val="005300A3"/>
    <w:rsid w:val="005300EF"/>
    <w:rsid w:val="00530122"/>
    <w:rsid w:val="00530369"/>
    <w:rsid w:val="005304F8"/>
    <w:rsid w:val="005305EC"/>
    <w:rsid w:val="005305EE"/>
    <w:rsid w:val="0053078F"/>
    <w:rsid w:val="00530833"/>
    <w:rsid w:val="005308DF"/>
    <w:rsid w:val="00530A5A"/>
    <w:rsid w:val="00530E8C"/>
    <w:rsid w:val="00530F85"/>
    <w:rsid w:val="00530FE2"/>
    <w:rsid w:val="0053106C"/>
    <w:rsid w:val="005311B1"/>
    <w:rsid w:val="005311B5"/>
    <w:rsid w:val="0053174E"/>
    <w:rsid w:val="005317BB"/>
    <w:rsid w:val="00531840"/>
    <w:rsid w:val="0053189F"/>
    <w:rsid w:val="005318B2"/>
    <w:rsid w:val="005319BE"/>
    <w:rsid w:val="00531A08"/>
    <w:rsid w:val="00531A20"/>
    <w:rsid w:val="00531A68"/>
    <w:rsid w:val="00531D44"/>
    <w:rsid w:val="00531DB2"/>
    <w:rsid w:val="00531DE6"/>
    <w:rsid w:val="00531DFF"/>
    <w:rsid w:val="00531E87"/>
    <w:rsid w:val="00531EA7"/>
    <w:rsid w:val="00532015"/>
    <w:rsid w:val="005322F1"/>
    <w:rsid w:val="005323D8"/>
    <w:rsid w:val="005324D4"/>
    <w:rsid w:val="0053258F"/>
    <w:rsid w:val="005325BA"/>
    <w:rsid w:val="005326DA"/>
    <w:rsid w:val="005327BC"/>
    <w:rsid w:val="0053282A"/>
    <w:rsid w:val="005328F8"/>
    <w:rsid w:val="00532A0A"/>
    <w:rsid w:val="00532A45"/>
    <w:rsid w:val="00532BEB"/>
    <w:rsid w:val="00532C8E"/>
    <w:rsid w:val="00532CF3"/>
    <w:rsid w:val="00532D2D"/>
    <w:rsid w:val="00532FDC"/>
    <w:rsid w:val="005330E5"/>
    <w:rsid w:val="005336C5"/>
    <w:rsid w:val="005337CE"/>
    <w:rsid w:val="00533862"/>
    <w:rsid w:val="005338D9"/>
    <w:rsid w:val="005339AE"/>
    <w:rsid w:val="00533AC6"/>
    <w:rsid w:val="00533AED"/>
    <w:rsid w:val="00533B94"/>
    <w:rsid w:val="00533D0C"/>
    <w:rsid w:val="00533DB3"/>
    <w:rsid w:val="00533FB6"/>
    <w:rsid w:val="00533FF0"/>
    <w:rsid w:val="0053401B"/>
    <w:rsid w:val="005340B2"/>
    <w:rsid w:val="005340DC"/>
    <w:rsid w:val="005341C9"/>
    <w:rsid w:val="005342B5"/>
    <w:rsid w:val="005342F6"/>
    <w:rsid w:val="0053437A"/>
    <w:rsid w:val="00534380"/>
    <w:rsid w:val="0053456D"/>
    <w:rsid w:val="00534613"/>
    <w:rsid w:val="0053483A"/>
    <w:rsid w:val="00534915"/>
    <w:rsid w:val="00534918"/>
    <w:rsid w:val="00534B78"/>
    <w:rsid w:val="00534C26"/>
    <w:rsid w:val="00534CBF"/>
    <w:rsid w:val="00534D5A"/>
    <w:rsid w:val="00534EDC"/>
    <w:rsid w:val="0053503E"/>
    <w:rsid w:val="00535042"/>
    <w:rsid w:val="0053504E"/>
    <w:rsid w:val="005350BA"/>
    <w:rsid w:val="00535107"/>
    <w:rsid w:val="005353DE"/>
    <w:rsid w:val="005355A6"/>
    <w:rsid w:val="005355CE"/>
    <w:rsid w:val="005355D1"/>
    <w:rsid w:val="0053596A"/>
    <w:rsid w:val="00535A1E"/>
    <w:rsid w:val="00535A8E"/>
    <w:rsid w:val="00535CC9"/>
    <w:rsid w:val="00535EC8"/>
    <w:rsid w:val="00536005"/>
    <w:rsid w:val="005361DE"/>
    <w:rsid w:val="0053636E"/>
    <w:rsid w:val="00536529"/>
    <w:rsid w:val="005365CF"/>
    <w:rsid w:val="0053665E"/>
    <w:rsid w:val="0053668D"/>
    <w:rsid w:val="00536878"/>
    <w:rsid w:val="005369DE"/>
    <w:rsid w:val="00536AA6"/>
    <w:rsid w:val="00536B3C"/>
    <w:rsid w:val="00536E19"/>
    <w:rsid w:val="005370C3"/>
    <w:rsid w:val="005371A5"/>
    <w:rsid w:val="005372D7"/>
    <w:rsid w:val="005372FF"/>
    <w:rsid w:val="005374A0"/>
    <w:rsid w:val="00537622"/>
    <w:rsid w:val="00537644"/>
    <w:rsid w:val="005376E6"/>
    <w:rsid w:val="005376F4"/>
    <w:rsid w:val="0053779B"/>
    <w:rsid w:val="005377FC"/>
    <w:rsid w:val="00537930"/>
    <w:rsid w:val="00537942"/>
    <w:rsid w:val="005379EE"/>
    <w:rsid w:val="005379F8"/>
    <w:rsid w:val="00537CBC"/>
    <w:rsid w:val="00537CBF"/>
    <w:rsid w:val="00537D5D"/>
    <w:rsid w:val="00537E27"/>
    <w:rsid w:val="005401F9"/>
    <w:rsid w:val="00540306"/>
    <w:rsid w:val="00540477"/>
    <w:rsid w:val="005406A3"/>
    <w:rsid w:val="00540712"/>
    <w:rsid w:val="00540843"/>
    <w:rsid w:val="00540AD6"/>
    <w:rsid w:val="00540B69"/>
    <w:rsid w:val="00540F13"/>
    <w:rsid w:val="00540FD8"/>
    <w:rsid w:val="0054109A"/>
    <w:rsid w:val="005410FC"/>
    <w:rsid w:val="00541250"/>
    <w:rsid w:val="0054146F"/>
    <w:rsid w:val="00541486"/>
    <w:rsid w:val="0054148C"/>
    <w:rsid w:val="005415CC"/>
    <w:rsid w:val="00541687"/>
    <w:rsid w:val="0054172D"/>
    <w:rsid w:val="00541880"/>
    <w:rsid w:val="00541B10"/>
    <w:rsid w:val="00541CBD"/>
    <w:rsid w:val="00541D60"/>
    <w:rsid w:val="00541D90"/>
    <w:rsid w:val="00541E9D"/>
    <w:rsid w:val="005421D3"/>
    <w:rsid w:val="00542292"/>
    <w:rsid w:val="005423D9"/>
    <w:rsid w:val="0054240B"/>
    <w:rsid w:val="00542675"/>
    <w:rsid w:val="00542946"/>
    <w:rsid w:val="005429FB"/>
    <w:rsid w:val="00542C04"/>
    <w:rsid w:val="00542D86"/>
    <w:rsid w:val="00542F4D"/>
    <w:rsid w:val="0054316E"/>
    <w:rsid w:val="005433F5"/>
    <w:rsid w:val="0054342B"/>
    <w:rsid w:val="00543597"/>
    <w:rsid w:val="005435B1"/>
    <w:rsid w:val="0054378C"/>
    <w:rsid w:val="00543793"/>
    <w:rsid w:val="00543813"/>
    <w:rsid w:val="00543815"/>
    <w:rsid w:val="00543832"/>
    <w:rsid w:val="005438F5"/>
    <w:rsid w:val="00543985"/>
    <w:rsid w:val="00543AD0"/>
    <w:rsid w:val="00543CA2"/>
    <w:rsid w:val="00543D6F"/>
    <w:rsid w:val="00544004"/>
    <w:rsid w:val="005440C6"/>
    <w:rsid w:val="0054413F"/>
    <w:rsid w:val="0054421D"/>
    <w:rsid w:val="005443FE"/>
    <w:rsid w:val="005444F1"/>
    <w:rsid w:val="00544522"/>
    <w:rsid w:val="0054453B"/>
    <w:rsid w:val="005445D5"/>
    <w:rsid w:val="0054469B"/>
    <w:rsid w:val="00544714"/>
    <w:rsid w:val="00544767"/>
    <w:rsid w:val="005447BB"/>
    <w:rsid w:val="005447D5"/>
    <w:rsid w:val="00544876"/>
    <w:rsid w:val="00544AEC"/>
    <w:rsid w:val="00544E80"/>
    <w:rsid w:val="00544F15"/>
    <w:rsid w:val="005451A3"/>
    <w:rsid w:val="00545265"/>
    <w:rsid w:val="005452C0"/>
    <w:rsid w:val="00545499"/>
    <w:rsid w:val="0054556E"/>
    <w:rsid w:val="005457BE"/>
    <w:rsid w:val="00545830"/>
    <w:rsid w:val="00545B09"/>
    <w:rsid w:val="00545B63"/>
    <w:rsid w:val="00545CC1"/>
    <w:rsid w:val="00545CE7"/>
    <w:rsid w:val="00545D6F"/>
    <w:rsid w:val="00546006"/>
    <w:rsid w:val="00546148"/>
    <w:rsid w:val="00546263"/>
    <w:rsid w:val="005462D1"/>
    <w:rsid w:val="005462D6"/>
    <w:rsid w:val="00546335"/>
    <w:rsid w:val="005463B1"/>
    <w:rsid w:val="00546461"/>
    <w:rsid w:val="0054649C"/>
    <w:rsid w:val="005464AC"/>
    <w:rsid w:val="0054651D"/>
    <w:rsid w:val="005466C6"/>
    <w:rsid w:val="0054680A"/>
    <w:rsid w:val="00546842"/>
    <w:rsid w:val="00546861"/>
    <w:rsid w:val="00546A52"/>
    <w:rsid w:val="00546A91"/>
    <w:rsid w:val="00546C5C"/>
    <w:rsid w:val="00546D7D"/>
    <w:rsid w:val="00546EC0"/>
    <w:rsid w:val="00546F14"/>
    <w:rsid w:val="00547084"/>
    <w:rsid w:val="005470AF"/>
    <w:rsid w:val="00547369"/>
    <w:rsid w:val="0054763D"/>
    <w:rsid w:val="005476A9"/>
    <w:rsid w:val="00547879"/>
    <w:rsid w:val="00547995"/>
    <w:rsid w:val="00547A97"/>
    <w:rsid w:val="00547AD0"/>
    <w:rsid w:val="00547BE8"/>
    <w:rsid w:val="00547D05"/>
    <w:rsid w:val="00547DA0"/>
    <w:rsid w:val="00547DC1"/>
    <w:rsid w:val="0055023A"/>
    <w:rsid w:val="005502D0"/>
    <w:rsid w:val="005504B2"/>
    <w:rsid w:val="00550637"/>
    <w:rsid w:val="005506AB"/>
    <w:rsid w:val="0055088C"/>
    <w:rsid w:val="00550B12"/>
    <w:rsid w:val="00550C42"/>
    <w:rsid w:val="00550C8A"/>
    <w:rsid w:val="00550D99"/>
    <w:rsid w:val="00550F06"/>
    <w:rsid w:val="00551590"/>
    <w:rsid w:val="00551726"/>
    <w:rsid w:val="00551785"/>
    <w:rsid w:val="005518E9"/>
    <w:rsid w:val="00551A6C"/>
    <w:rsid w:val="00551B69"/>
    <w:rsid w:val="00551B7D"/>
    <w:rsid w:val="00551D78"/>
    <w:rsid w:val="00551F2B"/>
    <w:rsid w:val="005520B4"/>
    <w:rsid w:val="005520C9"/>
    <w:rsid w:val="00552292"/>
    <w:rsid w:val="00552390"/>
    <w:rsid w:val="00552630"/>
    <w:rsid w:val="0055276D"/>
    <w:rsid w:val="005527E5"/>
    <w:rsid w:val="005528D3"/>
    <w:rsid w:val="005528E5"/>
    <w:rsid w:val="00552AA5"/>
    <w:rsid w:val="00552AC0"/>
    <w:rsid w:val="00552B10"/>
    <w:rsid w:val="00552B12"/>
    <w:rsid w:val="00552BA5"/>
    <w:rsid w:val="00552C31"/>
    <w:rsid w:val="00552C5B"/>
    <w:rsid w:val="00552D05"/>
    <w:rsid w:val="00552D39"/>
    <w:rsid w:val="00552D9C"/>
    <w:rsid w:val="00552ED2"/>
    <w:rsid w:val="0055303F"/>
    <w:rsid w:val="005530B5"/>
    <w:rsid w:val="005530BE"/>
    <w:rsid w:val="005531B4"/>
    <w:rsid w:val="005533C1"/>
    <w:rsid w:val="005534AC"/>
    <w:rsid w:val="005534CF"/>
    <w:rsid w:val="00553530"/>
    <w:rsid w:val="00553705"/>
    <w:rsid w:val="00553823"/>
    <w:rsid w:val="0055382D"/>
    <w:rsid w:val="0055384C"/>
    <w:rsid w:val="005538A3"/>
    <w:rsid w:val="0055397B"/>
    <w:rsid w:val="00553A3C"/>
    <w:rsid w:val="00553DCF"/>
    <w:rsid w:val="00553E11"/>
    <w:rsid w:val="00553E26"/>
    <w:rsid w:val="00554052"/>
    <w:rsid w:val="005540D4"/>
    <w:rsid w:val="0055410E"/>
    <w:rsid w:val="0055424D"/>
    <w:rsid w:val="0055426A"/>
    <w:rsid w:val="005543FC"/>
    <w:rsid w:val="005544E6"/>
    <w:rsid w:val="00554515"/>
    <w:rsid w:val="0055463B"/>
    <w:rsid w:val="005546CF"/>
    <w:rsid w:val="005546E2"/>
    <w:rsid w:val="00554702"/>
    <w:rsid w:val="00554D0B"/>
    <w:rsid w:val="00554DCB"/>
    <w:rsid w:val="00554F3E"/>
    <w:rsid w:val="0055507F"/>
    <w:rsid w:val="005550CA"/>
    <w:rsid w:val="0055520A"/>
    <w:rsid w:val="005553F0"/>
    <w:rsid w:val="0055541E"/>
    <w:rsid w:val="00555538"/>
    <w:rsid w:val="0055559D"/>
    <w:rsid w:val="005557ED"/>
    <w:rsid w:val="00555859"/>
    <w:rsid w:val="0055589D"/>
    <w:rsid w:val="005559FD"/>
    <w:rsid w:val="00555ACB"/>
    <w:rsid w:val="00555AE1"/>
    <w:rsid w:val="00555C0B"/>
    <w:rsid w:val="00555CD4"/>
    <w:rsid w:val="00555DEB"/>
    <w:rsid w:val="00555E0E"/>
    <w:rsid w:val="005561E7"/>
    <w:rsid w:val="0055626F"/>
    <w:rsid w:val="00556307"/>
    <w:rsid w:val="0055633C"/>
    <w:rsid w:val="0055646E"/>
    <w:rsid w:val="005566BA"/>
    <w:rsid w:val="005566E1"/>
    <w:rsid w:val="00556734"/>
    <w:rsid w:val="0055681D"/>
    <w:rsid w:val="00556964"/>
    <w:rsid w:val="0055699F"/>
    <w:rsid w:val="00556A7D"/>
    <w:rsid w:val="00556A99"/>
    <w:rsid w:val="00556AE6"/>
    <w:rsid w:val="00556CA3"/>
    <w:rsid w:val="00556CC6"/>
    <w:rsid w:val="00556EFE"/>
    <w:rsid w:val="00556F1E"/>
    <w:rsid w:val="00557011"/>
    <w:rsid w:val="00557126"/>
    <w:rsid w:val="00557330"/>
    <w:rsid w:val="00557459"/>
    <w:rsid w:val="005574D7"/>
    <w:rsid w:val="0055763E"/>
    <w:rsid w:val="005576BD"/>
    <w:rsid w:val="00557713"/>
    <w:rsid w:val="00557762"/>
    <w:rsid w:val="005579AB"/>
    <w:rsid w:val="005579B7"/>
    <w:rsid w:val="00557A14"/>
    <w:rsid w:val="00557A52"/>
    <w:rsid w:val="00557BAD"/>
    <w:rsid w:val="00557C3E"/>
    <w:rsid w:val="00557CC0"/>
    <w:rsid w:val="00557E07"/>
    <w:rsid w:val="00560170"/>
    <w:rsid w:val="0056023B"/>
    <w:rsid w:val="00560440"/>
    <w:rsid w:val="005605EA"/>
    <w:rsid w:val="005606CC"/>
    <w:rsid w:val="005608A0"/>
    <w:rsid w:val="00560AA1"/>
    <w:rsid w:val="00560B31"/>
    <w:rsid w:val="00560CF9"/>
    <w:rsid w:val="00560D63"/>
    <w:rsid w:val="00560D6C"/>
    <w:rsid w:val="00560D7D"/>
    <w:rsid w:val="00560E01"/>
    <w:rsid w:val="00560E55"/>
    <w:rsid w:val="00560F05"/>
    <w:rsid w:val="00560FF7"/>
    <w:rsid w:val="00561126"/>
    <w:rsid w:val="0056123C"/>
    <w:rsid w:val="00561294"/>
    <w:rsid w:val="0056141B"/>
    <w:rsid w:val="00561534"/>
    <w:rsid w:val="005615A3"/>
    <w:rsid w:val="005615C9"/>
    <w:rsid w:val="00561744"/>
    <w:rsid w:val="005618B1"/>
    <w:rsid w:val="005618F1"/>
    <w:rsid w:val="005619F0"/>
    <w:rsid w:val="00561C1F"/>
    <w:rsid w:val="00561D84"/>
    <w:rsid w:val="00561ED6"/>
    <w:rsid w:val="00562015"/>
    <w:rsid w:val="005622EF"/>
    <w:rsid w:val="005623EA"/>
    <w:rsid w:val="005623F0"/>
    <w:rsid w:val="005624B6"/>
    <w:rsid w:val="005624C4"/>
    <w:rsid w:val="0056268C"/>
    <w:rsid w:val="00562750"/>
    <w:rsid w:val="0056276D"/>
    <w:rsid w:val="0056299A"/>
    <w:rsid w:val="00562A90"/>
    <w:rsid w:val="00562B65"/>
    <w:rsid w:val="00562D56"/>
    <w:rsid w:val="00562DB0"/>
    <w:rsid w:val="00562DBF"/>
    <w:rsid w:val="00562E63"/>
    <w:rsid w:val="00562FB3"/>
    <w:rsid w:val="005630EB"/>
    <w:rsid w:val="00563238"/>
    <w:rsid w:val="00563256"/>
    <w:rsid w:val="005633BE"/>
    <w:rsid w:val="00563561"/>
    <w:rsid w:val="00563584"/>
    <w:rsid w:val="005636FD"/>
    <w:rsid w:val="005637D7"/>
    <w:rsid w:val="00563875"/>
    <w:rsid w:val="005638ED"/>
    <w:rsid w:val="00563AB4"/>
    <w:rsid w:val="00563B60"/>
    <w:rsid w:val="00563BA4"/>
    <w:rsid w:val="00563D50"/>
    <w:rsid w:val="00563D57"/>
    <w:rsid w:val="00563E63"/>
    <w:rsid w:val="00563F03"/>
    <w:rsid w:val="00563F32"/>
    <w:rsid w:val="00563FC4"/>
    <w:rsid w:val="005642C0"/>
    <w:rsid w:val="00564341"/>
    <w:rsid w:val="00564356"/>
    <w:rsid w:val="005643F8"/>
    <w:rsid w:val="00564584"/>
    <w:rsid w:val="00564629"/>
    <w:rsid w:val="00564C97"/>
    <w:rsid w:val="00564DBB"/>
    <w:rsid w:val="00564EFD"/>
    <w:rsid w:val="00564FD9"/>
    <w:rsid w:val="0056529E"/>
    <w:rsid w:val="005652F6"/>
    <w:rsid w:val="0056545E"/>
    <w:rsid w:val="0056548F"/>
    <w:rsid w:val="0056553E"/>
    <w:rsid w:val="00565544"/>
    <w:rsid w:val="005656EE"/>
    <w:rsid w:val="00565731"/>
    <w:rsid w:val="0056578B"/>
    <w:rsid w:val="005659EA"/>
    <w:rsid w:val="00565B51"/>
    <w:rsid w:val="00565B73"/>
    <w:rsid w:val="00565BB0"/>
    <w:rsid w:val="00565BF1"/>
    <w:rsid w:val="00565C6D"/>
    <w:rsid w:val="00565E7C"/>
    <w:rsid w:val="00565EED"/>
    <w:rsid w:val="00565F6D"/>
    <w:rsid w:val="00565FC1"/>
    <w:rsid w:val="005660B3"/>
    <w:rsid w:val="005660D5"/>
    <w:rsid w:val="005660DD"/>
    <w:rsid w:val="005661B1"/>
    <w:rsid w:val="005662AB"/>
    <w:rsid w:val="00566300"/>
    <w:rsid w:val="0056640D"/>
    <w:rsid w:val="00566426"/>
    <w:rsid w:val="00566664"/>
    <w:rsid w:val="00566829"/>
    <w:rsid w:val="00566863"/>
    <w:rsid w:val="0056688A"/>
    <w:rsid w:val="00566B0A"/>
    <w:rsid w:val="00566BA3"/>
    <w:rsid w:val="00566DFD"/>
    <w:rsid w:val="00567027"/>
    <w:rsid w:val="00567038"/>
    <w:rsid w:val="0056704E"/>
    <w:rsid w:val="00567050"/>
    <w:rsid w:val="00567114"/>
    <w:rsid w:val="0056737E"/>
    <w:rsid w:val="00567525"/>
    <w:rsid w:val="0056757F"/>
    <w:rsid w:val="005675C5"/>
    <w:rsid w:val="005679FA"/>
    <w:rsid w:val="00567A26"/>
    <w:rsid w:val="00567B27"/>
    <w:rsid w:val="00567B72"/>
    <w:rsid w:val="00567D21"/>
    <w:rsid w:val="00567FA4"/>
    <w:rsid w:val="005700CC"/>
    <w:rsid w:val="005701FE"/>
    <w:rsid w:val="005704DF"/>
    <w:rsid w:val="005705D2"/>
    <w:rsid w:val="005707CD"/>
    <w:rsid w:val="005708B1"/>
    <w:rsid w:val="005708C9"/>
    <w:rsid w:val="005709F6"/>
    <w:rsid w:val="00570A78"/>
    <w:rsid w:val="00570BEA"/>
    <w:rsid w:val="00570C3D"/>
    <w:rsid w:val="00570C42"/>
    <w:rsid w:val="00570C43"/>
    <w:rsid w:val="00571174"/>
    <w:rsid w:val="005713CB"/>
    <w:rsid w:val="00571496"/>
    <w:rsid w:val="005714CE"/>
    <w:rsid w:val="0057153C"/>
    <w:rsid w:val="005715DC"/>
    <w:rsid w:val="00571A5A"/>
    <w:rsid w:val="00571AC6"/>
    <w:rsid w:val="00571F8F"/>
    <w:rsid w:val="005720B2"/>
    <w:rsid w:val="0057222E"/>
    <w:rsid w:val="00572274"/>
    <w:rsid w:val="0057240B"/>
    <w:rsid w:val="0057240C"/>
    <w:rsid w:val="00572626"/>
    <w:rsid w:val="0057285D"/>
    <w:rsid w:val="005728B3"/>
    <w:rsid w:val="005729D0"/>
    <w:rsid w:val="00572A8A"/>
    <w:rsid w:val="00572B26"/>
    <w:rsid w:val="00572B2F"/>
    <w:rsid w:val="00572D3B"/>
    <w:rsid w:val="00572FC5"/>
    <w:rsid w:val="00573004"/>
    <w:rsid w:val="005730EA"/>
    <w:rsid w:val="0057313B"/>
    <w:rsid w:val="00573345"/>
    <w:rsid w:val="0057364F"/>
    <w:rsid w:val="00573699"/>
    <w:rsid w:val="005736BF"/>
    <w:rsid w:val="0057374C"/>
    <w:rsid w:val="005737E9"/>
    <w:rsid w:val="0057390E"/>
    <w:rsid w:val="00573B29"/>
    <w:rsid w:val="00574347"/>
    <w:rsid w:val="0057441E"/>
    <w:rsid w:val="00574631"/>
    <w:rsid w:val="005749FB"/>
    <w:rsid w:val="00574B27"/>
    <w:rsid w:val="00574CE0"/>
    <w:rsid w:val="00574DEC"/>
    <w:rsid w:val="00574F09"/>
    <w:rsid w:val="005750D8"/>
    <w:rsid w:val="00575156"/>
    <w:rsid w:val="00575172"/>
    <w:rsid w:val="005753F4"/>
    <w:rsid w:val="005758D4"/>
    <w:rsid w:val="00575941"/>
    <w:rsid w:val="005759AB"/>
    <w:rsid w:val="00575AE4"/>
    <w:rsid w:val="00575DCC"/>
    <w:rsid w:val="0057601C"/>
    <w:rsid w:val="00576026"/>
    <w:rsid w:val="00576066"/>
    <w:rsid w:val="00576106"/>
    <w:rsid w:val="00576208"/>
    <w:rsid w:val="0057620B"/>
    <w:rsid w:val="00576213"/>
    <w:rsid w:val="005762AA"/>
    <w:rsid w:val="0057637C"/>
    <w:rsid w:val="005768CD"/>
    <w:rsid w:val="005768F5"/>
    <w:rsid w:val="00576A1D"/>
    <w:rsid w:val="00576B9A"/>
    <w:rsid w:val="00576CC5"/>
    <w:rsid w:val="00576E23"/>
    <w:rsid w:val="0057715E"/>
    <w:rsid w:val="00577390"/>
    <w:rsid w:val="00577604"/>
    <w:rsid w:val="00577659"/>
    <w:rsid w:val="00577726"/>
    <w:rsid w:val="0057777A"/>
    <w:rsid w:val="0057780B"/>
    <w:rsid w:val="00577830"/>
    <w:rsid w:val="00577968"/>
    <w:rsid w:val="00577AA6"/>
    <w:rsid w:val="00577AAF"/>
    <w:rsid w:val="00577AD2"/>
    <w:rsid w:val="00577C87"/>
    <w:rsid w:val="00577D2B"/>
    <w:rsid w:val="00577DF2"/>
    <w:rsid w:val="00577DF6"/>
    <w:rsid w:val="00580002"/>
    <w:rsid w:val="005800CA"/>
    <w:rsid w:val="005801D0"/>
    <w:rsid w:val="0058026C"/>
    <w:rsid w:val="005804CF"/>
    <w:rsid w:val="00580789"/>
    <w:rsid w:val="00580809"/>
    <w:rsid w:val="0058081D"/>
    <w:rsid w:val="0058088D"/>
    <w:rsid w:val="0058099F"/>
    <w:rsid w:val="005809F7"/>
    <w:rsid w:val="00580C01"/>
    <w:rsid w:val="00580C08"/>
    <w:rsid w:val="00580C8A"/>
    <w:rsid w:val="00580D9C"/>
    <w:rsid w:val="00580DE5"/>
    <w:rsid w:val="00580E0C"/>
    <w:rsid w:val="005810D3"/>
    <w:rsid w:val="00581211"/>
    <w:rsid w:val="0058124D"/>
    <w:rsid w:val="005812DA"/>
    <w:rsid w:val="005814C6"/>
    <w:rsid w:val="005814F6"/>
    <w:rsid w:val="00581545"/>
    <w:rsid w:val="0058177C"/>
    <w:rsid w:val="005817BC"/>
    <w:rsid w:val="005817D3"/>
    <w:rsid w:val="005817E0"/>
    <w:rsid w:val="00581883"/>
    <w:rsid w:val="00581AC6"/>
    <w:rsid w:val="00581B56"/>
    <w:rsid w:val="00581BD8"/>
    <w:rsid w:val="00581BD9"/>
    <w:rsid w:val="00581C48"/>
    <w:rsid w:val="00581E7F"/>
    <w:rsid w:val="00582164"/>
    <w:rsid w:val="00582608"/>
    <w:rsid w:val="00582778"/>
    <w:rsid w:val="005827EA"/>
    <w:rsid w:val="0058292B"/>
    <w:rsid w:val="0058298C"/>
    <w:rsid w:val="00582A3C"/>
    <w:rsid w:val="00582AB3"/>
    <w:rsid w:val="00582BF4"/>
    <w:rsid w:val="00582C34"/>
    <w:rsid w:val="00582D2D"/>
    <w:rsid w:val="00582D44"/>
    <w:rsid w:val="00582DE0"/>
    <w:rsid w:val="005830CF"/>
    <w:rsid w:val="0058313D"/>
    <w:rsid w:val="00583165"/>
    <w:rsid w:val="0058335B"/>
    <w:rsid w:val="005834CF"/>
    <w:rsid w:val="005835F4"/>
    <w:rsid w:val="0058374D"/>
    <w:rsid w:val="00583842"/>
    <w:rsid w:val="00583A75"/>
    <w:rsid w:val="00583B4A"/>
    <w:rsid w:val="00583D7D"/>
    <w:rsid w:val="00583DBE"/>
    <w:rsid w:val="00583E67"/>
    <w:rsid w:val="0058418F"/>
    <w:rsid w:val="005841B1"/>
    <w:rsid w:val="00584475"/>
    <w:rsid w:val="00584503"/>
    <w:rsid w:val="00584634"/>
    <w:rsid w:val="0058466D"/>
    <w:rsid w:val="005847A6"/>
    <w:rsid w:val="005847CC"/>
    <w:rsid w:val="0058487E"/>
    <w:rsid w:val="005848A0"/>
    <w:rsid w:val="005848CE"/>
    <w:rsid w:val="005849C0"/>
    <w:rsid w:val="00584A79"/>
    <w:rsid w:val="00584AF1"/>
    <w:rsid w:val="00584C50"/>
    <w:rsid w:val="00584DAE"/>
    <w:rsid w:val="00584E14"/>
    <w:rsid w:val="00585030"/>
    <w:rsid w:val="005850BA"/>
    <w:rsid w:val="00585157"/>
    <w:rsid w:val="0058517C"/>
    <w:rsid w:val="0058521A"/>
    <w:rsid w:val="0058524B"/>
    <w:rsid w:val="005852C9"/>
    <w:rsid w:val="0058554C"/>
    <w:rsid w:val="00585806"/>
    <w:rsid w:val="00585878"/>
    <w:rsid w:val="0058590F"/>
    <w:rsid w:val="0058594A"/>
    <w:rsid w:val="00585A07"/>
    <w:rsid w:val="00585B28"/>
    <w:rsid w:val="00585B72"/>
    <w:rsid w:val="00585C9F"/>
    <w:rsid w:val="00585CC0"/>
    <w:rsid w:val="00585D6F"/>
    <w:rsid w:val="00585E08"/>
    <w:rsid w:val="00585E14"/>
    <w:rsid w:val="00585E3D"/>
    <w:rsid w:val="00585FF2"/>
    <w:rsid w:val="0058609C"/>
    <w:rsid w:val="0058611F"/>
    <w:rsid w:val="0058619D"/>
    <w:rsid w:val="0058620F"/>
    <w:rsid w:val="00586271"/>
    <w:rsid w:val="00586286"/>
    <w:rsid w:val="00586431"/>
    <w:rsid w:val="005865EF"/>
    <w:rsid w:val="005867F1"/>
    <w:rsid w:val="00586B4F"/>
    <w:rsid w:val="00586D12"/>
    <w:rsid w:val="00586F00"/>
    <w:rsid w:val="00586F5A"/>
    <w:rsid w:val="0058701F"/>
    <w:rsid w:val="00587132"/>
    <w:rsid w:val="00587281"/>
    <w:rsid w:val="00587339"/>
    <w:rsid w:val="00587430"/>
    <w:rsid w:val="005874E9"/>
    <w:rsid w:val="005875C8"/>
    <w:rsid w:val="005876B4"/>
    <w:rsid w:val="00587AA0"/>
    <w:rsid w:val="00587D58"/>
    <w:rsid w:val="00587DC3"/>
    <w:rsid w:val="00587DF5"/>
    <w:rsid w:val="00587EA3"/>
    <w:rsid w:val="00590028"/>
    <w:rsid w:val="0059012F"/>
    <w:rsid w:val="005901B3"/>
    <w:rsid w:val="00590283"/>
    <w:rsid w:val="00590302"/>
    <w:rsid w:val="00590396"/>
    <w:rsid w:val="005903F4"/>
    <w:rsid w:val="00590471"/>
    <w:rsid w:val="005904B1"/>
    <w:rsid w:val="00590563"/>
    <w:rsid w:val="005905EE"/>
    <w:rsid w:val="00590748"/>
    <w:rsid w:val="005907E5"/>
    <w:rsid w:val="005908AC"/>
    <w:rsid w:val="00590912"/>
    <w:rsid w:val="00590C34"/>
    <w:rsid w:val="00590EFC"/>
    <w:rsid w:val="005910FB"/>
    <w:rsid w:val="0059124D"/>
    <w:rsid w:val="00591382"/>
    <w:rsid w:val="005913F3"/>
    <w:rsid w:val="00591483"/>
    <w:rsid w:val="0059168F"/>
    <w:rsid w:val="00591832"/>
    <w:rsid w:val="0059185B"/>
    <w:rsid w:val="00591973"/>
    <w:rsid w:val="00591A07"/>
    <w:rsid w:val="00591BB7"/>
    <w:rsid w:val="00591C53"/>
    <w:rsid w:val="00591CD6"/>
    <w:rsid w:val="00591CF3"/>
    <w:rsid w:val="00591D4B"/>
    <w:rsid w:val="00591D7C"/>
    <w:rsid w:val="00591DA2"/>
    <w:rsid w:val="00591E26"/>
    <w:rsid w:val="00591E70"/>
    <w:rsid w:val="005923F4"/>
    <w:rsid w:val="005928BD"/>
    <w:rsid w:val="00592930"/>
    <w:rsid w:val="00592CC8"/>
    <w:rsid w:val="00592E98"/>
    <w:rsid w:val="00592F24"/>
    <w:rsid w:val="00592F52"/>
    <w:rsid w:val="00593012"/>
    <w:rsid w:val="00593166"/>
    <w:rsid w:val="00593333"/>
    <w:rsid w:val="0059344D"/>
    <w:rsid w:val="00593531"/>
    <w:rsid w:val="0059369A"/>
    <w:rsid w:val="0059378C"/>
    <w:rsid w:val="005937D7"/>
    <w:rsid w:val="00593837"/>
    <w:rsid w:val="00593B45"/>
    <w:rsid w:val="00593C99"/>
    <w:rsid w:val="00594296"/>
    <w:rsid w:val="005942E9"/>
    <w:rsid w:val="0059435E"/>
    <w:rsid w:val="0059450A"/>
    <w:rsid w:val="00594591"/>
    <w:rsid w:val="00594822"/>
    <w:rsid w:val="005948CE"/>
    <w:rsid w:val="00594BF3"/>
    <w:rsid w:val="00595258"/>
    <w:rsid w:val="00595291"/>
    <w:rsid w:val="0059548E"/>
    <w:rsid w:val="0059551F"/>
    <w:rsid w:val="005955D7"/>
    <w:rsid w:val="00595743"/>
    <w:rsid w:val="005957C5"/>
    <w:rsid w:val="00595892"/>
    <w:rsid w:val="005959D5"/>
    <w:rsid w:val="00595AD0"/>
    <w:rsid w:val="00595AD9"/>
    <w:rsid w:val="00595B6E"/>
    <w:rsid w:val="00595C44"/>
    <w:rsid w:val="00595C56"/>
    <w:rsid w:val="00595DE2"/>
    <w:rsid w:val="005960A9"/>
    <w:rsid w:val="005961F0"/>
    <w:rsid w:val="0059626E"/>
    <w:rsid w:val="005962FA"/>
    <w:rsid w:val="00596377"/>
    <w:rsid w:val="00596413"/>
    <w:rsid w:val="005965C5"/>
    <w:rsid w:val="005965D1"/>
    <w:rsid w:val="0059671D"/>
    <w:rsid w:val="00596927"/>
    <w:rsid w:val="00596CC6"/>
    <w:rsid w:val="00596F32"/>
    <w:rsid w:val="00596F4C"/>
    <w:rsid w:val="00596F7E"/>
    <w:rsid w:val="00596FAF"/>
    <w:rsid w:val="0059720C"/>
    <w:rsid w:val="005973E0"/>
    <w:rsid w:val="005974A7"/>
    <w:rsid w:val="00597509"/>
    <w:rsid w:val="00597658"/>
    <w:rsid w:val="0059772B"/>
    <w:rsid w:val="0059785B"/>
    <w:rsid w:val="00597A37"/>
    <w:rsid w:val="00597B0F"/>
    <w:rsid w:val="00597B4E"/>
    <w:rsid w:val="00597CB5"/>
    <w:rsid w:val="00597E4A"/>
    <w:rsid w:val="00597F36"/>
    <w:rsid w:val="00597F7E"/>
    <w:rsid w:val="005A0102"/>
    <w:rsid w:val="005A022D"/>
    <w:rsid w:val="005A035E"/>
    <w:rsid w:val="005A03AB"/>
    <w:rsid w:val="005A056A"/>
    <w:rsid w:val="005A070E"/>
    <w:rsid w:val="005A073E"/>
    <w:rsid w:val="005A0880"/>
    <w:rsid w:val="005A0965"/>
    <w:rsid w:val="005A0B96"/>
    <w:rsid w:val="005A0BF0"/>
    <w:rsid w:val="005A0C26"/>
    <w:rsid w:val="005A0D0C"/>
    <w:rsid w:val="005A0EC9"/>
    <w:rsid w:val="005A106B"/>
    <w:rsid w:val="005A11BE"/>
    <w:rsid w:val="005A1207"/>
    <w:rsid w:val="005A133C"/>
    <w:rsid w:val="005A138B"/>
    <w:rsid w:val="005A1560"/>
    <w:rsid w:val="005A1700"/>
    <w:rsid w:val="005A1733"/>
    <w:rsid w:val="005A1767"/>
    <w:rsid w:val="005A1778"/>
    <w:rsid w:val="005A17E5"/>
    <w:rsid w:val="005A18A1"/>
    <w:rsid w:val="005A2092"/>
    <w:rsid w:val="005A21A1"/>
    <w:rsid w:val="005A23C2"/>
    <w:rsid w:val="005A24B7"/>
    <w:rsid w:val="005A25ED"/>
    <w:rsid w:val="005A28F9"/>
    <w:rsid w:val="005A2A94"/>
    <w:rsid w:val="005A2AD7"/>
    <w:rsid w:val="005A2CCA"/>
    <w:rsid w:val="005A2DB7"/>
    <w:rsid w:val="005A2F4B"/>
    <w:rsid w:val="005A3236"/>
    <w:rsid w:val="005A3363"/>
    <w:rsid w:val="005A33CC"/>
    <w:rsid w:val="005A3478"/>
    <w:rsid w:val="005A35FD"/>
    <w:rsid w:val="005A3671"/>
    <w:rsid w:val="005A3685"/>
    <w:rsid w:val="005A382B"/>
    <w:rsid w:val="005A3951"/>
    <w:rsid w:val="005A3968"/>
    <w:rsid w:val="005A3D77"/>
    <w:rsid w:val="005A3D7D"/>
    <w:rsid w:val="005A3DA7"/>
    <w:rsid w:val="005A3FF5"/>
    <w:rsid w:val="005A402A"/>
    <w:rsid w:val="005A4227"/>
    <w:rsid w:val="005A4244"/>
    <w:rsid w:val="005A43B5"/>
    <w:rsid w:val="005A4422"/>
    <w:rsid w:val="005A45BF"/>
    <w:rsid w:val="005A45E3"/>
    <w:rsid w:val="005A467E"/>
    <w:rsid w:val="005A46ED"/>
    <w:rsid w:val="005A492D"/>
    <w:rsid w:val="005A492F"/>
    <w:rsid w:val="005A4B24"/>
    <w:rsid w:val="005A4C8A"/>
    <w:rsid w:val="005A4D63"/>
    <w:rsid w:val="005A4D70"/>
    <w:rsid w:val="005A4E45"/>
    <w:rsid w:val="005A4E72"/>
    <w:rsid w:val="005A4FC1"/>
    <w:rsid w:val="005A50DB"/>
    <w:rsid w:val="005A5112"/>
    <w:rsid w:val="005A5146"/>
    <w:rsid w:val="005A52DA"/>
    <w:rsid w:val="005A52EC"/>
    <w:rsid w:val="005A532F"/>
    <w:rsid w:val="005A5387"/>
    <w:rsid w:val="005A5511"/>
    <w:rsid w:val="005A55E0"/>
    <w:rsid w:val="005A5C90"/>
    <w:rsid w:val="005A5DBB"/>
    <w:rsid w:val="005A5E28"/>
    <w:rsid w:val="005A5EB7"/>
    <w:rsid w:val="005A5F2A"/>
    <w:rsid w:val="005A600B"/>
    <w:rsid w:val="005A6144"/>
    <w:rsid w:val="005A6239"/>
    <w:rsid w:val="005A653E"/>
    <w:rsid w:val="005A661C"/>
    <w:rsid w:val="005A6627"/>
    <w:rsid w:val="005A6755"/>
    <w:rsid w:val="005A6964"/>
    <w:rsid w:val="005A6AF6"/>
    <w:rsid w:val="005A6B11"/>
    <w:rsid w:val="005A6B9B"/>
    <w:rsid w:val="005A6DCC"/>
    <w:rsid w:val="005A6EE8"/>
    <w:rsid w:val="005A6EEF"/>
    <w:rsid w:val="005A700D"/>
    <w:rsid w:val="005A7061"/>
    <w:rsid w:val="005A710D"/>
    <w:rsid w:val="005A71C3"/>
    <w:rsid w:val="005A7265"/>
    <w:rsid w:val="005A74DA"/>
    <w:rsid w:val="005A75F9"/>
    <w:rsid w:val="005A765A"/>
    <w:rsid w:val="005A7670"/>
    <w:rsid w:val="005A777C"/>
    <w:rsid w:val="005A781B"/>
    <w:rsid w:val="005A782D"/>
    <w:rsid w:val="005A7A6F"/>
    <w:rsid w:val="005A7AF4"/>
    <w:rsid w:val="005A7B8B"/>
    <w:rsid w:val="005A7CEC"/>
    <w:rsid w:val="005A7E4E"/>
    <w:rsid w:val="005B0047"/>
    <w:rsid w:val="005B008D"/>
    <w:rsid w:val="005B00EE"/>
    <w:rsid w:val="005B02F3"/>
    <w:rsid w:val="005B034E"/>
    <w:rsid w:val="005B053B"/>
    <w:rsid w:val="005B0714"/>
    <w:rsid w:val="005B0734"/>
    <w:rsid w:val="005B073C"/>
    <w:rsid w:val="005B07E9"/>
    <w:rsid w:val="005B0914"/>
    <w:rsid w:val="005B0A12"/>
    <w:rsid w:val="005B0CE4"/>
    <w:rsid w:val="005B0D55"/>
    <w:rsid w:val="005B0E2F"/>
    <w:rsid w:val="005B0F73"/>
    <w:rsid w:val="005B14BF"/>
    <w:rsid w:val="005B154B"/>
    <w:rsid w:val="005B1680"/>
    <w:rsid w:val="005B178A"/>
    <w:rsid w:val="005B17AE"/>
    <w:rsid w:val="005B18C6"/>
    <w:rsid w:val="005B18EB"/>
    <w:rsid w:val="005B1BAD"/>
    <w:rsid w:val="005B1BB2"/>
    <w:rsid w:val="005B1C92"/>
    <w:rsid w:val="005B1D4F"/>
    <w:rsid w:val="005B1E19"/>
    <w:rsid w:val="005B1FEE"/>
    <w:rsid w:val="005B2091"/>
    <w:rsid w:val="005B20F1"/>
    <w:rsid w:val="005B21F1"/>
    <w:rsid w:val="005B2222"/>
    <w:rsid w:val="005B2266"/>
    <w:rsid w:val="005B2285"/>
    <w:rsid w:val="005B2346"/>
    <w:rsid w:val="005B23AD"/>
    <w:rsid w:val="005B2485"/>
    <w:rsid w:val="005B24BB"/>
    <w:rsid w:val="005B251E"/>
    <w:rsid w:val="005B252A"/>
    <w:rsid w:val="005B262B"/>
    <w:rsid w:val="005B2946"/>
    <w:rsid w:val="005B294A"/>
    <w:rsid w:val="005B2A0C"/>
    <w:rsid w:val="005B2A62"/>
    <w:rsid w:val="005B2B03"/>
    <w:rsid w:val="005B2C25"/>
    <w:rsid w:val="005B2CCC"/>
    <w:rsid w:val="005B2DFB"/>
    <w:rsid w:val="005B2E4F"/>
    <w:rsid w:val="005B3008"/>
    <w:rsid w:val="005B30B1"/>
    <w:rsid w:val="005B310E"/>
    <w:rsid w:val="005B32B1"/>
    <w:rsid w:val="005B3322"/>
    <w:rsid w:val="005B34C3"/>
    <w:rsid w:val="005B3749"/>
    <w:rsid w:val="005B3AA8"/>
    <w:rsid w:val="005B3C72"/>
    <w:rsid w:val="005B40B3"/>
    <w:rsid w:val="005B41AC"/>
    <w:rsid w:val="005B4230"/>
    <w:rsid w:val="005B4243"/>
    <w:rsid w:val="005B42BF"/>
    <w:rsid w:val="005B4351"/>
    <w:rsid w:val="005B4652"/>
    <w:rsid w:val="005B4668"/>
    <w:rsid w:val="005B4790"/>
    <w:rsid w:val="005B47C2"/>
    <w:rsid w:val="005B4DEE"/>
    <w:rsid w:val="005B4EEE"/>
    <w:rsid w:val="005B4F97"/>
    <w:rsid w:val="005B4FB1"/>
    <w:rsid w:val="005B5003"/>
    <w:rsid w:val="005B503E"/>
    <w:rsid w:val="005B5083"/>
    <w:rsid w:val="005B5245"/>
    <w:rsid w:val="005B5592"/>
    <w:rsid w:val="005B57B7"/>
    <w:rsid w:val="005B58B5"/>
    <w:rsid w:val="005B5A54"/>
    <w:rsid w:val="005B5AFD"/>
    <w:rsid w:val="005B5B06"/>
    <w:rsid w:val="005B5B37"/>
    <w:rsid w:val="005B5B5F"/>
    <w:rsid w:val="005B5B9A"/>
    <w:rsid w:val="005B5CEA"/>
    <w:rsid w:val="005B5D9A"/>
    <w:rsid w:val="005B5DA4"/>
    <w:rsid w:val="005B5E1A"/>
    <w:rsid w:val="005B5E3A"/>
    <w:rsid w:val="005B5F40"/>
    <w:rsid w:val="005B6020"/>
    <w:rsid w:val="005B60B0"/>
    <w:rsid w:val="005B63CD"/>
    <w:rsid w:val="005B6642"/>
    <w:rsid w:val="005B6686"/>
    <w:rsid w:val="005B66DF"/>
    <w:rsid w:val="005B676B"/>
    <w:rsid w:val="005B6824"/>
    <w:rsid w:val="005B687A"/>
    <w:rsid w:val="005B694E"/>
    <w:rsid w:val="005B69ED"/>
    <w:rsid w:val="005B6A29"/>
    <w:rsid w:val="005B6AF9"/>
    <w:rsid w:val="005B6B21"/>
    <w:rsid w:val="005B6D38"/>
    <w:rsid w:val="005B6DE6"/>
    <w:rsid w:val="005B6F46"/>
    <w:rsid w:val="005B754D"/>
    <w:rsid w:val="005B79EB"/>
    <w:rsid w:val="005B7CD6"/>
    <w:rsid w:val="005B7E65"/>
    <w:rsid w:val="005B7F46"/>
    <w:rsid w:val="005C0306"/>
    <w:rsid w:val="005C03FD"/>
    <w:rsid w:val="005C0593"/>
    <w:rsid w:val="005C081E"/>
    <w:rsid w:val="005C08D6"/>
    <w:rsid w:val="005C0930"/>
    <w:rsid w:val="005C09EE"/>
    <w:rsid w:val="005C0B13"/>
    <w:rsid w:val="005C0B2D"/>
    <w:rsid w:val="005C0DCC"/>
    <w:rsid w:val="005C0E1B"/>
    <w:rsid w:val="005C11CC"/>
    <w:rsid w:val="005C1239"/>
    <w:rsid w:val="005C1404"/>
    <w:rsid w:val="005C1500"/>
    <w:rsid w:val="005C1563"/>
    <w:rsid w:val="005C159D"/>
    <w:rsid w:val="005C16AC"/>
    <w:rsid w:val="005C16CC"/>
    <w:rsid w:val="005C16E0"/>
    <w:rsid w:val="005C173B"/>
    <w:rsid w:val="005C175C"/>
    <w:rsid w:val="005C17D2"/>
    <w:rsid w:val="005C1CB3"/>
    <w:rsid w:val="005C1E00"/>
    <w:rsid w:val="005C1F49"/>
    <w:rsid w:val="005C2045"/>
    <w:rsid w:val="005C23ED"/>
    <w:rsid w:val="005C2675"/>
    <w:rsid w:val="005C26E7"/>
    <w:rsid w:val="005C2763"/>
    <w:rsid w:val="005C2766"/>
    <w:rsid w:val="005C28FE"/>
    <w:rsid w:val="005C29F0"/>
    <w:rsid w:val="005C2A2D"/>
    <w:rsid w:val="005C2B2F"/>
    <w:rsid w:val="005C2C00"/>
    <w:rsid w:val="005C2DFA"/>
    <w:rsid w:val="005C2ECF"/>
    <w:rsid w:val="005C2F6B"/>
    <w:rsid w:val="005C2F92"/>
    <w:rsid w:val="005C309E"/>
    <w:rsid w:val="005C3332"/>
    <w:rsid w:val="005C3341"/>
    <w:rsid w:val="005C3365"/>
    <w:rsid w:val="005C33BD"/>
    <w:rsid w:val="005C33D0"/>
    <w:rsid w:val="005C3482"/>
    <w:rsid w:val="005C3501"/>
    <w:rsid w:val="005C36F7"/>
    <w:rsid w:val="005C3751"/>
    <w:rsid w:val="005C38BC"/>
    <w:rsid w:val="005C3ABB"/>
    <w:rsid w:val="005C3AE9"/>
    <w:rsid w:val="005C3D19"/>
    <w:rsid w:val="005C3E18"/>
    <w:rsid w:val="005C4089"/>
    <w:rsid w:val="005C40C1"/>
    <w:rsid w:val="005C420B"/>
    <w:rsid w:val="005C431E"/>
    <w:rsid w:val="005C4475"/>
    <w:rsid w:val="005C44F7"/>
    <w:rsid w:val="005C4529"/>
    <w:rsid w:val="005C469A"/>
    <w:rsid w:val="005C46ED"/>
    <w:rsid w:val="005C4718"/>
    <w:rsid w:val="005C4815"/>
    <w:rsid w:val="005C49E2"/>
    <w:rsid w:val="005C4AEA"/>
    <w:rsid w:val="005C4B33"/>
    <w:rsid w:val="005C4B85"/>
    <w:rsid w:val="005C4F20"/>
    <w:rsid w:val="005C4FEA"/>
    <w:rsid w:val="005C501A"/>
    <w:rsid w:val="005C514F"/>
    <w:rsid w:val="005C515A"/>
    <w:rsid w:val="005C529B"/>
    <w:rsid w:val="005C52EB"/>
    <w:rsid w:val="005C5651"/>
    <w:rsid w:val="005C5841"/>
    <w:rsid w:val="005C599A"/>
    <w:rsid w:val="005C59D3"/>
    <w:rsid w:val="005C5BF1"/>
    <w:rsid w:val="005C5C59"/>
    <w:rsid w:val="005C5D65"/>
    <w:rsid w:val="005C5F01"/>
    <w:rsid w:val="005C5FFB"/>
    <w:rsid w:val="005C606D"/>
    <w:rsid w:val="005C6102"/>
    <w:rsid w:val="005C6273"/>
    <w:rsid w:val="005C62CB"/>
    <w:rsid w:val="005C65CE"/>
    <w:rsid w:val="005C66D3"/>
    <w:rsid w:val="005C6828"/>
    <w:rsid w:val="005C6A15"/>
    <w:rsid w:val="005C6AE8"/>
    <w:rsid w:val="005C6B0B"/>
    <w:rsid w:val="005C6B3A"/>
    <w:rsid w:val="005C6C65"/>
    <w:rsid w:val="005C6D96"/>
    <w:rsid w:val="005C7066"/>
    <w:rsid w:val="005C7093"/>
    <w:rsid w:val="005C754E"/>
    <w:rsid w:val="005C76A5"/>
    <w:rsid w:val="005C7CB3"/>
    <w:rsid w:val="005C7CC6"/>
    <w:rsid w:val="005C7DAA"/>
    <w:rsid w:val="005D00A1"/>
    <w:rsid w:val="005D0494"/>
    <w:rsid w:val="005D04A0"/>
    <w:rsid w:val="005D04D6"/>
    <w:rsid w:val="005D0664"/>
    <w:rsid w:val="005D06E8"/>
    <w:rsid w:val="005D06E9"/>
    <w:rsid w:val="005D098B"/>
    <w:rsid w:val="005D0A7C"/>
    <w:rsid w:val="005D0BF0"/>
    <w:rsid w:val="005D0CBA"/>
    <w:rsid w:val="005D0D1F"/>
    <w:rsid w:val="005D0F3F"/>
    <w:rsid w:val="005D0FDD"/>
    <w:rsid w:val="005D1011"/>
    <w:rsid w:val="005D1091"/>
    <w:rsid w:val="005D112A"/>
    <w:rsid w:val="005D12F1"/>
    <w:rsid w:val="005D14AB"/>
    <w:rsid w:val="005D1690"/>
    <w:rsid w:val="005D17F5"/>
    <w:rsid w:val="005D1835"/>
    <w:rsid w:val="005D188A"/>
    <w:rsid w:val="005D1964"/>
    <w:rsid w:val="005D1A95"/>
    <w:rsid w:val="005D1ABE"/>
    <w:rsid w:val="005D1ADF"/>
    <w:rsid w:val="005D1BF7"/>
    <w:rsid w:val="005D1D95"/>
    <w:rsid w:val="005D1E03"/>
    <w:rsid w:val="005D1EE8"/>
    <w:rsid w:val="005D1FBE"/>
    <w:rsid w:val="005D207F"/>
    <w:rsid w:val="005D227C"/>
    <w:rsid w:val="005D22F4"/>
    <w:rsid w:val="005D2605"/>
    <w:rsid w:val="005D268F"/>
    <w:rsid w:val="005D26B8"/>
    <w:rsid w:val="005D26ED"/>
    <w:rsid w:val="005D28AB"/>
    <w:rsid w:val="005D2A77"/>
    <w:rsid w:val="005D2B2D"/>
    <w:rsid w:val="005D2B81"/>
    <w:rsid w:val="005D2B88"/>
    <w:rsid w:val="005D2FCB"/>
    <w:rsid w:val="005D303A"/>
    <w:rsid w:val="005D30A3"/>
    <w:rsid w:val="005D316D"/>
    <w:rsid w:val="005D32EF"/>
    <w:rsid w:val="005D331A"/>
    <w:rsid w:val="005D36B6"/>
    <w:rsid w:val="005D378C"/>
    <w:rsid w:val="005D38E0"/>
    <w:rsid w:val="005D3900"/>
    <w:rsid w:val="005D395A"/>
    <w:rsid w:val="005D3AD0"/>
    <w:rsid w:val="005D3AFD"/>
    <w:rsid w:val="005D3B13"/>
    <w:rsid w:val="005D3CE9"/>
    <w:rsid w:val="005D3DA9"/>
    <w:rsid w:val="005D3E10"/>
    <w:rsid w:val="005D40B5"/>
    <w:rsid w:val="005D410B"/>
    <w:rsid w:val="005D419C"/>
    <w:rsid w:val="005D4318"/>
    <w:rsid w:val="005D4518"/>
    <w:rsid w:val="005D4526"/>
    <w:rsid w:val="005D481F"/>
    <w:rsid w:val="005D48C9"/>
    <w:rsid w:val="005D4905"/>
    <w:rsid w:val="005D494F"/>
    <w:rsid w:val="005D49F0"/>
    <w:rsid w:val="005D4A57"/>
    <w:rsid w:val="005D4AC4"/>
    <w:rsid w:val="005D4D7B"/>
    <w:rsid w:val="005D4E2F"/>
    <w:rsid w:val="005D4FCA"/>
    <w:rsid w:val="005D5257"/>
    <w:rsid w:val="005D594D"/>
    <w:rsid w:val="005D5994"/>
    <w:rsid w:val="005D5B5C"/>
    <w:rsid w:val="005D5C1B"/>
    <w:rsid w:val="005D5E92"/>
    <w:rsid w:val="005D62AA"/>
    <w:rsid w:val="005D6392"/>
    <w:rsid w:val="005D63FB"/>
    <w:rsid w:val="005D644E"/>
    <w:rsid w:val="005D65CB"/>
    <w:rsid w:val="005D65F5"/>
    <w:rsid w:val="005D67F3"/>
    <w:rsid w:val="005D683A"/>
    <w:rsid w:val="005D6843"/>
    <w:rsid w:val="005D684E"/>
    <w:rsid w:val="005D685B"/>
    <w:rsid w:val="005D6957"/>
    <w:rsid w:val="005D6AA9"/>
    <w:rsid w:val="005D6AE4"/>
    <w:rsid w:val="005D6D97"/>
    <w:rsid w:val="005D6E86"/>
    <w:rsid w:val="005D6EF3"/>
    <w:rsid w:val="005D6F84"/>
    <w:rsid w:val="005D7018"/>
    <w:rsid w:val="005D705E"/>
    <w:rsid w:val="005D7096"/>
    <w:rsid w:val="005D7281"/>
    <w:rsid w:val="005D7293"/>
    <w:rsid w:val="005D7378"/>
    <w:rsid w:val="005D7445"/>
    <w:rsid w:val="005D746C"/>
    <w:rsid w:val="005D74FC"/>
    <w:rsid w:val="005D75EE"/>
    <w:rsid w:val="005D7619"/>
    <w:rsid w:val="005D7632"/>
    <w:rsid w:val="005D76FB"/>
    <w:rsid w:val="005D7738"/>
    <w:rsid w:val="005D77AA"/>
    <w:rsid w:val="005D7A61"/>
    <w:rsid w:val="005D7BF2"/>
    <w:rsid w:val="005D7E4D"/>
    <w:rsid w:val="005D7EFE"/>
    <w:rsid w:val="005E02B0"/>
    <w:rsid w:val="005E0542"/>
    <w:rsid w:val="005E0726"/>
    <w:rsid w:val="005E0731"/>
    <w:rsid w:val="005E074F"/>
    <w:rsid w:val="005E07AC"/>
    <w:rsid w:val="005E0B3C"/>
    <w:rsid w:val="005E0BFE"/>
    <w:rsid w:val="005E0C2C"/>
    <w:rsid w:val="005E0D43"/>
    <w:rsid w:val="005E0DAF"/>
    <w:rsid w:val="005E10FE"/>
    <w:rsid w:val="005E1142"/>
    <w:rsid w:val="005E1160"/>
    <w:rsid w:val="005E12F8"/>
    <w:rsid w:val="005E13E6"/>
    <w:rsid w:val="005E1438"/>
    <w:rsid w:val="005E198A"/>
    <w:rsid w:val="005E1ABA"/>
    <w:rsid w:val="005E1CC8"/>
    <w:rsid w:val="005E1DEA"/>
    <w:rsid w:val="005E1E2D"/>
    <w:rsid w:val="005E1E7C"/>
    <w:rsid w:val="005E20EE"/>
    <w:rsid w:val="005E21F3"/>
    <w:rsid w:val="005E21F8"/>
    <w:rsid w:val="005E228F"/>
    <w:rsid w:val="005E22F3"/>
    <w:rsid w:val="005E23EC"/>
    <w:rsid w:val="005E254D"/>
    <w:rsid w:val="005E2760"/>
    <w:rsid w:val="005E28BF"/>
    <w:rsid w:val="005E2E52"/>
    <w:rsid w:val="005E2F90"/>
    <w:rsid w:val="005E301A"/>
    <w:rsid w:val="005E3356"/>
    <w:rsid w:val="005E34E9"/>
    <w:rsid w:val="005E34F4"/>
    <w:rsid w:val="005E35D5"/>
    <w:rsid w:val="005E36F2"/>
    <w:rsid w:val="005E36F8"/>
    <w:rsid w:val="005E3777"/>
    <w:rsid w:val="005E3779"/>
    <w:rsid w:val="005E3839"/>
    <w:rsid w:val="005E3C00"/>
    <w:rsid w:val="005E3F78"/>
    <w:rsid w:val="005E4132"/>
    <w:rsid w:val="005E430A"/>
    <w:rsid w:val="005E44A0"/>
    <w:rsid w:val="005E4592"/>
    <w:rsid w:val="005E4B1E"/>
    <w:rsid w:val="005E4C1C"/>
    <w:rsid w:val="005E4D45"/>
    <w:rsid w:val="005E4E2C"/>
    <w:rsid w:val="005E4FF5"/>
    <w:rsid w:val="005E5002"/>
    <w:rsid w:val="005E512D"/>
    <w:rsid w:val="005E5341"/>
    <w:rsid w:val="005E5453"/>
    <w:rsid w:val="005E54B2"/>
    <w:rsid w:val="005E5543"/>
    <w:rsid w:val="005E557E"/>
    <w:rsid w:val="005E5585"/>
    <w:rsid w:val="005E5587"/>
    <w:rsid w:val="005E575A"/>
    <w:rsid w:val="005E58D9"/>
    <w:rsid w:val="005E59D5"/>
    <w:rsid w:val="005E5BCF"/>
    <w:rsid w:val="005E5BDA"/>
    <w:rsid w:val="005E5CE3"/>
    <w:rsid w:val="005E5D1F"/>
    <w:rsid w:val="005E5D86"/>
    <w:rsid w:val="005E5E9E"/>
    <w:rsid w:val="005E5FA1"/>
    <w:rsid w:val="005E6072"/>
    <w:rsid w:val="005E62C0"/>
    <w:rsid w:val="005E650A"/>
    <w:rsid w:val="005E6517"/>
    <w:rsid w:val="005E6B92"/>
    <w:rsid w:val="005E6C83"/>
    <w:rsid w:val="005E6E7D"/>
    <w:rsid w:val="005E6EE5"/>
    <w:rsid w:val="005E7010"/>
    <w:rsid w:val="005E7021"/>
    <w:rsid w:val="005E70DD"/>
    <w:rsid w:val="005E717D"/>
    <w:rsid w:val="005E718C"/>
    <w:rsid w:val="005E7209"/>
    <w:rsid w:val="005E725B"/>
    <w:rsid w:val="005E768C"/>
    <w:rsid w:val="005E7759"/>
    <w:rsid w:val="005E7797"/>
    <w:rsid w:val="005E780A"/>
    <w:rsid w:val="005E78F1"/>
    <w:rsid w:val="005E7DF1"/>
    <w:rsid w:val="005E7E98"/>
    <w:rsid w:val="005E7F73"/>
    <w:rsid w:val="005F03AF"/>
    <w:rsid w:val="005F0501"/>
    <w:rsid w:val="005F0715"/>
    <w:rsid w:val="005F0742"/>
    <w:rsid w:val="005F074A"/>
    <w:rsid w:val="005F088C"/>
    <w:rsid w:val="005F093B"/>
    <w:rsid w:val="005F0976"/>
    <w:rsid w:val="005F0AB7"/>
    <w:rsid w:val="005F0D63"/>
    <w:rsid w:val="005F0DA7"/>
    <w:rsid w:val="005F0E3A"/>
    <w:rsid w:val="005F13FE"/>
    <w:rsid w:val="005F1972"/>
    <w:rsid w:val="005F1B37"/>
    <w:rsid w:val="005F1CD7"/>
    <w:rsid w:val="005F2046"/>
    <w:rsid w:val="005F2355"/>
    <w:rsid w:val="005F24B8"/>
    <w:rsid w:val="005F24F8"/>
    <w:rsid w:val="005F258B"/>
    <w:rsid w:val="005F2921"/>
    <w:rsid w:val="005F2A1F"/>
    <w:rsid w:val="005F2C43"/>
    <w:rsid w:val="005F2C9C"/>
    <w:rsid w:val="005F2DB1"/>
    <w:rsid w:val="005F2DF7"/>
    <w:rsid w:val="005F2E70"/>
    <w:rsid w:val="005F2F06"/>
    <w:rsid w:val="005F2F50"/>
    <w:rsid w:val="005F32B9"/>
    <w:rsid w:val="005F32FE"/>
    <w:rsid w:val="005F3369"/>
    <w:rsid w:val="005F354D"/>
    <w:rsid w:val="005F358F"/>
    <w:rsid w:val="005F368D"/>
    <w:rsid w:val="005F36A7"/>
    <w:rsid w:val="005F38BD"/>
    <w:rsid w:val="005F3958"/>
    <w:rsid w:val="005F3A24"/>
    <w:rsid w:val="005F3AB5"/>
    <w:rsid w:val="005F3BF2"/>
    <w:rsid w:val="005F3C03"/>
    <w:rsid w:val="005F3E90"/>
    <w:rsid w:val="005F3F92"/>
    <w:rsid w:val="005F3FE7"/>
    <w:rsid w:val="005F4152"/>
    <w:rsid w:val="005F41CA"/>
    <w:rsid w:val="005F41DB"/>
    <w:rsid w:val="005F4405"/>
    <w:rsid w:val="005F46F0"/>
    <w:rsid w:val="005F47E6"/>
    <w:rsid w:val="005F48AB"/>
    <w:rsid w:val="005F4A02"/>
    <w:rsid w:val="005F4A49"/>
    <w:rsid w:val="005F4B51"/>
    <w:rsid w:val="005F4BBA"/>
    <w:rsid w:val="005F4D1E"/>
    <w:rsid w:val="005F4FFC"/>
    <w:rsid w:val="005F5091"/>
    <w:rsid w:val="005F5288"/>
    <w:rsid w:val="005F5336"/>
    <w:rsid w:val="005F5358"/>
    <w:rsid w:val="005F55B7"/>
    <w:rsid w:val="005F571C"/>
    <w:rsid w:val="005F5752"/>
    <w:rsid w:val="005F5759"/>
    <w:rsid w:val="005F5796"/>
    <w:rsid w:val="005F5880"/>
    <w:rsid w:val="005F5905"/>
    <w:rsid w:val="005F5945"/>
    <w:rsid w:val="005F5B1D"/>
    <w:rsid w:val="005F5B2A"/>
    <w:rsid w:val="005F5B6F"/>
    <w:rsid w:val="005F5BDF"/>
    <w:rsid w:val="005F5CD6"/>
    <w:rsid w:val="005F5DF3"/>
    <w:rsid w:val="005F61A4"/>
    <w:rsid w:val="005F63F3"/>
    <w:rsid w:val="005F65A8"/>
    <w:rsid w:val="005F6769"/>
    <w:rsid w:val="005F67AA"/>
    <w:rsid w:val="005F6818"/>
    <w:rsid w:val="005F6886"/>
    <w:rsid w:val="005F6916"/>
    <w:rsid w:val="005F6A54"/>
    <w:rsid w:val="005F6B19"/>
    <w:rsid w:val="005F6C9A"/>
    <w:rsid w:val="005F6DE4"/>
    <w:rsid w:val="005F6DEF"/>
    <w:rsid w:val="005F6E1A"/>
    <w:rsid w:val="005F6E36"/>
    <w:rsid w:val="005F6F17"/>
    <w:rsid w:val="005F70E8"/>
    <w:rsid w:val="005F735C"/>
    <w:rsid w:val="005F73DC"/>
    <w:rsid w:val="005F75C1"/>
    <w:rsid w:val="005F76EE"/>
    <w:rsid w:val="005F780C"/>
    <w:rsid w:val="005F78F3"/>
    <w:rsid w:val="005F7A08"/>
    <w:rsid w:val="005F7A88"/>
    <w:rsid w:val="005F7BAB"/>
    <w:rsid w:val="005F7D09"/>
    <w:rsid w:val="005F7D70"/>
    <w:rsid w:val="005F7DD9"/>
    <w:rsid w:val="005F7E08"/>
    <w:rsid w:val="005F7F83"/>
    <w:rsid w:val="00600116"/>
    <w:rsid w:val="00600209"/>
    <w:rsid w:val="0060020E"/>
    <w:rsid w:val="00600215"/>
    <w:rsid w:val="006004EC"/>
    <w:rsid w:val="0060056B"/>
    <w:rsid w:val="0060059B"/>
    <w:rsid w:val="00600639"/>
    <w:rsid w:val="006006A4"/>
    <w:rsid w:val="00600705"/>
    <w:rsid w:val="0060077C"/>
    <w:rsid w:val="006007AF"/>
    <w:rsid w:val="0060082B"/>
    <w:rsid w:val="0060090D"/>
    <w:rsid w:val="00600968"/>
    <w:rsid w:val="00600A76"/>
    <w:rsid w:val="00600B8F"/>
    <w:rsid w:val="00600BBD"/>
    <w:rsid w:val="00600BD8"/>
    <w:rsid w:val="00600C8B"/>
    <w:rsid w:val="00600CA2"/>
    <w:rsid w:val="00600DC9"/>
    <w:rsid w:val="00600EDD"/>
    <w:rsid w:val="00601012"/>
    <w:rsid w:val="006010B5"/>
    <w:rsid w:val="006011C7"/>
    <w:rsid w:val="006011F2"/>
    <w:rsid w:val="00601228"/>
    <w:rsid w:val="00601322"/>
    <w:rsid w:val="00601346"/>
    <w:rsid w:val="00601415"/>
    <w:rsid w:val="0060170E"/>
    <w:rsid w:val="0060178C"/>
    <w:rsid w:val="006018A2"/>
    <w:rsid w:val="00601A47"/>
    <w:rsid w:val="00601BD3"/>
    <w:rsid w:val="00601C09"/>
    <w:rsid w:val="00601C57"/>
    <w:rsid w:val="00601DAE"/>
    <w:rsid w:val="006020E6"/>
    <w:rsid w:val="0060253D"/>
    <w:rsid w:val="006025C5"/>
    <w:rsid w:val="00602605"/>
    <w:rsid w:val="0060268F"/>
    <w:rsid w:val="006026F2"/>
    <w:rsid w:val="00602753"/>
    <w:rsid w:val="006028E5"/>
    <w:rsid w:val="00602925"/>
    <w:rsid w:val="00602E23"/>
    <w:rsid w:val="00602E93"/>
    <w:rsid w:val="00603059"/>
    <w:rsid w:val="0060339B"/>
    <w:rsid w:val="00603634"/>
    <w:rsid w:val="00603658"/>
    <w:rsid w:val="00603788"/>
    <w:rsid w:val="00603973"/>
    <w:rsid w:val="00603B54"/>
    <w:rsid w:val="00603D8F"/>
    <w:rsid w:val="00603E13"/>
    <w:rsid w:val="00603E63"/>
    <w:rsid w:val="00603F22"/>
    <w:rsid w:val="0060411D"/>
    <w:rsid w:val="00604378"/>
    <w:rsid w:val="00604400"/>
    <w:rsid w:val="00604650"/>
    <w:rsid w:val="006046A5"/>
    <w:rsid w:val="00604772"/>
    <w:rsid w:val="006048B5"/>
    <w:rsid w:val="00604AE9"/>
    <w:rsid w:val="00604BF7"/>
    <w:rsid w:val="00604D10"/>
    <w:rsid w:val="00604E20"/>
    <w:rsid w:val="00605260"/>
    <w:rsid w:val="00605337"/>
    <w:rsid w:val="00605516"/>
    <w:rsid w:val="00605566"/>
    <w:rsid w:val="0060565F"/>
    <w:rsid w:val="0060568B"/>
    <w:rsid w:val="0060576A"/>
    <w:rsid w:val="0060588F"/>
    <w:rsid w:val="006058DB"/>
    <w:rsid w:val="00605A2C"/>
    <w:rsid w:val="00605A9D"/>
    <w:rsid w:val="00605B67"/>
    <w:rsid w:val="00605DA9"/>
    <w:rsid w:val="00605F09"/>
    <w:rsid w:val="00605F2B"/>
    <w:rsid w:val="00605F6F"/>
    <w:rsid w:val="0060601D"/>
    <w:rsid w:val="00606089"/>
    <w:rsid w:val="006060E7"/>
    <w:rsid w:val="00606110"/>
    <w:rsid w:val="00606115"/>
    <w:rsid w:val="0060615E"/>
    <w:rsid w:val="00606196"/>
    <w:rsid w:val="00606298"/>
    <w:rsid w:val="0060643C"/>
    <w:rsid w:val="0060648B"/>
    <w:rsid w:val="0060654C"/>
    <w:rsid w:val="006065D2"/>
    <w:rsid w:val="00606810"/>
    <w:rsid w:val="00606872"/>
    <w:rsid w:val="00606873"/>
    <w:rsid w:val="006068BF"/>
    <w:rsid w:val="006068F1"/>
    <w:rsid w:val="00606DD4"/>
    <w:rsid w:val="00606DF0"/>
    <w:rsid w:val="00606E30"/>
    <w:rsid w:val="0060700A"/>
    <w:rsid w:val="0060711E"/>
    <w:rsid w:val="00607292"/>
    <w:rsid w:val="006072FE"/>
    <w:rsid w:val="00607438"/>
    <w:rsid w:val="00607780"/>
    <w:rsid w:val="006077FA"/>
    <w:rsid w:val="0060784A"/>
    <w:rsid w:val="00607986"/>
    <w:rsid w:val="00607999"/>
    <w:rsid w:val="006079DE"/>
    <w:rsid w:val="00607AD9"/>
    <w:rsid w:val="00607CCB"/>
    <w:rsid w:val="00607DE9"/>
    <w:rsid w:val="00607F4C"/>
    <w:rsid w:val="00610136"/>
    <w:rsid w:val="00610218"/>
    <w:rsid w:val="0061029D"/>
    <w:rsid w:val="006102A8"/>
    <w:rsid w:val="006102D5"/>
    <w:rsid w:val="00610486"/>
    <w:rsid w:val="00610523"/>
    <w:rsid w:val="00610573"/>
    <w:rsid w:val="0061068B"/>
    <w:rsid w:val="006106E4"/>
    <w:rsid w:val="00610715"/>
    <w:rsid w:val="0061079F"/>
    <w:rsid w:val="006108BB"/>
    <w:rsid w:val="0061098D"/>
    <w:rsid w:val="00610A2D"/>
    <w:rsid w:val="00610BEE"/>
    <w:rsid w:val="00610D0A"/>
    <w:rsid w:val="00610D33"/>
    <w:rsid w:val="00610D76"/>
    <w:rsid w:val="00611007"/>
    <w:rsid w:val="006113D7"/>
    <w:rsid w:val="00611437"/>
    <w:rsid w:val="00611603"/>
    <w:rsid w:val="006119AC"/>
    <w:rsid w:val="00611D42"/>
    <w:rsid w:val="00611D5D"/>
    <w:rsid w:val="00611D98"/>
    <w:rsid w:val="00611DC8"/>
    <w:rsid w:val="00611DE3"/>
    <w:rsid w:val="00611DF4"/>
    <w:rsid w:val="00611EC6"/>
    <w:rsid w:val="00611EE2"/>
    <w:rsid w:val="00611EF5"/>
    <w:rsid w:val="0061222A"/>
    <w:rsid w:val="006123FA"/>
    <w:rsid w:val="00612669"/>
    <w:rsid w:val="00612795"/>
    <w:rsid w:val="00612906"/>
    <w:rsid w:val="0061291A"/>
    <w:rsid w:val="00612B5A"/>
    <w:rsid w:val="00612B5F"/>
    <w:rsid w:val="00612CEC"/>
    <w:rsid w:val="00612CFD"/>
    <w:rsid w:val="00612D45"/>
    <w:rsid w:val="00612DB6"/>
    <w:rsid w:val="00612DBB"/>
    <w:rsid w:val="00612E42"/>
    <w:rsid w:val="00612FE6"/>
    <w:rsid w:val="0061311C"/>
    <w:rsid w:val="006131B9"/>
    <w:rsid w:val="00613223"/>
    <w:rsid w:val="006132B4"/>
    <w:rsid w:val="00613475"/>
    <w:rsid w:val="00613487"/>
    <w:rsid w:val="00613589"/>
    <w:rsid w:val="006135A8"/>
    <w:rsid w:val="006135D3"/>
    <w:rsid w:val="00613621"/>
    <w:rsid w:val="0061375B"/>
    <w:rsid w:val="0061377E"/>
    <w:rsid w:val="00613BCE"/>
    <w:rsid w:val="00613CF7"/>
    <w:rsid w:val="00613ED0"/>
    <w:rsid w:val="00613F6F"/>
    <w:rsid w:val="00614088"/>
    <w:rsid w:val="00614091"/>
    <w:rsid w:val="006143AC"/>
    <w:rsid w:val="006143BB"/>
    <w:rsid w:val="006143FC"/>
    <w:rsid w:val="006144AB"/>
    <w:rsid w:val="0061451C"/>
    <w:rsid w:val="006147A7"/>
    <w:rsid w:val="006147C2"/>
    <w:rsid w:val="006148F9"/>
    <w:rsid w:val="00614A82"/>
    <w:rsid w:val="00614ABA"/>
    <w:rsid w:val="00614ABF"/>
    <w:rsid w:val="00614BB9"/>
    <w:rsid w:val="00614CCC"/>
    <w:rsid w:val="00614EEB"/>
    <w:rsid w:val="00614F92"/>
    <w:rsid w:val="0061503B"/>
    <w:rsid w:val="00615092"/>
    <w:rsid w:val="00615345"/>
    <w:rsid w:val="00615376"/>
    <w:rsid w:val="0061555D"/>
    <w:rsid w:val="00615650"/>
    <w:rsid w:val="0061565C"/>
    <w:rsid w:val="0061573F"/>
    <w:rsid w:val="0061592B"/>
    <w:rsid w:val="00615A3C"/>
    <w:rsid w:val="00615A79"/>
    <w:rsid w:val="00615AA9"/>
    <w:rsid w:val="00615BE7"/>
    <w:rsid w:val="00615C36"/>
    <w:rsid w:val="00615D5C"/>
    <w:rsid w:val="00615F95"/>
    <w:rsid w:val="00615FF3"/>
    <w:rsid w:val="00616261"/>
    <w:rsid w:val="00616480"/>
    <w:rsid w:val="00616522"/>
    <w:rsid w:val="00616543"/>
    <w:rsid w:val="00616586"/>
    <w:rsid w:val="00616600"/>
    <w:rsid w:val="006166D8"/>
    <w:rsid w:val="00616760"/>
    <w:rsid w:val="0061681B"/>
    <w:rsid w:val="00616870"/>
    <w:rsid w:val="0061688C"/>
    <w:rsid w:val="006168B4"/>
    <w:rsid w:val="00616916"/>
    <w:rsid w:val="00616981"/>
    <w:rsid w:val="00616B1E"/>
    <w:rsid w:val="00616BE0"/>
    <w:rsid w:val="00616C30"/>
    <w:rsid w:val="00616C77"/>
    <w:rsid w:val="00616D15"/>
    <w:rsid w:val="00616F1E"/>
    <w:rsid w:val="00616FB5"/>
    <w:rsid w:val="0061726C"/>
    <w:rsid w:val="00617297"/>
    <w:rsid w:val="0061746B"/>
    <w:rsid w:val="006177CA"/>
    <w:rsid w:val="00617A3E"/>
    <w:rsid w:val="00617DB6"/>
    <w:rsid w:val="00617F22"/>
    <w:rsid w:val="00617F65"/>
    <w:rsid w:val="00617F90"/>
    <w:rsid w:val="00620112"/>
    <w:rsid w:val="006201CC"/>
    <w:rsid w:val="0062042B"/>
    <w:rsid w:val="0062047F"/>
    <w:rsid w:val="0062066C"/>
    <w:rsid w:val="0062079B"/>
    <w:rsid w:val="006208DA"/>
    <w:rsid w:val="00620922"/>
    <w:rsid w:val="0062099E"/>
    <w:rsid w:val="006209A6"/>
    <w:rsid w:val="00620E07"/>
    <w:rsid w:val="00620F14"/>
    <w:rsid w:val="00621177"/>
    <w:rsid w:val="00621248"/>
    <w:rsid w:val="00621348"/>
    <w:rsid w:val="00621794"/>
    <w:rsid w:val="0062181B"/>
    <w:rsid w:val="0062189D"/>
    <w:rsid w:val="006218D4"/>
    <w:rsid w:val="0062198B"/>
    <w:rsid w:val="00621B49"/>
    <w:rsid w:val="00621C39"/>
    <w:rsid w:val="00621CFB"/>
    <w:rsid w:val="00621D3F"/>
    <w:rsid w:val="00621E1D"/>
    <w:rsid w:val="00621F5A"/>
    <w:rsid w:val="00621FDE"/>
    <w:rsid w:val="00622091"/>
    <w:rsid w:val="006220FA"/>
    <w:rsid w:val="00622227"/>
    <w:rsid w:val="0062276C"/>
    <w:rsid w:val="00622868"/>
    <w:rsid w:val="00622B8F"/>
    <w:rsid w:val="00622BCF"/>
    <w:rsid w:val="00622C63"/>
    <w:rsid w:val="00622F20"/>
    <w:rsid w:val="00622FD7"/>
    <w:rsid w:val="0062301F"/>
    <w:rsid w:val="0062305A"/>
    <w:rsid w:val="006231B2"/>
    <w:rsid w:val="006231B8"/>
    <w:rsid w:val="00623228"/>
    <w:rsid w:val="006233BB"/>
    <w:rsid w:val="006233EF"/>
    <w:rsid w:val="00623497"/>
    <w:rsid w:val="006234B6"/>
    <w:rsid w:val="0062359F"/>
    <w:rsid w:val="00623861"/>
    <w:rsid w:val="006238CD"/>
    <w:rsid w:val="006239F1"/>
    <w:rsid w:val="00623C8F"/>
    <w:rsid w:val="00623D03"/>
    <w:rsid w:val="00623FBF"/>
    <w:rsid w:val="0062433D"/>
    <w:rsid w:val="006243DD"/>
    <w:rsid w:val="0062443D"/>
    <w:rsid w:val="006244CD"/>
    <w:rsid w:val="0062464D"/>
    <w:rsid w:val="006246B4"/>
    <w:rsid w:val="006246DC"/>
    <w:rsid w:val="006246E4"/>
    <w:rsid w:val="0062471B"/>
    <w:rsid w:val="0062478A"/>
    <w:rsid w:val="006247A2"/>
    <w:rsid w:val="00624A2A"/>
    <w:rsid w:val="00624A80"/>
    <w:rsid w:val="00624D96"/>
    <w:rsid w:val="00624E65"/>
    <w:rsid w:val="00625011"/>
    <w:rsid w:val="00625028"/>
    <w:rsid w:val="00625092"/>
    <w:rsid w:val="00625135"/>
    <w:rsid w:val="00625150"/>
    <w:rsid w:val="00625275"/>
    <w:rsid w:val="00625279"/>
    <w:rsid w:val="006253F1"/>
    <w:rsid w:val="006255C7"/>
    <w:rsid w:val="006255D5"/>
    <w:rsid w:val="0062573E"/>
    <w:rsid w:val="006257B6"/>
    <w:rsid w:val="006257DB"/>
    <w:rsid w:val="006258F0"/>
    <w:rsid w:val="006259AD"/>
    <w:rsid w:val="00625A48"/>
    <w:rsid w:val="00625A60"/>
    <w:rsid w:val="00625A7C"/>
    <w:rsid w:val="00625A97"/>
    <w:rsid w:val="00625A99"/>
    <w:rsid w:val="00625BE7"/>
    <w:rsid w:val="00626207"/>
    <w:rsid w:val="00626315"/>
    <w:rsid w:val="0062639B"/>
    <w:rsid w:val="006263CD"/>
    <w:rsid w:val="0062640F"/>
    <w:rsid w:val="006265A2"/>
    <w:rsid w:val="00626613"/>
    <w:rsid w:val="00626749"/>
    <w:rsid w:val="006267AE"/>
    <w:rsid w:val="006267C1"/>
    <w:rsid w:val="00626852"/>
    <w:rsid w:val="00626942"/>
    <w:rsid w:val="00626A68"/>
    <w:rsid w:val="00626B23"/>
    <w:rsid w:val="00626B45"/>
    <w:rsid w:val="00626B62"/>
    <w:rsid w:val="00626BF3"/>
    <w:rsid w:val="00626C34"/>
    <w:rsid w:val="00626D92"/>
    <w:rsid w:val="00626DD4"/>
    <w:rsid w:val="00626ECE"/>
    <w:rsid w:val="00626F58"/>
    <w:rsid w:val="00627034"/>
    <w:rsid w:val="00627129"/>
    <w:rsid w:val="0062741C"/>
    <w:rsid w:val="006274F0"/>
    <w:rsid w:val="006274F3"/>
    <w:rsid w:val="0062758B"/>
    <w:rsid w:val="00627784"/>
    <w:rsid w:val="0062780B"/>
    <w:rsid w:val="00627931"/>
    <w:rsid w:val="00627A5F"/>
    <w:rsid w:val="00627A83"/>
    <w:rsid w:val="00627B25"/>
    <w:rsid w:val="00627BF6"/>
    <w:rsid w:val="00627C4F"/>
    <w:rsid w:val="00627D60"/>
    <w:rsid w:val="00627DDB"/>
    <w:rsid w:val="0063011C"/>
    <w:rsid w:val="006301CF"/>
    <w:rsid w:val="00630243"/>
    <w:rsid w:val="00630636"/>
    <w:rsid w:val="006307BA"/>
    <w:rsid w:val="006308C7"/>
    <w:rsid w:val="00630919"/>
    <w:rsid w:val="006309AE"/>
    <w:rsid w:val="00630B53"/>
    <w:rsid w:val="00630C07"/>
    <w:rsid w:val="00630D4F"/>
    <w:rsid w:val="00630D56"/>
    <w:rsid w:val="00630D81"/>
    <w:rsid w:val="00631081"/>
    <w:rsid w:val="006310CA"/>
    <w:rsid w:val="00631176"/>
    <w:rsid w:val="00631692"/>
    <w:rsid w:val="006318DA"/>
    <w:rsid w:val="006319CB"/>
    <w:rsid w:val="00631B8A"/>
    <w:rsid w:val="00631BCD"/>
    <w:rsid w:val="00631DCA"/>
    <w:rsid w:val="00632042"/>
    <w:rsid w:val="006320D3"/>
    <w:rsid w:val="00632214"/>
    <w:rsid w:val="00632223"/>
    <w:rsid w:val="006322EC"/>
    <w:rsid w:val="006323B4"/>
    <w:rsid w:val="0063258E"/>
    <w:rsid w:val="006326A5"/>
    <w:rsid w:val="00632717"/>
    <w:rsid w:val="006329BA"/>
    <w:rsid w:val="00633077"/>
    <w:rsid w:val="006330AA"/>
    <w:rsid w:val="00633288"/>
    <w:rsid w:val="006332AF"/>
    <w:rsid w:val="006332C4"/>
    <w:rsid w:val="0063337E"/>
    <w:rsid w:val="00633422"/>
    <w:rsid w:val="00633424"/>
    <w:rsid w:val="00633655"/>
    <w:rsid w:val="0063379A"/>
    <w:rsid w:val="0063384F"/>
    <w:rsid w:val="0063396A"/>
    <w:rsid w:val="00633EBB"/>
    <w:rsid w:val="00633FED"/>
    <w:rsid w:val="006340A4"/>
    <w:rsid w:val="00634148"/>
    <w:rsid w:val="006341A0"/>
    <w:rsid w:val="00634278"/>
    <w:rsid w:val="006342B5"/>
    <w:rsid w:val="00634328"/>
    <w:rsid w:val="006343B5"/>
    <w:rsid w:val="00634438"/>
    <w:rsid w:val="00634552"/>
    <w:rsid w:val="006345EB"/>
    <w:rsid w:val="006346E0"/>
    <w:rsid w:val="00634799"/>
    <w:rsid w:val="00634912"/>
    <w:rsid w:val="00634986"/>
    <w:rsid w:val="006349FA"/>
    <w:rsid w:val="00634A34"/>
    <w:rsid w:val="00634D50"/>
    <w:rsid w:val="00634D63"/>
    <w:rsid w:val="00634E58"/>
    <w:rsid w:val="006351AF"/>
    <w:rsid w:val="006351F6"/>
    <w:rsid w:val="00635456"/>
    <w:rsid w:val="0063545B"/>
    <w:rsid w:val="0063556F"/>
    <w:rsid w:val="0063560F"/>
    <w:rsid w:val="006358C8"/>
    <w:rsid w:val="006359C7"/>
    <w:rsid w:val="00635B1F"/>
    <w:rsid w:val="00635B22"/>
    <w:rsid w:val="00635B3A"/>
    <w:rsid w:val="00635B87"/>
    <w:rsid w:val="00635C39"/>
    <w:rsid w:val="00635C41"/>
    <w:rsid w:val="00635CFE"/>
    <w:rsid w:val="00635EC6"/>
    <w:rsid w:val="00635FE4"/>
    <w:rsid w:val="0063606D"/>
    <w:rsid w:val="0063619F"/>
    <w:rsid w:val="006362B7"/>
    <w:rsid w:val="006364ED"/>
    <w:rsid w:val="006365D3"/>
    <w:rsid w:val="00636623"/>
    <w:rsid w:val="0063668A"/>
    <w:rsid w:val="00636725"/>
    <w:rsid w:val="006367F1"/>
    <w:rsid w:val="00636910"/>
    <w:rsid w:val="00636AAB"/>
    <w:rsid w:val="00636C42"/>
    <w:rsid w:val="00636C7E"/>
    <w:rsid w:val="00636E3B"/>
    <w:rsid w:val="00636E8C"/>
    <w:rsid w:val="00636EDC"/>
    <w:rsid w:val="00636FFE"/>
    <w:rsid w:val="00637171"/>
    <w:rsid w:val="0063740A"/>
    <w:rsid w:val="00637541"/>
    <w:rsid w:val="00637610"/>
    <w:rsid w:val="00637611"/>
    <w:rsid w:val="00637622"/>
    <w:rsid w:val="006377BB"/>
    <w:rsid w:val="006379B7"/>
    <w:rsid w:val="00637AA2"/>
    <w:rsid w:val="00637B50"/>
    <w:rsid w:val="00637C4F"/>
    <w:rsid w:val="00637C51"/>
    <w:rsid w:val="00637C55"/>
    <w:rsid w:val="00637E39"/>
    <w:rsid w:val="00637FCA"/>
    <w:rsid w:val="00640131"/>
    <w:rsid w:val="00640498"/>
    <w:rsid w:val="00640638"/>
    <w:rsid w:val="00640866"/>
    <w:rsid w:val="006408C0"/>
    <w:rsid w:val="006408E0"/>
    <w:rsid w:val="00640908"/>
    <w:rsid w:val="00640932"/>
    <w:rsid w:val="00640933"/>
    <w:rsid w:val="00640ABF"/>
    <w:rsid w:val="00640B3F"/>
    <w:rsid w:val="00640B72"/>
    <w:rsid w:val="00640C54"/>
    <w:rsid w:val="00640E93"/>
    <w:rsid w:val="00640F2D"/>
    <w:rsid w:val="00640F9C"/>
    <w:rsid w:val="00640FEF"/>
    <w:rsid w:val="0064100B"/>
    <w:rsid w:val="00641028"/>
    <w:rsid w:val="006410A9"/>
    <w:rsid w:val="006410DB"/>
    <w:rsid w:val="0064117C"/>
    <w:rsid w:val="0064118A"/>
    <w:rsid w:val="006412DB"/>
    <w:rsid w:val="0064149A"/>
    <w:rsid w:val="006415F4"/>
    <w:rsid w:val="006416D3"/>
    <w:rsid w:val="00641859"/>
    <w:rsid w:val="00641AF6"/>
    <w:rsid w:val="00641AF9"/>
    <w:rsid w:val="00641B0E"/>
    <w:rsid w:val="00641BFF"/>
    <w:rsid w:val="00641C66"/>
    <w:rsid w:val="00641D1A"/>
    <w:rsid w:val="00641D63"/>
    <w:rsid w:val="00641DA2"/>
    <w:rsid w:val="00641F31"/>
    <w:rsid w:val="00641FE0"/>
    <w:rsid w:val="00642051"/>
    <w:rsid w:val="006421FC"/>
    <w:rsid w:val="0064220B"/>
    <w:rsid w:val="00642215"/>
    <w:rsid w:val="0064226E"/>
    <w:rsid w:val="0064239C"/>
    <w:rsid w:val="006423B3"/>
    <w:rsid w:val="006425A0"/>
    <w:rsid w:val="006427C1"/>
    <w:rsid w:val="00642905"/>
    <w:rsid w:val="006429EF"/>
    <w:rsid w:val="00642BAF"/>
    <w:rsid w:val="00642D41"/>
    <w:rsid w:val="00642E0C"/>
    <w:rsid w:val="00642EB7"/>
    <w:rsid w:val="00642F03"/>
    <w:rsid w:val="0064305B"/>
    <w:rsid w:val="00643070"/>
    <w:rsid w:val="006430F4"/>
    <w:rsid w:val="006430FC"/>
    <w:rsid w:val="00643340"/>
    <w:rsid w:val="00643476"/>
    <w:rsid w:val="0064358F"/>
    <w:rsid w:val="006435A4"/>
    <w:rsid w:val="0064366C"/>
    <w:rsid w:val="006437D3"/>
    <w:rsid w:val="0064381B"/>
    <w:rsid w:val="00643828"/>
    <w:rsid w:val="006439E9"/>
    <w:rsid w:val="00643AFE"/>
    <w:rsid w:val="00643B32"/>
    <w:rsid w:val="00643E50"/>
    <w:rsid w:val="00643E9A"/>
    <w:rsid w:val="00643ED2"/>
    <w:rsid w:val="00643FE7"/>
    <w:rsid w:val="0064413C"/>
    <w:rsid w:val="00644186"/>
    <w:rsid w:val="00644213"/>
    <w:rsid w:val="00644243"/>
    <w:rsid w:val="006442B5"/>
    <w:rsid w:val="00644337"/>
    <w:rsid w:val="00644697"/>
    <w:rsid w:val="006447AD"/>
    <w:rsid w:val="006447CD"/>
    <w:rsid w:val="00644995"/>
    <w:rsid w:val="00644A45"/>
    <w:rsid w:val="00644DBC"/>
    <w:rsid w:val="00644EC8"/>
    <w:rsid w:val="00644EE5"/>
    <w:rsid w:val="00644EF7"/>
    <w:rsid w:val="00645027"/>
    <w:rsid w:val="00645051"/>
    <w:rsid w:val="0064505F"/>
    <w:rsid w:val="006450EB"/>
    <w:rsid w:val="006454E3"/>
    <w:rsid w:val="0064552F"/>
    <w:rsid w:val="00645587"/>
    <w:rsid w:val="00645597"/>
    <w:rsid w:val="006456B2"/>
    <w:rsid w:val="006456C1"/>
    <w:rsid w:val="00645812"/>
    <w:rsid w:val="00645BD2"/>
    <w:rsid w:val="00645C4B"/>
    <w:rsid w:val="00646011"/>
    <w:rsid w:val="00646024"/>
    <w:rsid w:val="00646075"/>
    <w:rsid w:val="00646145"/>
    <w:rsid w:val="006461E2"/>
    <w:rsid w:val="006462D8"/>
    <w:rsid w:val="0064637D"/>
    <w:rsid w:val="00646415"/>
    <w:rsid w:val="00646445"/>
    <w:rsid w:val="0064651E"/>
    <w:rsid w:val="00646579"/>
    <w:rsid w:val="00646756"/>
    <w:rsid w:val="00646838"/>
    <w:rsid w:val="006468B6"/>
    <w:rsid w:val="00646985"/>
    <w:rsid w:val="006469FC"/>
    <w:rsid w:val="00646DE6"/>
    <w:rsid w:val="00646E3F"/>
    <w:rsid w:val="00646E6C"/>
    <w:rsid w:val="00646FE8"/>
    <w:rsid w:val="0064705E"/>
    <w:rsid w:val="006471AE"/>
    <w:rsid w:val="006472AC"/>
    <w:rsid w:val="006473FD"/>
    <w:rsid w:val="006474CB"/>
    <w:rsid w:val="00647649"/>
    <w:rsid w:val="00647895"/>
    <w:rsid w:val="00647A06"/>
    <w:rsid w:val="00647B3B"/>
    <w:rsid w:val="00647D22"/>
    <w:rsid w:val="00647D59"/>
    <w:rsid w:val="0065011C"/>
    <w:rsid w:val="0065014C"/>
    <w:rsid w:val="006501C0"/>
    <w:rsid w:val="00650201"/>
    <w:rsid w:val="0065037E"/>
    <w:rsid w:val="0065042F"/>
    <w:rsid w:val="00650450"/>
    <w:rsid w:val="006504F5"/>
    <w:rsid w:val="00650548"/>
    <w:rsid w:val="00650575"/>
    <w:rsid w:val="00650935"/>
    <w:rsid w:val="00650B56"/>
    <w:rsid w:val="00650C22"/>
    <w:rsid w:val="00650CA9"/>
    <w:rsid w:val="00650DA5"/>
    <w:rsid w:val="00650E13"/>
    <w:rsid w:val="00650E15"/>
    <w:rsid w:val="00650E1D"/>
    <w:rsid w:val="00650E5B"/>
    <w:rsid w:val="00650F7C"/>
    <w:rsid w:val="00651030"/>
    <w:rsid w:val="006510BE"/>
    <w:rsid w:val="00651140"/>
    <w:rsid w:val="00651163"/>
    <w:rsid w:val="006512AB"/>
    <w:rsid w:val="0065146A"/>
    <w:rsid w:val="00651531"/>
    <w:rsid w:val="0065157F"/>
    <w:rsid w:val="00651736"/>
    <w:rsid w:val="006517BF"/>
    <w:rsid w:val="006518F6"/>
    <w:rsid w:val="0065190C"/>
    <w:rsid w:val="00651BAB"/>
    <w:rsid w:val="00651BF2"/>
    <w:rsid w:val="00651C5D"/>
    <w:rsid w:val="00651D72"/>
    <w:rsid w:val="00651DB6"/>
    <w:rsid w:val="00651ED6"/>
    <w:rsid w:val="00652146"/>
    <w:rsid w:val="006522DD"/>
    <w:rsid w:val="00652384"/>
    <w:rsid w:val="006525DA"/>
    <w:rsid w:val="006525DE"/>
    <w:rsid w:val="0065263F"/>
    <w:rsid w:val="00652811"/>
    <w:rsid w:val="006528D1"/>
    <w:rsid w:val="006529E7"/>
    <w:rsid w:val="00652A5B"/>
    <w:rsid w:val="00652B8C"/>
    <w:rsid w:val="00652CD7"/>
    <w:rsid w:val="00652E2E"/>
    <w:rsid w:val="00652E9C"/>
    <w:rsid w:val="00652FC8"/>
    <w:rsid w:val="0065306D"/>
    <w:rsid w:val="00653117"/>
    <w:rsid w:val="0065336D"/>
    <w:rsid w:val="006533E0"/>
    <w:rsid w:val="00653418"/>
    <w:rsid w:val="0065341A"/>
    <w:rsid w:val="0065346C"/>
    <w:rsid w:val="006535A5"/>
    <w:rsid w:val="006536CA"/>
    <w:rsid w:val="0065394D"/>
    <w:rsid w:val="0065397E"/>
    <w:rsid w:val="00653CB4"/>
    <w:rsid w:val="00653F2C"/>
    <w:rsid w:val="00654118"/>
    <w:rsid w:val="0065427A"/>
    <w:rsid w:val="0065449C"/>
    <w:rsid w:val="006544C8"/>
    <w:rsid w:val="006546E8"/>
    <w:rsid w:val="00654727"/>
    <w:rsid w:val="006548A7"/>
    <w:rsid w:val="0065490F"/>
    <w:rsid w:val="00654A10"/>
    <w:rsid w:val="00654A8B"/>
    <w:rsid w:val="00654CD5"/>
    <w:rsid w:val="00654DE2"/>
    <w:rsid w:val="00654EC1"/>
    <w:rsid w:val="00654F2A"/>
    <w:rsid w:val="00654F6B"/>
    <w:rsid w:val="0065505E"/>
    <w:rsid w:val="006550A4"/>
    <w:rsid w:val="0065538D"/>
    <w:rsid w:val="006555E4"/>
    <w:rsid w:val="006556A3"/>
    <w:rsid w:val="00655B34"/>
    <w:rsid w:val="00655F90"/>
    <w:rsid w:val="00656022"/>
    <w:rsid w:val="00656081"/>
    <w:rsid w:val="00656082"/>
    <w:rsid w:val="006562AC"/>
    <w:rsid w:val="006562EF"/>
    <w:rsid w:val="0065653F"/>
    <w:rsid w:val="006565DE"/>
    <w:rsid w:val="0065665C"/>
    <w:rsid w:val="006569F4"/>
    <w:rsid w:val="00656B99"/>
    <w:rsid w:val="00656E44"/>
    <w:rsid w:val="00656E49"/>
    <w:rsid w:val="00656F3A"/>
    <w:rsid w:val="0065701E"/>
    <w:rsid w:val="00657115"/>
    <w:rsid w:val="00657294"/>
    <w:rsid w:val="006572EE"/>
    <w:rsid w:val="0065742D"/>
    <w:rsid w:val="00657469"/>
    <w:rsid w:val="0065767E"/>
    <w:rsid w:val="00657683"/>
    <w:rsid w:val="00657822"/>
    <w:rsid w:val="0065785B"/>
    <w:rsid w:val="006578F6"/>
    <w:rsid w:val="00657A7A"/>
    <w:rsid w:val="00657C84"/>
    <w:rsid w:val="00657D9A"/>
    <w:rsid w:val="00657E7E"/>
    <w:rsid w:val="00657ED5"/>
    <w:rsid w:val="00657F50"/>
    <w:rsid w:val="00657F5C"/>
    <w:rsid w:val="00657F5E"/>
    <w:rsid w:val="00657F7E"/>
    <w:rsid w:val="00657FA0"/>
    <w:rsid w:val="006600B1"/>
    <w:rsid w:val="00660146"/>
    <w:rsid w:val="0066030D"/>
    <w:rsid w:val="0066064C"/>
    <w:rsid w:val="0066085F"/>
    <w:rsid w:val="00660B88"/>
    <w:rsid w:val="00660E51"/>
    <w:rsid w:val="00660ECD"/>
    <w:rsid w:val="00660F07"/>
    <w:rsid w:val="00660F85"/>
    <w:rsid w:val="00661061"/>
    <w:rsid w:val="006610B7"/>
    <w:rsid w:val="006610BA"/>
    <w:rsid w:val="00661193"/>
    <w:rsid w:val="0066122E"/>
    <w:rsid w:val="00661450"/>
    <w:rsid w:val="0066159C"/>
    <w:rsid w:val="0066170A"/>
    <w:rsid w:val="0066177F"/>
    <w:rsid w:val="00661860"/>
    <w:rsid w:val="006618C5"/>
    <w:rsid w:val="00661B34"/>
    <w:rsid w:val="00661BE8"/>
    <w:rsid w:val="00661CEA"/>
    <w:rsid w:val="00661D33"/>
    <w:rsid w:val="00661EFC"/>
    <w:rsid w:val="00661EFE"/>
    <w:rsid w:val="00661F98"/>
    <w:rsid w:val="0066203D"/>
    <w:rsid w:val="00662089"/>
    <w:rsid w:val="0066216F"/>
    <w:rsid w:val="006623F6"/>
    <w:rsid w:val="00662577"/>
    <w:rsid w:val="006625AD"/>
    <w:rsid w:val="00662768"/>
    <w:rsid w:val="006627FF"/>
    <w:rsid w:val="006629D0"/>
    <w:rsid w:val="00662B2D"/>
    <w:rsid w:val="00662B68"/>
    <w:rsid w:val="00662C07"/>
    <w:rsid w:val="00662F8D"/>
    <w:rsid w:val="00662FA7"/>
    <w:rsid w:val="00663112"/>
    <w:rsid w:val="00663140"/>
    <w:rsid w:val="00663196"/>
    <w:rsid w:val="006631AB"/>
    <w:rsid w:val="0066323A"/>
    <w:rsid w:val="00663654"/>
    <w:rsid w:val="006636E1"/>
    <w:rsid w:val="00663787"/>
    <w:rsid w:val="006638D6"/>
    <w:rsid w:val="00663A09"/>
    <w:rsid w:val="00663A46"/>
    <w:rsid w:val="00663D0D"/>
    <w:rsid w:val="0066410A"/>
    <w:rsid w:val="0066421B"/>
    <w:rsid w:val="00664239"/>
    <w:rsid w:val="00664317"/>
    <w:rsid w:val="006643C8"/>
    <w:rsid w:val="00664521"/>
    <w:rsid w:val="0066459A"/>
    <w:rsid w:val="006646FB"/>
    <w:rsid w:val="0066472C"/>
    <w:rsid w:val="00664799"/>
    <w:rsid w:val="006649BD"/>
    <w:rsid w:val="006649F9"/>
    <w:rsid w:val="00664A5F"/>
    <w:rsid w:val="00664BAE"/>
    <w:rsid w:val="00664C20"/>
    <w:rsid w:val="00664C5A"/>
    <w:rsid w:val="00664DE0"/>
    <w:rsid w:val="00664E71"/>
    <w:rsid w:val="00664EF8"/>
    <w:rsid w:val="00664FAA"/>
    <w:rsid w:val="00665010"/>
    <w:rsid w:val="006650E1"/>
    <w:rsid w:val="00665121"/>
    <w:rsid w:val="0066519D"/>
    <w:rsid w:val="0066520D"/>
    <w:rsid w:val="00665311"/>
    <w:rsid w:val="00665358"/>
    <w:rsid w:val="006653F7"/>
    <w:rsid w:val="00665496"/>
    <w:rsid w:val="00665555"/>
    <w:rsid w:val="00665576"/>
    <w:rsid w:val="0066566C"/>
    <w:rsid w:val="006656E5"/>
    <w:rsid w:val="006657A3"/>
    <w:rsid w:val="006657B4"/>
    <w:rsid w:val="00665B01"/>
    <w:rsid w:val="00665B66"/>
    <w:rsid w:val="00665B6E"/>
    <w:rsid w:val="00665D3C"/>
    <w:rsid w:val="00665E1E"/>
    <w:rsid w:val="00665F1D"/>
    <w:rsid w:val="00665F5D"/>
    <w:rsid w:val="00666049"/>
    <w:rsid w:val="006660B2"/>
    <w:rsid w:val="006661FF"/>
    <w:rsid w:val="0066624F"/>
    <w:rsid w:val="00666468"/>
    <w:rsid w:val="00666851"/>
    <w:rsid w:val="00666982"/>
    <w:rsid w:val="00666B23"/>
    <w:rsid w:val="00666CBB"/>
    <w:rsid w:val="00666F42"/>
    <w:rsid w:val="00667018"/>
    <w:rsid w:val="00667069"/>
    <w:rsid w:val="006670C9"/>
    <w:rsid w:val="00667106"/>
    <w:rsid w:val="006671AD"/>
    <w:rsid w:val="006673E0"/>
    <w:rsid w:val="006677BF"/>
    <w:rsid w:val="00667A3E"/>
    <w:rsid w:val="00667CC4"/>
    <w:rsid w:val="00667E5C"/>
    <w:rsid w:val="00667EF8"/>
    <w:rsid w:val="0067009B"/>
    <w:rsid w:val="006701AE"/>
    <w:rsid w:val="006701C2"/>
    <w:rsid w:val="00670289"/>
    <w:rsid w:val="0067033C"/>
    <w:rsid w:val="006703AA"/>
    <w:rsid w:val="006703AF"/>
    <w:rsid w:val="006703DA"/>
    <w:rsid w:val="00670485"/>
    <w:rsid w:val="00670601"/>
    <w:rsid w:val="0067074F"/>
    <w:rsid w:val="006707CF"/>
    <w:rsid w:val="006708DE"/>
    <w:rsid w:val="006709A8"/>
    <w:rsid w:val="00670A8D"/>
    <w:rsid w:val="00670BA3"/>
    <w:rsid w:val="00670C68"/>
    <w:rsid w:val="00670E6F"/>
    <w:rsid w:val="00670EE1"/>
    <w:rsid w:val="0067112D"/>
    <w:rsid w:val="00671353"/>
    <w:rsid w:val="006713A8"/>
    <w:rsid w:val="00671532"/>
    <w:rsid w:val="0067161C"/>
    <w:rsid w:val="00671716"/>
    <w:rsid w:val="006717A7"/>
    <w:rsid w:val="0067183A"/>
    <w:rsid w:val="006718BB"/>
    <w:rsid w:val="006718F7"/>
    <w:rsid w:val="00671BE3"/>
    <w:rsid w:val="00671F5B"/>
    <w:rsid w:val="00671FE7"/>
    <w:rsid w:val="00672059"/>
    <w:rsid w:val="006720CE"/>
    <w:rsid w:val="00672114"/>
    <w:rsid w:val="00672459"/>
    <w:rsid w:val="00672569"/>
    <w:rsid w:val="0067271E"/>
    <w:rsid w:val="00672816"/>
    <w:rsid w:val="0067282B"/>
    <w:rsid w:val="006728F7"/>
    <w:rsid w:val="00672998"/>
    <w:rsid w:val="00672AAE"/>
    <w:rsid w:val="00672AB6"/>
    <w:rsid w:val="00672DDA"/>
    <w:rsid w:val="00672E45"/>
    <w:rsid w:val="00672E5C"/>
    <w:rsid w:val="0067308B"/>
    <w:rsid w:val="00673249"/>
    <w:rsid w:val="00673267"/>
    <w:rsid w:val="0067328C"/>
    <w:rsid w:val="006732CC"/>
    <w:rsid w:val="0067332B"/>
    <w:rsid w:val="006733BB"/>
    <w:rsid w:val="006734AA"/>
    <w:rsid w:val="006734D5"/>
    <w:rsid w:val="006735C7"/>
    <w:rsid w:val="00673610"/>
    <w:rsid w:val="00673660"/>
    <w:rsid w:val="006736FD"/>
    <w:rsid w:val="00673A2D"/>
    <w:rsid w:val="00673A68"/>
    <w:rsid w:val="00673AD0"/>
    <w:rsid w:val="00673E80"/>
    <w:rsid w:val="00673EDF"/>
    <w:rsid w:val="006740B6"/>
    <w:rsid w:val="006740ED"/>
    <w:rsid w:val="0067426C"/>
    <w:rsid w:val="0067438A"/>
    <w:rsid w:val="00674470"/>
    <w:rsid w:val="006745DF"/>
    <w:rsid w:val="0067463C"/>
    <w:rsid w:val="0067465C"/>
    <w:rsid w:val="00674728"/>
    <w:rsid w:val="0067479E"/>
    <w:rsid w:val="0067479F"/>
    <w:rsid w:val="00674891"/>
    <w:rsid w:val="006748AD"/>
    <w:rsid w:val="006748BB"/>
    <w:rsid w:val="00674A23"/>
    <w:rsid w:val="00674A99"/>
    <w:rsid w:val="00674AAA"/>
    <w:rsid w:val="00674D6F"/>
    <w:rsid w:val="00674F8A"/>
    <w:rsid w:val="0067509A"/>
    <w:rsid w:val="006751BD"/>
    <w:rsid w:val="00675225"/>
    <w:rsid w:val="006752A2"/>
    <w:rsid w:val="006752BD"/>
    <w:rsid w:val="00675353"/>
    <w:rsid w:val="00675472"/>
    <w:rsid w:val="006754F2"/>
    <w:rsid w:val="0067565D"/>
    <w:rsid w:val="006756EB"/>
    <w:rsid w:val="006756F1"/>
    <w:rsid w:val="00675913"/>
    <w:rsid w:val="006759CB"/>
    <w:rsid w:val="00675BC8"/>
    <w:rsid w:val="00675D4C"/>
    <w:rsid w:val="00675DF5"/>
    <w:rsid w:val="00675E7F"/>
    <w:rsid w:val="006760A0"/>
    <w:rsid w:val="0067619B"/>
    <w:rsid w:val="00676271"/>
    <w:rsid w:val="00676281"/>
    <w:rsid w:val="00676407"/>
    <w:rsid w:val="006766C2"/>
    <w:rsid w:val="0067685B"/>
    <w:rsid w:val="0067688B"/>
    <w:rsid w:val="006768CF"/>
    <w:rsid w:val="00676C72"/>
    <w:rsid w:val="00676FCA"/>
    <w:rsid w:val="00677256"/>
    <w:rsid w:val="006772BB"/>
    <w:rsid w:val="00677500"/>
    <w:rsid w:val="00677654"/>
    <w:rsid w:val="006779D4"/>
    <w:rsid w:val="00677B3B"/>
    <w:rsid w:val="00677C40"/>
    <w:rsid w:val="00677C55"/>
    <w:rsid w:val="00677D45"/>
    <w:rsid w:val="00677D70"/>
    <w:rsid w:val="00677DC7"/>
    <w:rsid w:val="00680256"/>
    <w:rsid w:val="006804DF"/>
    <w:rsid w:val="006808E9"/>
    <w:rsid w:val="00680980"/>
    <w:rsid w:val="0068099A"/>
    <w:rsid w:val="00680A45"/>
    <w:rsid w:val="00680AC5"/>
    <w:rsid w:val="00680B0C"/>
    <w:rsid w:val="00680FAA"/>
    <w:rsid w:val="00680FB3"/>
    <w:rsid w:val="00680FD6"/>
    <w:rsid w:val="006810E6"/>
    <w:rsid w:val="00681386"/>
    <w:rsid w:val="00681441"/>
    <w:rsid w:val="006816EF"/>
    <w:rsid w:val="00681AF2"/>
    <w:rsid w:val="00681B18"/>
    <w:rsid w:val="00681C98"/>
    <w:rsid w:val="006820BE"/>
    <w:rsid w:val="006822A3"/>
    <w:rsid w:val="0068231C"/>
    <w:rsid w:val="00682348"/>
    <w:rsid w:val="006824F2"/>
    <w:rsid w:val="00682552"/>
    <w:rsid w:val="00682586"/>
    <w:rsid w:val="00682602"/>
    <w:rsid w:val="00682756"/>
    <w:rsid w:val="006827BA"/>
    <w:rsid w:val="00682BEC"/>
    <w:rsid w:val="00682E32"/>
    <w:rsid w:val="00682EC9"/>
    <w:rsid w:val="00682FC2"/>
    <w:rsid w:val="006830D6"/>
    <w:rsid w:val="006830FC"/>
    <w:rsid w:val="00683169"/>
    <w:rsid w:val="00683441"/>
    <w:rsid w:val="00683688"/>
    <w:rsid w:val="0068375E"/>
    <w:rsid w:val="0068388D"/>
    <w:rsid w:val="00683A75"/>
    <w:rsid w:val="00683B5E"/>
    <w:rsid w:val="00683BBA"/>
    <w:rsid w:val="00683D23"/>
    <w:rsid w:val="00683EEA"/>
    <w:rsid w:val="00683F80"/>
    <w:rsid w:val="00683FC4"/>
    <w:rsid w:val="00684153"/>
    <w:rsid w:val="0068435A"/>
    <w:rsid w:val="0068441D"/>
    <w:rsid w:val="006844E5"/>
    <w:rsid w:val="00684505"/>
    <w:rsid w:val="006845C7"/>
    <w:rsid w:val="0068469C"/>
    <w:rsid w:val="00684724"/>
    <w:rsid w:val="00684935"/>
    <w:rsid w:val="00684E14"/>
    <w:rsid w:val="00684E1C"/>
    <w:rsid w:val="00684F32"/>
    <w:rsid w:val="00684F95"/>
    <w:rsid w:val="0068527A"/>
    <w:rsid w:val="00685318"/>
    <w:rsid w:val="00685349"/>
    <w:rsid w:val="00685525"/>
    <w:rsid w:val="006855B8"/>
    <w:rsid w:val="0068568E"/>
    <w:rsid w:val="0068589B"/>
    <w:rsid w:val="006858B3"/>
    <w:rsid w:val="006858E6"/>
    <w:rsid w:val="00685996"/>
    <w:rsid w:val="00685A3E"/>
    <w:rsid w:val="00685BA1"/>
    <w:rsid w:val="00685BF0"/>
    <w:rsid w:val="00685C1D"/>
    <w:rsid w:val="00685C9F"/>
    <w:rsid w:val="00685D98"/>
    <w:rsid w:val="00685DFC"/>
    <w:rsid w:val="006860F4"/>
    <w:rsid w:val="00686170"/>
    <w:rsid w:val="006861B8"/>
    <w:rsid w:val="00686245"/>
    <w:rsid w:val="0068631D"/>
    <w:rsid w:val="00686534"/>
    <w:rsid w:val="00686753"/>
    <w:rsid w:val="0068693E"/>
    <w:rsid w:val="00686BAD"/>
    <w:rsid w:val="00686C1C"/>
    <w:rsid w:val="00686C95"/>
    <w:rsid w:val="00686C97"/>
    <w:rsid w:val="00686CE5"/>
    <w:rsid w:val="00686E43"/>
    <w:rsid w:val="00686E61"/>
    <w:rsid w:val="00686F19"/>
    <w:rsid w:val="00686FA7"/>
    <w:rsid w:val="00687020"/>
    <w:rsid w:val="0068702C"/>
    <w:rsid w:val="006870BC"/>
    <w:rsid w:val="00687156"/>
    <w:rsid w:val="006872AA"/>
    <w:rsid w:val="0068738A"/>
    <w:rsid w:val="0068747D"/>
    <w:rsid w:val="00687584"/>
    <w:rsid w:val="00687679"/>
    <w:rsid w:val="006877C5"/>
    <w:rsid w:val="00687842"/>
    <w:rsid w:val="0068789E"/>
    <w:rsid w:val="00687BB1"/>
    <w:rsid w:val="00687BE0"/>
    <w:rsid w:val="00687C53"/>
    <w:rsid w:val="00687DE4"/>
    <w:rsid w:val="00687E5C"/>
    <w:rsid w:val="00687EC0"/>
    <w:rsid w:val="00690123"/>
    <w:rsid w:val="0069019E"/>
    <w:rsid w:val="0069021A"/>
    <w:rsid w:val="0069026C"/>
    <w:rsid w:val="006902EE"/>
    <w:rsid w:val="00690424"/>
    <w:rsid w:val="00690459"/>
    <w:rsid w:val="00690593"/>
    <w:rsid w:val="00690630"/>
    <w:rsid w:val="00690656"/>
    <w:rsid w:val="00690801"/>
    <w:rsid w:val="0069085D"/>
    <w:rsid w:val="0069097E"/>
    <w:rsid w:val="00690B54"/>
    <w:rsid w:val="00690C04"/>
    <w:rsid w:val="00690C92"/>
    <w:rsid w:val="00690DCA"/>
    <w:rsid w:val="00690F4F"/>
    <w:rsid w:val="00691004"/>
    <w:rsid w:val="00691067"/>
    <w:rsid w:val="006910B9"/>
    <w:rsid w:val="00691122"/>
    <w:rsid w:val="006911F6"/>
    <w:rsid w:val="0069122F"/>
    <w:rsid w:val="0069132C"/>
    <w:rsid w:val="006913BB"/>
    <w:rsid w:val="00691428"/>
    <w:rsid w:val="00691478"/>
    <w:rsid w:val="00691627"/>
    <w:rsid w:val="00691A04"/>
    <w:rsid w:val="00691B8B"/>
    <w:rsid w:val="00691D6D"/>
    <w:rsid w:val="00691DF7"/>
    <w:rsid w:val="00691E0D"/>
    <w:rsid w:val="00691E72"/>
    <w:rsid w:val="00691E96"/>
    <w:rsid w:val="00692275"/>
    <w:rsid w:val="00692396"/>
    <w:rsid w:val="00692576"/>
    <w:rsid w:val="00692605"/>
    <w:rsid w:val="0069261D"/>
    <w:rsid w:val="006926A3"/>
    <w:rsid w:val="00692708"/>
    <w:rsid w:val="00692721"/>
    <w:rsid w:val="006928BF"/>
    <w:rsid w:val="00692B9F"/>
    <w:rsid w:val="00692CA1"/>
    <w:rsid w:val="00692D77"/>
    <w:rsid w:val="00692D8B"/>
    <w:rsid w:val="00692E98"/>
    <w:rsid w:val="00692FD9"/>
    <w:rsid w:val="006930FF"/>
    <w:rsid w:val="0069339D"/>
    <w:rsid w:val="00693488"/>
    <w:rsid w:val="00693497"/>
    <w:rsid w:val="00693734"/>
    <w:rsid w:val="0069390D"/>
    <w:rsid w:val="0069391B"/>
    <w:rsid w:val="006939AE"/>
    <w:rsid w:val="00693A37"/>
    <w:rsid w:val="00693C6C"/>
    <w:rsid w:val="00694048"/>
    <w:rsid w:val="006940B6"/>
    <w:rsid w:val="006940E7"/>
    <w:rsid w:val="0069427A"/>
    <w:rsid w:val="0069433F"/>
    <w:rsid w:val="00694380"/>
    <w:rsid w:val="00694524"/>
    <w:rsid w:val="00694605"/>
    <w:rsid w:val="0069467E"/>
    <w:rsid w:val="00694D06"/>
    <w:rsid w:val="00694DD7"/>
    <w:rsid w:val="00694F3A"/>
    <w:rsid w:val="00695386"/>
    <w:rsid w:val="006954B2"/>
    <w:rsid w:val="006955C1"/>
    <w:rsid w:val="00695641"/>
    <w:rsid w:val="0069579B"/>
    <w:rsid w:val="006957FB"/>
    <w:rsid w:val="0069597B"/>
    <w:rsid w:val="0069599D"/>
    <w:rsid w:val="00695AD5"/>
    <w:rsid w:val="00695B72"/>
    <w:rsid w:val="006960EF"/>
    <w:rsid w:val="006961B4"/>
    <w:rsid w:val="00696391"/>
    <w:rsid w:val="00696742"/>
    <w:rsid w:val="006967BD"/>
    <w:rsid w:val="00696A22"/>
    <w:rsid w:val="00696C36"/>
    <w:rsid w:val="00696CCC"/>
    <w:rsid w:val="00696F02"/>
    <w:rsid w:val="00696F0D"/>
    <w:rsid w:val="006971D4"/>
    <w:rsid w:val="0069730A"/>
    <w:rsid w:val="0069732D"/>
    <w:rsid w:val="006973FE"/>
    <w:rsid w:val="006974A3"/>
    <w:rsid w:val="0069778D"/>
    <w:rsid w:val="00697849"/>
    <w:rsid w:val="00697968"/>
    <w:rsid w:val="00697A64"/>
    <w:rsid w:val="00697B49"/>
    <w:rsid w:val="006A0039"/>
    <w:rsid w:val="006A013F"/>
    <w:rsid w:val="006A0222"/>
    <w:rsid w:val="006A0262"/>
    <w:rsid w:val="006A03AF"/>
    <w:rsid w:val="006A03F5"/>
    <w:rsid w:val="006A052F"/>
    <w:rsid w:val="006A0687"/>
    <w:rsid w:val="006A0719"/>
    <w:rsid w:val="006A0787"/>
    <w:rsid w:val="006A07D0"/>
    <w:rsid w:val="006A0994"/>
    <w:rsid w:val="006A09F7"/>
    <w:rsid w:val="006A0C1D"/>
    <w:rsid w:val="006A0C31"/>
    <w:rsid w:val="006A0D91"/>
    <w:rsid w:val="006A0F04"/>
    <w:rsid w:val="006A0F0A"/>
    <w:rsid w:val="006A12B5"/>
    <w:rsid w:val="006A131B"/>
    <w:rsid w:val="006A1465"/>
    <w:rsid w:val="006A15AD"/>
    <w:rsid w:val="006A1845"/>
    <w:rsid w:val="006A195F"/>
    <w:rsid w:val="006A1A78"/>
    <w:rsid w:val="006A1B95"/>
    <w:rsid w:val="006A1C7B"/>
    <w:rsid w:val="006A1D3C"/>
    <w:rsid w:val="006A1D98"/>
    <w:rsid w:val="006A1E72"/>
    <w:rsid w:val="006A1F0A"/>
    <w:rsid w:val="006A1FCC"/>
    <w:rsid w:val="006A2039"/>
    <w:rsid w:val="006A2081"/>
    <w:rsid w:val="006A2158"/>
    <w:rsid w:val="006A264E"/>
    <w:rsid w:val="006A2666"/>
    <w:rsid w:val="006A27EF"/>
    <w:rsid w:val="006A28D9"/>
    <w:rsid w:val="006A2A1A"/>
    <w:rsid w:val="006A2A71"/>
    <w:rsid w:val="006A2B73"/>
    <w:rsid w:val="006A2C30"/>
    <w:rsid w:val="006A2D15"/>
    <w:rsid w:val="006A2D28"/>
    <w:rsid w:val="006A2DE0"/>
    <w:rsid w:val="006A2E8B"/>
    <w:rsid w:val="006A2EDE"/>
    <w:rsid w:val="006A300C"/>
    <w:rsid w:val="006A30C8"/>
    <w:rsid w:val="006A3168"/>
    <w:rsid w:val="006A3214"/>
    <w:rsid w:val="006A3219"/>
    <w:rsid w:val="006A322A"/>
    <w:rsid w:val="006A3235"/>
    <w:rsid w:val="006A32B2"/>
    <w:rsid w:val="006A35E9"/>
    <w:rsid w:val="006A3607"/>
    <w:rsid w:val="006A36BA"/>
    <w:rsid w:val="006A36C6"/>
    <w:rsid w:val="006A3737"/>
    <w:rsid w:val="006A381B"/>
    <w:rsid w:val="006A382D"/>
    <w:rsid w:val="006A3951"/>
    <w:rsid w:val="006A39C7"/>
    <w:rsid w:val="006A3B3B"/>
    <w:rsid w:val="006A3C48"/>
    <w:rsid w:val="006A3C8E"/>
    <w:rsid w:val="006A3F2B"/>
    <w:rsid w:val="006A407D"/>
    <w:rsid w:val="006A44B7"/>
    <w:rsid w:val="006A465B"/>
    <w:rsid w:val="006A48A4"/>
    <w:rsid w:val="006A48F5"/>
    <w:rsid w:val="006A4C5A"/>
    <w:rsid w:val="006A4C8B"/>
    <w:rsid w:val="006A4EBB"/>
    <w:rsid w:val="006A4ED1"/>
    <w:rsid w:val="006A4F04"/>
    <w:rsid w:val="006A501B"/>
    <w:rsid w:val="006A5048"/>
    <w:rsid w:val="006A50DF"/>
    <w:rsid w:val="006A523C"/>
    <w:rsid w:val="006A52BC"/>
    <w:rsid w:val="006A5435"/>
    <w:rsid w:val="006A569A"/>
    <w:rsid w:val="006A56AB"/>
    <w:rsid w:val="006A56F2"/>
    <w:rsid w:val="006A581E"/>
    <w:rsid w:val="006A5884"/>
    <w:rsid w:val="006A58DA"/>
    <w:rsid w:val="006A59DC"/>
    <w:rsid w:val="006A5A90"/>
    <w:rsid w:val="006A5B94"/>
    <w:rsid w:val="006A5F62"/>
    <w:rsid w:val="006A60C5"/>
    <w:rsid w:val="006A60D3"/>
    <w:rsid w:val="006A61A9"/>
    <w:rsid w:val="006A61D2"/>
    <w:rsid w:val="006A64D8"/>
    <w:rsid w:val="006A64E1"/>
    <w:rsid w:val="006A6507"/>
    <w:rsid w:val="006A65E6"/>
    <w:rsid w:val="006A6640"/>
    <w:rsid w:val="006A6703"/>
    <w:rsid w:val="006A68FC"/>
    <w:rsid w:val="006A6974"/>
    <w:rsid w:val="006A6A97"/>
    <w:rsid w:val="006A6AC5"/>
    <w:rsid w:val="006A6B6F"/>
    <w:rsid w:val="006A6BAB"/>
    <w:rsid w:val="006A6C2C"/>
    <w:rsid w:val="006A6C63"/>
    <w:rsid w:val="006A6D64"/>
    <w:rsid w:val="006A6D9D"/>
    <w:rsid w:val="006A6E12"/>
    <w:rsid w:val="006A7013"/>
    <w:rsid w:val="006A70DD"/>
    <w:rsid w:val="006A7258"/>
    <w:rsid w:val="006A731C"/>
    <w:rsid w:val="006A73B6"/>
    <w:rsid w:val="006A7416"/>
    <w:rsid w:val="006A743B"/>
    <w:rsid w:val="006A74D5"/>
    <w:rsid w:val="006A7545"/>
    <w:rsid w:val="006A7587"/>
    <w:rsid w:val="006A7788"/>
    <w:rsid w:val="006A7845"/>
    <w:rsid w:val="006A7886"/>
    <w:rsid w:val="006A7B05"/>
    <w:rsid w:val="006A7BA4"/>
    <w:rsid w:val="006A7E57"/>
    <w:rsid w:val="006A7F53"/>
    <w:rsid w:val="006B0065"/>
    <w:rsid w:val="006B0158"/>
    <w:rsid w:val="006B03EC"/>
    <w:rsid w:val="006B076B"/>
    <w:rsid w:val="006B086A"/>
    <w:rsid w:val="006B09E8"/>
    <w:rsid w:val="006B0A38"/>
    <w:rsid w:val="006B0B86"/>
    <w:rsid w:val="006B0BB8"/>
    <w:rsid w:val="006B0BFF"/>
    <w:rsid w:val="006B0CEB"/>
    <w:rsid w:val="006B0ED3"/>
    <w:rsid w:val="006B0EEB"/>
    <w:rsid w:val="006B0F97"/>
    <w:rsid w:val="006B1057"/>
    <w:rsid w:val="006B108F"/>
    <w:rsid w:val="006B1178"/>
    <w:rsid w:val="006B1183"/>
    <w:rsid w:val="006B11F2"/>
    <w:rsid w:val="006B166C"/>
    <w:rsid w:val="006B17CA"/>
    <w:rsid w:val="006B1803"/>
    <w:rsid w:val="006B1956"/>
    <w:rsid w:val="006B1A2E"/>
    <w:rsid w:val="006B1A5E"/>
    <w:rsid w:val="006B1A76"/>
    <w:rsid w:val="006B1B2D"/>
    <w:rsid w:val="006B1F29"/>
    <w:rsid w:val="006B20E9"/>
    <w:rsid w:val="006B229D"/>
    <w:rsid w:val="006B22ED"/>
    <w:rsid w:val="006B2599"/>
    <w:rsid w:val="006B2601"/>
    <w:rsid w:val="006B2797"/>
    <w:rsid w:val="006B27D8"/>
    <w:rsid w:val="006B29FA"/>
    <w:rsid w:val="006B2AEA"/>
    <w:rsid w:val="006B2B28"/>
    <w:rsid w:val="006B2C42"/>
    <w:rsid w:val="006B2C9E"/>
    <w:rsid w:val="006B2D99"/>
    <w:rsid w:val="006B2E60"/>
    <w:rsid w:val="006B2E92"/>
    <w:rsid w:val="006B2F71"/>
    <w:rsid w:val="006B3065"/>
    <w:rsid w:val="006B31E9"/>
    <w:rsid w:val="006B3219"/>
    <w:rsid w:val="006B328D"/>
    <w:rsid w:val="006B3418"/>
    <w:rsid w:val="006B3435"/>
    <w:rsid w:val="006B3500"/>
    <w:rsid w:val="006B37AC"/>
    <w:rsid w:val="006B38D8"/>
    <w:rsid w:val="006B38FD"/>
    <w:rsid w:val="006B3AAC"/>
    <w:rsid w:val="006B3AE8"/>
    <w:rsid w:val="006B3AFE"/>
    <w:rsid w:val="006B3D28"/>
    <w:rsid w:val="006B3D86"/>
    <w:rsid w:val="006B3E9C"/>
    <w:rsid w:val="006B426E"/>
    <w:rsid w:val="006B4317"/>
    <w:rsid w:val="006B4544"/>
    <w:rsid w:val="006B466E"/>
    <w:rsid w:val="006B4755"/>
    <w:rsid w:val="006B4CEA"/>
    <w:rsid w:val="006B4DBD"/>
    <w:rsid w:val="006B4F13"/>
    <w:rsid w:val="006B4FAF"/>
    <w:rsid w:val="006B5000"/>
    <w:rsid w:val="006B5008"/>
    <w:rsid w:val="006B503E"/>
    <w:rsid w:val="006B5212"/>
    <w:rsid w:val="006B522D"/>
    <w:rsid w:val="006B54D4"/>
    <w:rsid w:val="006B5544"/>
    <w:rsid w:val="006B55A9"/>
    <w:rsid w:val="006B57E6"/>
    <w:rsid w:val="006B5805"/>
    <w:rsid w:val="006B58FD"/>
    <w:rsid w:val="006B5A8D"/>
    <w:rsid w:val="006B5AC1"/>
    <w:rsid w:val="006B5B8F"/>
    <w:rsid w:val="006B5BE3"/>
    <w:rsid w:val="006B5E48"/>
    <w:rsid w:val="006B5F36"/>
    <w:rsid w:val="006B602D"/>
    <w:rsid w:val="006B606B"/>
    <w:rsid w:val="006B60C6"/>
    <w:rsid w:val="006B623C"/>
    <w:rsid w:val="006B63CA"/>
    <w:rsid w:val="006B63D0"/>
    <w:rsid w:val="006B63E0"/>
    <w:rsid w:val="006B659B"/>
    <w:rsid w:val="006B683C"/>
    <w:rsid w:val="006B6937"/>
    <w:rsid w:val="006B6953"/>
    <w:rsid w:val="006B6A5D"/>
    <w:rsid w:val="006B6D01"/>
    <w:rsid w:val="006B6E42"/>
    <w:rsid w:val="006B6F7B"/>
    <w:rsid w:val="006B6FAA"/>
    <w:rsid w:val="006B709A"/>
    <w:rsid w:val="006B715A"/>
    <w:rsid w:val="006B7408"/>
    <w:rsid w:val="006B745D"/>
    <w:rsid w:val="006B7501"/>
    <w:rsid w:val="006B7634"/>
    <w:rsid w:val="006B764A"/>
    <w:rsid w:val="006B7857"/>
    <w:rsid w:val="006B78EC"/>
    <w:rsid w:val="006B7AB4"/>
    <w:rsid w:val="006B7BBD"/>
    <w:rsid w:val="006B7C29"/>
    <w:rsid w:val="006B7ED2"/>
    <w:rsid w:val="006C005E"/>
    <w:rsid w:val="006C01B1"/>
    <w:rsid w:val="006C044B"/>
    <w:rsid w:val="006C06AD"/>
    <w:rsid w:val="006C08FC"/>
    <w:rsid w:val="006C0A28"/>
    <w:rsid w:val="006C0C2D"/>
    <w:rsid w:val="006C0C39"/>
    <w:rsid w:val="006C0FE8"/>
    <w:rsid w:val="006C1069"/>
    <w:rsid w:val="006C14BD"/>
    <w:rsid w:val="006C1688"/>
    <w:rsid w:val="006C16AA"/>
    <w:rsid w:val="006C179B"/>
    <w:rsid w:val="006C179D"/>
    <w:rsid w:val="006C1A2F"/>
    <w:rsid w:val="006C1D04"/>
    <w:rsid w:val="006C1D21"/>
    <w:rsid w:val="006C1D26"/>
    <w:rsid w:val="006C205F"/>
    <w:rsid w:val="006C208E"/>
    <w:rsid w:val="006C22FA"/>
    <w:rsid w:val="006C236A"/>
    <w:rsid w:val="006C2512"/>
    <w:rsid w:val="006C26A1"/>
    <w:rsid w:val="006C275C"/>
    <w:rsid w:val="006C276A"/>
    <w:rsid w:val="006C285F"/>
    <w:rsid w:val="006C2B32"/>
    <w:rsid w:val="006C2CDE"/>
    <w:rsid w:val="006C2E8D"/>
    <w:rsid w:val="006C2FAA"/>
    <w:rsid w:val="006C2FF1"/>
    <w:rsid w:val="006C313E"/>
    <w:rsid w:val="006C3324"/>
    <w:rsid w:val="006C33DB"/>
    <w:rsid w:val="006C341B"/>
    <w:rsid w:val="006C3C12"/>
    <w:rsid w:val="006C3C5A"/>
    <w:rsid w:val="006C3D5B"/>
    <w:rsid w:val="006C3F1B"/>
    <w:rsid w:val="006C3F26"/>
    <w:rsid w:val="006C4033"/>
    <w:rsid w:val="006C412D"/>
    <w:rsid w:val="006C42C4"/>
    <w:rsid w:val="006C42CE"/>
    <w:rsid w:val="006C4372"/>
    <w:rsid w:val="006C4806"/>
    <w:rsid w:val="006C480F"/>
    <w:rsid w:val="006C48A9"/>
    <w:rsid w:val="006C4AE1"/>
    <w:rsid w:val="006C4B05"/>
    <w:rsid w:val="006C4C5E"/>
    <w:rsid w:val="006C4D53"/>
    <w:rsid w:val="006C4F39"/>
    <w:rsid w:val="006C4F85"/>
    <w:rsid w:val="006C51D6"/>
    <w:rsid w:val="006C528B"/>
    <w:rsid w:val="006C5316"/>
    <w:rsid w:val="006C533F"/>
    <w:rsid w:val="006C5359"/>
    <w:rsid w:val="006C5391"/>
    <w:rsid w:val="006C54D2"/>
    <w:rsid w:val="006C58CA"/>
    <w:rsid w:val="006C598A"/>
    <w:rsid w:val="006C5A4A"/>
    <w:rsid w:val="006C5AD5"/>
    <w:rsid w:val="006C5BF1"/>
    <w:rsid w:val="006C5CD8"/>
    <w:rsid w:val="006C5E1B"/>
    <w:rsid w:val="006C6049"/>
    <w:rsid w:val="006C6079"/>
    <w:rsid w:val="006C61F7"/>
    <w:rsid w:val="006C62CB"/>
    <w:rsid w:val="006C62F0"/>
    <w:rsid w:val="006C65CE"/>
    <w:rsid w:val="006C65EC"/>
    <w:rsid w:val="006C6684"/>
    <w:rsid w:val="006C68FD"/>
    <w:rsid w:val="006C69D4"/>
    <w:rsid w:val="006C6B2A"/>
    <w:rsid w:val="006C6D79"/>
    <w:rsid w:val="006C6E2A"/>
    <w:rsid w:val="006C6F7D"/>
    <w:rsid w:val="006C6F8A"/>
    <w:rsid w:val="006C714D"/>
    <w:rsid w:val="006C726F"/>
    <w:rsid w:val="006C729A"/>
    <w:rsid w:val="006C72CB"/>
    <w:rsid w:val="006C7374"/>
    <w:rsid w:val="006C7630"/>
    <w:rsid w:val="006C789A"/>
    <w:rsid w:val="006C7998"/>
    <w:rsid w:val="006C7A50"/>
    <w:rsid w:val="006C7B23"/>
    <w:rsid w:val="006C7CD5"/>
    <w:rsid w:val="006C7E35"/>
    <w:rsid w:val="006C7F39"/>
    <w:rsid w:val="006D023A"/>
    <w:rsid w:val="006D0255"/>
    <w:rsid w:val="006D0268"/>
    <w:rsid w:val="006D02E8"/>
    <w:rsid w:val="006D0335"/>
    <w:rsid w:val="006D04B1"/>
    <w:rsid w:val="006D04CE"/>
    <w:rsid w:val="006D0802"/>
    <w:rsid w:val="006D08CC"/>
    <w:rsid w:val="006D0975"/>
    <w:rsid w:val="006D0AA5"/>
    <w:rsid w:val="006D0BD8"/>
    <w:rsid w:val="006D0CBE"/>
    <w:rsid w:val="006D126F"/>
    <w:rsid w:val="006D12D7"/>
    <w:rsid w:val="006D1342"/>
    <w:rsid w:val="006D1410"/>
    <w:rsid w:val="006D14C6"/>
    <w:rsid w:val="006D1806"/>
    <w:rsid w:val="006D180E"/>
    <w:rsid w:val="006D1B11"/>
    <w:rsid w:val="006D1BB7"/>
    <w:rsid w:val="006D1DFB"/>
    <w:rsid w:val="006D1E2B"/>
    <w:rsid w:val="006D1E4C"/>
    <w:rsid w:val="006D1EF5"/>
    <w:rsid w:val="006D2008"/>
    <w:rsid w:val="006D2063"/>
    <w:rsid w:val="006D2096"/>
    <w:rsid w:val="006D239C"/>
    <w:rsid w:val="006D23E0"/>
    <w:rsid w:val="006D24EA"/>
    <w:rsid w:val="006D253C"/>
    <w:rsid w:val="006D2804"/>
    <w:rsid w:val="006D28CC"/>
    <w:rsid w:val="006D2908"/>
    <w:rsid w:val="006D2B5B"/>
    <w:rsid w:val="006D2C07"/>
    <w:rsid w:val="006D2E68"/>
    <w:rsid w:val="006D2EA7"/>
    <w:rsid w:val="006D2EC2"/>
    <w:rsid w:val="006D30D8"/>
    <w:rsid w:val="006D3154"/>
    <w:rsid w:val="006D3406"/>
    <w:rsid w:val="006D3765"/>
    <w:rsid w:val="006D37F8"/>
    <w:rsid w:val="006D3804"/>
    <w:rsid w:val="006D386B"/>
    <w:rsid w:val="006D3A8E"/>
    <w:rsid w:val="006D3ADF"/>
    <w:rsid w:val="006D3B0A"/>
    <w:rsid w:val="006D3B63"/>
    <w:rsid w:val="006D3B86"/>
    <w:rsid w:val="006D3B93"/>
    <w:rsid w:val="006D3C80"/>
    <w:rsid w:val="006D3E22"/>
    <w:rsid w:val="006D4145"/>
    <w:rsid w:val="006D4708"/>
    <w:rsid w:val="006D470D"/>
    <w:rsid w:val="006D4757"/>
    <w:rsid w:val="006D4780"/>
    <w:rsid w:val="006D4842"/>
    <w:rsid w:val="006D48CB"/>
    <w:rsid w:val="006D4BD9"/>
    <w:rsid w:val="006D4E04"/>
    <w:rsid w:val="006D4E2F"/>
    <w:rsid w:val="006D4E42"/>
    <w:rsid w:val="006D4FCB"/>
    <w:rsid w:val="006D5043"/>
    <w:rsid w:val="006D510E"/>
    <w:rsid w:val="006D5292"/>
    <w:rsid w:val="006D5449"/>
    <w:rsid w:val="006D550A"/>
    <w:rsid w:val="006D5534"/>
    <w:rsid w:val="006D5700"/>
    <w:rsid w:val="006D57DB"/>
    <w:rsid w:val="006D595F"/>
    <w:rsid w:val="006D5A7F"/>
    <w:rsid w:val="006D5B34"/>
    <w:rsid w:val="006D5B3A"/>
    <w:rsid w:val="006D5B87"/>
    <w:rsid w:val="006D5C81"/>
    <w:rsid w:val="006D5D2C"/>
    <w:rsid w:val="006D5E4B"/>
    <w:rsid w:val="006D6027"/>
    <w:rsid w:val="006D630D"/>
    <w:rsid w:val="006D6320"/>
    <w:rsid w:val="006D6452"/>
    <w:rsid w:val="006D64FB"/>
    <w:rsid w:val="006D67EC"/>
    <w:rsid w:val="006D683B"/>
    <w:rsid w:val="006D68B6"/>
    <w:rsid w:val="006D68D3"/>
    <w:rsid w:val="006D693D"/>
    <w:rsid w:val="006D6995"/>
    <w:rsid w:val="006D69B1"/>
    <w:rsid w:val="006D6A97"/>
    <w:rsid w:val="006D6B0D"/>
    <w:rsid w:val="006D6BDB"/>
    <w:rsid w:val="006D6C94"/>
    <w:rsid w:val="006D6FB8"/>
    <w:rsid w:val="006D73A2"/>
    <w:rsid w:val="006D7451"/>
    <w:rsid w:val="006D7513"/>
    <w:rsid w:val="006D753F"/>
    <w:rsid w:val="006D7664"/>
    <w:rsid w:val="006D79BB"/>
    <w:rsid w:val="006D79F2"/>
    <w:rsid w:val="006D7CDC"/>
    <w:rsid w:val="006D7CE2"/>
    <w:rsid w:val="006D7E17"/>
    <w:rsid w:val="006D7E3A"/>
    <w:rsid w:val="006D7F38"/>
    <w:rsid w:val="006D7F52"/>
    <w:rsid w:val="006E00E7"/>
    <w:rsid w:val="006E049B"/>
    <w:rsid w:val="006E059E"/>
    <w:rsid w:val="006E05CF"/>
    <w:rsid w:val="006E05F0"/>
    <w:rsid w:val="006E0636"/>
    <w:rsid w:val="006E0690"/>
    <w:rsid w:val="006E0ABF"/>
    <w:rsid w:val="006E0D81"/>
    <w:rsid w:val="006E0D92"/>
    <w:rsid w:val="006E0E28"/>
    <w:rsid w:val="006E0E30"/>
    <w:rsid w:val="006E0E89"/>
    <w:rsid w:val="006E0F3E"/>
    <w:rsid w:val="006E0F6A"/>
    <w:rsid w:val="006E1066"/>
    <w:rsid w:val="006E1151"/>
    <w:rsid w:val="006E13A2"/>
    <w:rsid w:val="006E149B"/>
    <w:rsid w:val="006E1616"/>
    <w:rsid w:val="006E17F7"/>
    <w:rsid w:val="006E18D7"/>
    <w:rsid w:val="006E1F0E"/>
    <w:rsid w:val="006E20A8"/>
    <w:rsid w:val="006E2274"/>
    <w:rsid w:val="006E230C"/>
    <w:rsid w:val="006E2349"/>
    <w:rsid w:val="006E23D0"/>
    <w:rsid w:val="006E2700"/>
    <w:rsid w:val="006E290C"/>
    <w:rsid w:val="006E29D4"/>
    <w:rsid w:val="006E2B80"/>
    <w:rsid w:val="006E2D06"/>
    <w:rsid w:val="006E2E88"/>
    <w:rsid w:val="006E2F49"/>
    <w:rsid w:val="006E2F4B"/>
    <w:rsid w:val="006E2F4D"/>
    <w:rsid w:val="006E309C"/>
    <w:rsid w:val="006E3187"/>
    <w:rsid w:val="006E32DE"/>
    <w:rsid w:val="006E3322"/>
    <w:rsid w:val="006E3388"/>
    <w:rsid w:val="006E33A0"/>
    <w:rsid w:val="006E34DF"/>
    <w:rsid w:val="006E3959"/>
    <w:rsid w:val="006E3D1A"/>
    <w:rsid w:val="006E3D7F"/>
    <w:rsid w:val="006E3F45"/>
    <w:rsid w:val="006E4049"/>
    <w:rsid w:val="006E4127"/>
    <w:rsid w:val="006E4176"/>
    <w:rsid w:val="006E41E9"/>
    <w:rsid w:val="006E42CF"/>
    <w:rsid w:val="006E43B1"/>
    <w:rsid w:val="006E43B4"/>
    <w:rsid w:val="006E4660"/>
    <w:rsid w:val="006E4726"/>
    <w:rsid w:val="006E474A"/>
    <w:rsid w:val="006E494B"/>
    <w:rsid w:val="006E4978"/>
    <w:rsid w:val="006E49B6"/>
    <w:rsid w:val="006E4AFF"/>
    <w:rsid w:val="006E4B5A"/>
    <w:rsid w:val="006E4D7B"/>
    <w:rsid w:val="006E508D"/>
    <w:rsid w:val="006E50C7"/>
    <w:rsid w:val="006E5106"/>
    <w:rsid w:val="006E5247"/>
    <w:rsid w:val="006E5523"/>
    <w:rsid w:val="006E5629"/>
    <w:rsid w:val="006E5691"/>
    <w:rsid w:val="006E5778"/>
    <w:rsid w:val="006E57EC"/>
    <w:rsid w:val="006E5958"/>
    <w:rsid w:val="006E5A5E"/>
    <w:rsid w:val="006E5AAD"/>
    <w:rsid w:val="006E5B01"/>
    <w:rsid w:val="006E5B6C"/>
    <w:rsid w:val="006E5E12"/>
    <w:rsid w:val="006E5F71"/>
    <w:rsid w:val="006E606F"/>
    <w:rsid w:val="006E60D3"/>
    <w:rsid w:val="006E612A"/>
    <w:rsid w:val="006E6587"/>
    <w:rsid w:val="006E67C1"/>
    <w:rsid w:val="006E68DD"/>
    <w:rsid w:val="006E6D7D"/>
    <w:rsid w:val="006E6F43"/>
    <w:rsid w:val="006E6F98"/>
    <w:rsid w:val="006E710B"/>
    <w:rsid w:val="006E723E"/>
    <w:rsid w:val="006E740E"/>
    <w:rsid w:val="006E74DF"/>
    <w:rsid w:val="006E772C"/>
    <w:rsid w:val="006E789F"/>
    <w:rsid w:val="006E79C8"/>
    <w:rsid w:val="006E7A40"/>
    <w:rsid w:val="006E7A79"/>
    <w:rsid w:val="006E7B31"/>
    <w:rsid w:val="006E7B41"/>
    <w:rsid w:val="006E7C9D"/>
    <w:rsid w:val="006E7CF5"/>
    <w:rsid w:val="006E7D9A"/>
    <w:rsid w:val="006F0097"/>
    <w:rsid w:val="006F00E7"/>
    <w:rsid w:val="006F010F"/>
    <w:rsid w:val="006F03E7"/>
    <w:rsid w:val="006F040A"/>
    <w:rsid w:val="006F04B4"/>
    <w:rsid w:val="006F04FC"/>
    <w:rsid w:val="006F0AB5"/>
    <w:rsid w:val="006F0ABB"/>
    <w:rsid w:val="006F0C86"/>
    <w:rsid w:val="006F0E87"/>
    <w:rsid w:val="006F0F6B"/>
    <w:rsid w:val="006F12F4"/>
    <w:rsid w:val="006F1495"/>
    <w:rsid w:val="006F17E7"/>
    <w:rsid w:val="006F1884"/>
    <w:rsid w:val="006F18DD"/>
    <w:rsid w:val="006F1951"/>
    <w:rsid w:val="006F19B3"/>
    <w:rsid w:val="006F1B15"/>
    <w:rsid w:val="006F1BEA"/>
    <w:rsid w:val="006F1EA1"/>
    <w:rsid w:val="006F2096"/>
    <w:rsid w:val="006F21AC"/>
    <w:rsid w:val="006F23F0"/>
    <w:rsid w:val="006F2420"/>
    <w:rsid w:val="006F2585"/>
    <w:rsid w:val="006F2636"/>
    <w:rsid w:val="006F26F0"/>
    <w:rsid w:val="006F271B"/>
    <w:rsid w:val="006F2726"/>
    <w:rsid w:val="006F2CB5"/>
    <w:rsid w:val="006F2CC9"/>
    <w:rsid w:val="006F2CDE"/>
    <w:rsid w:val="006F2DD3"/>
    <w:rsid w:val="006F2E17"/>
    <w:rsid w:val="006F310A"/>
    <w:rsid w:val="006F311A"/>
    <w:rsid w:val="006F31B6"/>
    <w:rsid w:val="006F32B5"/>
    <w:rsid w:val="006F3639"/>
    <w:rsid w:val="006F364A"/>
    <w:rsid w:val="006F3757"/>
    <w:rsid w:val="006F37F1"/>
    <w:rsid w:val="006F386F"/>
    <w:rsid w:val="006F38E3"/>
    <w:rsid w:val="006F3B14"/>
    <w:rsid w:val="006F3BB6"/>
    <w:rsid w:val="006F3D92"/>
    <w:rsid w:val="006F3E07"/>
    <w:rsid w:val="006F3E9B"/>
    <w:rsid w:val="006F3F55"/>
    <w:rsid w:val="006F4020"/>
    <w:rsid w:val="006F40A9"/>
    <w:rsid w:val="006F4219"/>
    <w:rsid w:val="006F4374"/>
    <w:rsid w:val="006F4446"/>
    <w:rsid w:val="006F44D8"/>
    <w:rsid w:val="006F451C"/>
    <w:rsid w:val="006F4597"/>
    <w:rsid w:val="006F4730"/>
    <w:rsid w:val="006F4764"/>
    <w:rsid w:val="006F4AF6"/>
    <w:rsid w:val="006F4B44"/>
    <w:rsid w:val="006F4B96"/>
    <w:rsid w:val="006F4D22"/>
    <w:rsid w:val="006F4DEF"/>
    <w:rsid w:val="006F5246"/>
    <w:rsid w:val="006F5377"/>
    <w:rsid w:val="006F5621"/>
    <w:rsid w:val="006F574C"/>
    <w:rsid w:val="006F577C"/>
    <w:rsid w:val="006F57B4"/>
    <w:rsid w:val="006F5DE6"/>
    <w:rsid w:val="006F5DF3"/>
    <w:rsid w:val="006F61E5"/>
    <w:rsid w:val="006F629C"/>
    <w:rsid w:val="006F6446"/>
    <w:rsid w:val="006F65FB"/>
    <w:rsid w:val="006F664D"/>
    <w:rsid w:val="006F6815"/>
    <w:rsid w:val="006F6A72"/>
    <w:rsid w:val="006F6AFF"/>
    <w:rsid w:val="006F6D1B"/>
    <w:rsid w:val="006F6D27"/>
    <w:rsid w:val="006F6FF2"/>
    <w:rsid w:val="006F701D"/>
    <w:rsid w:val="006F7255"/>
    <w:rsid w:val="006F7549"/>
    <w:rsid w:val="006F76D5"/>
    <w:rsid w:val="006F7798"/>
    <w:rsid w:val="006F79A2"/>
    <w:rsid w:val="006F79C8"/>
    <w:rsid w:val="006F7C05"/>
    <w:rsid w:val="006F7DE4"/>
    <w:rsid w:val="006F7EC6"/>
    <w:rsid w:val="006FAD6A"/>
    <w:rsid w:val="00700138"/>
    <w:rsid w:val="007002A8"/>
    <w:rsid w:val="00700349"/>
    <w:rsid w:val="0070047B"/>
    <w:rsid w:val="00700497"/>
    <w:rsid w:val="007005D3"/>
    <w:rsid w:val="007007E4"/>
    <w:rsid w:val="0070091B"/>
    <w:rsid w:val="0070099B"/>
    <w:rsid w:val="007009DC"/>
    <w:rsid w:val="007009E4"/>
    <w:rsid w:val="00700C24"/>
    <w:rsid w:val="00700D02"/>
    <w:rsid w:val="00700D05"/>
    <w:rsid w:val="00700EBD"/>
    <w:rsid w:val="00700F03"/>
    <w:rsid w:val="00700F0B"/>
    <w:rsid w:val="00701135"/>
    <w:rsid w:val="00701278"/>
    <w:rsid w:val="00701308"/>
    <w:rsid w:val="007013B0"/>
    <w:rsid w:val="0070151D"/>
    <w:rsid w:val="0070181E"/>
    <w:rsid w:val="007019B4"/>
    <w:rsid w:val="00701A18"/>
    <w:rsid w:val="00701BA3"/>
    <w:rsid w:val="00701BEE"/>
    <w:rsid w:val="00701C5C"/>
    <w:rsid w:val="00701DDA"/>
    <w:rsid w:val="00701E12"/>
    <w:rsid w:val="00702472"/>
    <w:rsid w:val="007024AE"/>
    <w:rsid w:val="0070262E"/>
    <w:rsid w:val="00702777"/>
    <w:rsid w:val="00702859"/>
    <w:rsid w:val="0070298B"/>
    <w:rsid w:val="00702A76"/>
    <w:rsid w:val="00702BE3"/>
    <w:rsid w:val="00702C3E"/>
    <w:rsid w:val="00702CB4"/>
    <w:rsid w:val="00702CD8"/>
    <w:rsid w:val="00702DFD"/>
    <w:rsid w:val="00702E00"/>
    <w:rsid w:val="00702E41"/>
    <w:rsid w:val="00702F25"/>
    <w:rsid w:val="00702F9E"/>
    <w:rsid w:val="00702FE9"/>
    <w:rsid w:val="00703154"/>
    <w:rsid w:val="00703199"/>
    <w:rsid w:val="00703290"/>
    <w:rsid w:val="007033B9"/>
    <w:rsid w:val="00703446"/>
    <w:rsid w:val="007037C1"/>
    <w:rsid w:val="00703801"/>
    <w:rsid w:val="00703842"/>
    <w:rsid w:val="00703914"/>
    <w:rsid w:val="0070397F"/>
    <w:rsid w:val="00703A33"/>
    <w:rsid w:val="00703ACD"/>
    <w:rsid w:val="00703B05"/>
    <w:rsid w:val="00703C81"/>
    <w:rsid w:val="00703D0E"/>
    <w:rsid w:val="0070408E"/>
    <w:rsid w:val="00704164"/>
    <w:rsid w:val="00704251"/>
    <w:rsid w:val="007042BC"/>
    <w:rsid w:val="00704340"/>
    <w:rsid w:val="007043F9"/>
    <w:rsid w:val="00704669"/>
    <w:rsid w:val="0070481A"/>
    <w:rsid w:val="00704A34"/>
    <w:rsid w:val="00704A6E"/>
    <w:rsid w:val="00704A7B"/>
    <w:rsid w:val="00704AD5"/>
    <w:rsid w:val="00704BA3"/>
    <w:rsid w:val="00704C76"/>
    <w:rsid w:val="00704C97"/>
    <w:rsid w:val="00704EDA"/>
    <w:rsid w:val="00705099"/>
    <w:rsid w:val="00705156"/>
    <w:rsid w:val="0070520F"/>
    <w:rsid w:val="00705232"/>
    <w:rsid w:val="00705253"/>
    <w:rsid w:val="007053B6"/>
    <w:rsid w:val="00705455"/>
    <w:rsid w:val="0070557B"/>
    <w:rsid w:val="00705616"/>
    <w:rsid w:val="0070566F"/>
    <w:rsid w:val="00705743"/>
    <w:rsid w:val="0070577E"/>
    <w:rsid w:val="00705797"/>
    <w:rsid w:val="00705C55"/>
    <w:rsid w:val="00705F20"/>
    <w:rsid w:val="00706074"/>
    <w:rsid w:val="007061E2"/>
    <w:rsid w:val="00706316"/>
    <w:rsid w:val="0070636A"/>
    <w:rsid w:val="00706376"/>
    <w:rsid w:val="007063BE"/>
    <w:rsid w:val="007064DB"/>
    <w:rsid w:val="0070651C"/>
    <w:rsid w:val="00706525"/>
    <w:rsid w:val="007065A5"/>
    <w:rsid w:val="00706627"/>
    <w:rsid w:val="0070683B"/>
    <w:rsid w:val="00706906"/>
    <w:rsid w:val="00706B5D"/>
    <w:rsid w:val="00706C40"/>
    <w:rsid w:val="00706E85"/>
    <w:rsid w:val="00706ECE"/>
    <w:rsid w:val="00706F9B"/>
    <w:rsid w:val="00706FD3"/>
    <w:rsid w:val="0070718D"/>
    <w:rsid w:val="00707240"/>
    <w:rsid w:val="0070729A"/>
    <w:rsid w:val="007074A1"/>
    <w:rsid w:val="0070753D"/>
    <w:rsid w:val="007075DB"/>
    <w:rsid w:val="007078BF"/>
    <w:rsid w:val="00707C3D"/>
    <w:rsid w:val="00707C4C"/>
    <w:rsid w:val="00707D17"/>
    <w:rsid w:val="00707D5F"/>
    <w:rsid w:val="00707D6E"/>
    <w:rsid w:val="00707D97"/>
    <w:rsid w:val="00707DBB"/>
    <w:rsid w:val="00707E15"/>
    <w:rsid w:val="00707F06"/>
    <w:rsid w:val="0070B55F"/>
    <w:rsid w:val="00710298"/>
    <w:rsid w:val="00710429"/>
    <w:rsid w:val="00710522"/>
    <w:rsid w:val="00710653"/>
    <w:rsid w:val="00710673"/>
    <w:rsid w:val="00710718"/>
    <w:rsid w:val="00710955"/>
    <w:rsid w:val="007109B4"/>
    <w:rsid w:val="00710AD5"/>
    <w:rsid w:val="00710C1D"/>
    <w:rsid w:val="00710C43"/>
    <w:rsid w:val="00710C48"/>
    <w:rsid w:val="00710E46"/>
    <w:rsid w:val="00710ED4"/>
    <w:rsid w:val="007113EE"/>
    <w:rsid w:val="00711428"/>
    <w:rsid w:val="007115C6"/>
    <w:rsid w:val="007118AE"/>
    <w:rsid w:val="00711943"/>
    <w:rsid w:val="00711A5A"/>
    <w:rsid w:val="00711A8A"/>
    <w:rsid w:val="00711DC0"/>
    <w:rsid w:val="00711DF8"/>
    <w:rsid w:val="00711E61"/>
    <w:rsid w:val="00711E83"/>
    <w:rsid w:val="00711FAE"/>
    <w:rsid w:val="00712021"/>
    <w:rsid w:val="00712057"/>
    <w:rsid w:val="0071220A"/>
    <w:rsid w:val="0071225D"/>
    <w:rsid w:val="007123B3"/>
    <w:rsid w:val="00712438"/>
    <w:rsid w:val="00712476"/>
    <w:rsid w:val="0071251B"/>
    <w:rsid w:val="00712568"/>
    <w:rsid w:val="0071276F"/>
    <w:rsid w:val="00712879"/>
    <w:rsid w:val="00712957"/>
    <w:rsid w:val="00712A9A"/>
    <w:rsid w:val="00712AB2"/>
    <w:rsid w:val="00712AF0"/>
    <w:rsid w:val="00712DA7"/>
    <w:rsid w:val="00712E13"/>
    <w:rsid w:val="00713073"/>
    <w:rsid w:val="007130F0"/>
    <w:rsid w:val="00713132"/>
    <w:rsid w:val="00713172"/>
    <w:rsid w:val="0071326D"/>
    <w:rsid w:val="007133C1"/>
    <w:rsid w:val="0071381F"/>
    <w:rsid w:val="00713928"/>
    <w:rsid w:val="007139B5"/>
    <w:rsid w:val="00713A18"/>
    <w:rsid w:val="00713A54"/>
    <w:rsid w:val="00713A61"/>
    <w:rsid w:val="00713CDA"/>
    <w:rsid w:val="00713E19"/>
    <w:rsid w:val="00713E41"/>
    <w:rsid w:val="00713ED1"/>
    <w:rsid w:val="007140F4"/>
    <w:rsid w:val="00714177"/>
    <w:rsid w:val="007141B9"/>
    <w:rsid w:val="00714286"/>
    <w:rsid w:val="007142AA"/>
    <w:rsid w:val="00714345"/>
    <w:rsid w:val="0071438C"/>
    <w:rsid w:val="007143D2"/>
    <w:rsid w:val="007143D4"/>
    <w:rsid w:val="007145F6"/>
    <w:rsid w:val="0071460F"/>
    <w:rsid w:val="00714645"/>
    <w:rsid w:val="007147D3"/>
    <w:rsid w:val="0071492D"/>
    <w:rsid w:val="00714ABC"/>
    <w:rsid w:val="00715027"/>
    <w:rsid w:val="007150D5"/>
    <w:rsid w:val="00715100"/>
    <w:rsid w:val="00715191"/>
    <w:rsid w:val="007152A7"/>
    <w:rsid w:val="0071541F"/>
    <w:rsid w:val="007156CD"/>
    <w:rsid w:val="007157D0"/>
    <w:rsid w:val="00715803"/>
    <w:rsid w:val="00715835"/>
    <w:rsid w:val="00715AA2"/>
    <w:rsid w:val="00715BB3"/>
    <w:rsid w:val="00715E09"/>
    <w:rsid w:val="00715F4F"/>
    <w:rsid w:val="0071606A"/>
    <w:rsid w:val="007160BF"/>
    <w:rsid w:val="007160C6"/>
    <w:rsid w:val="007160D7"/>
    <w:rsid w:val="0071613C"/>
    <w:rsid w:val="00716197"/>
    <w:rsid w:val="007161BC"/>
    <w:rsid w:val="007161ED"/>
    <w:rsid w:val="00716205"/>
    <w:rsid w:val="0071636D"/>
    <w:rsid w:val="007163C0"/>
    <w:rsid w:val="0071641A"/>
    <w:rsid w:val="007164B0"/>
    <w:rsid w:val="007167A1"/>
    <w:rsid w:val="007168BE"/>
    <w:rsid w:val="007169A4"/>
    <w:rsid w:val="00716BFC"/>
    <w:rsid w:val="00716D50"/>
    <w:rsid w:val="00716E70"/>
    <w:rsid w:val="00717022"/>
    <w:rsid w:val="00717174"/>
    <w:rsid w:val="007172DB"/>
    <w:rsid w:val="007172DF"/>
    <w:rsid w:val="0071743B"/>
    <w:rsid w:val="007179D0"/>
    <w:rsid w:val="007179DD"/>
    <w:rsid w:val="00717AA2"/>
    <w:rsid w:val="00717BB4"/>
    <w:rsid w:val="00717D5D"/>
    <w:rsid w:val="00717F1D"/>
    <w:rsid w:val="00717FA3"/>
    <w:rsid w:val="0072005A"/>
    <w:rsid w:val="00720153"/>
    <w:rsid w:val="00720625"/>
    <w:rsid w:val="00720814"/>
    <w:rsid w:val="00720AA2"/>
    <w:rsid w:val="00720AFA"/>
    <w:rsid w:val="00720B37"/>
    <w:rsid w:val="00720C2D"/>
    <w:rsid w:val="00720C6A"/>
    <w:rsid w:val="00720D29"/>
    <w:rsid w:val="00720E17"/>
    <w:rsid w:val="00720E5A"/>
    <w:rsid w:val="00720EBF"/>
    <w:rsid w:val="00720FCB"/>
    <w:rsid w:val="00720FE6"/>
    <w:rsid w:val="0072108D"/>
    <w:rsid w:val="007214C6"/>
    <w:rsid w:val="007215BF"/>
    <w:rsid w:val="00721603"/>
    <w:rsid w:val="00721631"/>
    <w:rsid w:val="007218F1"/>
    <w:rsid w:val="00721927"/>
    <w:rsid w:val="0072198D"/>
    <w:rsid w:val="00721A2A"/>
    <w:rsid w:val="00721C70"/>
    <w:rsid w:val="00721CBB"/>
    <w:rsid w:val="00721F2E"/>
    <w:rsid w:val="00722004"/>
    <w:rsid w:val="007220F5"/>
    <w:rsid w:val="0072234F"/>
    <w:rsid w:val="00722403"/>
    <w:rsid w:val="0072245F"/>
    <w:rsid w:val="00722481"/>
    <w:rsid w:val="0072257F"/>
    <w:rsid w:val="00722608"/>
    <w:rsid w:val="00722708"/>
    <w:rsid w:val="007227E0"/>
    <w:rsid w:val="00722805"/>
    <w:rsid w:val="00722885"/>
    <w:rsid w:val="00722B4D"/>
    <w:rsid w:val="00722D48"/>
    <w:rsid w:val="00722DD9"/>
    <w:rsid w:val="00722EFD"/>
    <w:rsid w:val="00722F85"/>
    <w:rsid w:val="00723067"/>
    <w:rsid w:val="00723116"/>
    <w:rsid w:val="00723228"/>
    <w:rsid w:val="007232D1"/>
    <w:rsid w:val="0072333F"/>
    <w:rsid w:val="0072350E"/>
    <w:rsid w:val="007235FE"/>
    <w:rsid w:val="0072363D"/>
    <w:rsid w:val="007237D8"/>
    <w:rsid w:val="0072384F"/>
    <w:rsid w:val="0072389E"/>
    <w:rsid w:val="007239CF"/>
    <w:rsid w:val="007239DA"/>
    <w:rsid w:val="00723ABE"/>
    <w:rsid w:val="00723C23"/>
    <w:rsid w:val="00723C74"/>
    <w:rsid w:val="00723CC6"/>
    <w:rsid w:val="00723D45"/>
    <w:rsid w:val="00723D56"/>
    <w:rsid w:val="00723EFC"/>
    <w:rsid w:val="00724404"/>
    <w:rsid w:val="00724492"/>
    <w:rsid w:val="007244F3"/>
    <w:rsid w:val="0072463F"/>
    <w:rsid w:val="007246D8"/>
    <w:rsid w:val="007247F2"/>
    <w:rsid w:val="00724826"/>
    <w:rsid w:val="0072495F"/>
    <w:rsid w:val="00724BE0"/>
    <w:rsid w:val="00724E4D"/>
    <w:rsid w:val="00724EF6"/>
    <w:rsid w:val="00724F60"/>
    <w:rsid w:val="00725221"/>
    <w:rsid w:val="00725368"/>
    <w:rsid w:val="0072544E"/>
    <w:rsid w:val="00725519"/>
    <w:rsid w:val="007255B1"/>
    <w:rsid w:val="007256E5"/>
    <w:rsid w:val="0072580C"/>
    <w:rsid w:val="00725900"/>
    <w:rsid w:val="00725956"/>
    <w:rsid w:val="00725B04"/>
    <w:rsid w:val="00725B33"/>
    <w:rsid w:val="0072601E"/>
    <w:rsid w:val="007260D2"/>
    <w:rsid w:val="007260F6"/>
    <w:rsid w:val="0072610F"/>
    <w:rsid w:val="007261CC"/>
    <w:rsid w:val="007264EB"/>
    <w:rsid w:val="007265E8"/>
    <w:rsid w:val="0072679B"/>
    <w:rsid w:val="007267F8"/>
    <w:rsid w:val="00726917"/>
    <w:rsid w:val="00726AF6"/>
    <w:rsid w:val="00726C5B"/>
    <w:rsid w:val="00726CAA"/>
    <w:rsid w:val="00726D37"/>
    <w:rsid w:val="00726EF1"/>
    <w:rsid w:val="00726F17"/>
    <w:rsid w:val="00727002"/>
    <w:rsid w:val="007270A9"/>
    <w:rsid w:val="007271A8"/>
    <w:rsid w:val="007271CF"/>
    <w:rsid w:val="007271E0"/>
    <w:rsid w:val="0072724C"/>
    <w:rsid w:val="00727285"/>
    <w:rsid w:val="007273A9"/>
    <w:rsid w:val="007273E3"/>
    <w:rsid w:val="007274D4"/>
    <w:rsid w:val="007274FB"/>
    <w:rsid w:val="007277D9"/>
    <w:rsid w:val="007278D9"/>
    <w:rsid w:val="00727A46"/>
    <w:rsid w:val="00727AD0"/>
    <w:rsid w:val="00727B0B"/>
    <w:rsid w:val="00727B64"/>
    <w:rsid w:val="00727CA1"/>
    <w:rsid w:val="00727D55"/>
    <w:rsid w:val="00727E31"/>
    <w:rsid w:val="00727F35"/>
    <w:rsid w:val="007301E7"/>
    <w:rsid w:val="0073023E"/>
    <w:rsid w:val="0073039E"/>
    <w:rsid w:val="00730446"/>
    <w:rsid w:val="0073048A"/>
    <w:rsid w:val="0073049E"/>
    <w:rsid w:val="007306E8"/>
    <w:rsid w:val="0073073E"/>
    <w:rsid w:val="0073098A"/>
    <w:rsid w:val="00730AA3"/>
    <w:rsid w:val="00730B49"/>
    <w:rsid w:val="00730C06"/>
    <w:rsid w:val="00730C0E"/>
    <w:rsid w:val="00730CC2"/>
    <w:rsid w:val="00730D49"/>
    <w:rsid w:val="00730E1C"/>
    <w:rsid w:val="00730E5B"/>
    <w:rsid w:val="00730E73"/>
    <w:rsid w:val="00730F3A"/>
    <w:rsid w:val="00731099"/>
    <w:rsid w:val="007313BD"/>
    <w:rsid w:val="007313E0"/>
    <w:rsid w:val="00731444"/>
    <w:rsid w:val="007314D7"/>
    <w:rsid w:val="00731552"/>
    <w:rsid w:val="0073157F"/>
    <w:rsid w:val="007316BB"/>
    <w:rsid w:val="00731715"/>
    <w:rsid w:val="0073177E"/>
    <w:rsid w:val="007317C6"/>
    <w:rsid w:val="007318F6"/>
    <w:rsid w:val="00731B53"/>
    <w:rsid w:val="00731CE7"/>
    <w:rsid w:val="00731E42"/>
    <w:rsid w:val="00731EA5"/>
    <w:rsid w:val="00731FF6"/>
    <w:rsid w:val="0073239F"/>
    <w:rsid w:val="0073248B"/>
    <w:rsid w:val="007325D6"/>
    <w:rsid w:val="0073269E"/>
    <w:rsid w:val="007327DC"/>
    <w:rsid w:val="007328D4"/>
    <w:rsid w:val="0073292E"/>
    <w:rsid w:val="00732A2B"/>
    <w:rsid w:val="00732B22"/>
    <w:rsid w:val="00732B24"/>
    <w:rsid w:val="00732D9B"/>
    <w:rsid w:val="00732EA6"/>
    <w:rsid w:val="00732F73"/>
    <w:rsid w:val="00733123"/>
    <w:rsid w:val="00733160"/>
    <w:rsid w:val="00733162"/>
    <w:rsid w:val="007332B2"/>
    <w:rsid w:val="007332C3"/>
    <w:rsid w:val="00733350"/>
    <w:rsid w:val="0073365E"/>
    <w:rsid w:val="00733695"/>
    <w:rsid w:val="0073369D"/>
    <w:rsid w:val="00733B35"/>
    <w:rsid w:val="00733CEE"/>
    <w:rsid w:val="00733E50"/>
    <w:rsid w:val="00733EA6"/>
    <w:rsid w:val="00733EC1"/>
    <w:rsid w:val="0073405A"/>
    <w:rsid w:val="00734094"/>
    <w:rsid w:val="0073417B"/>
    <w:rsid w:val="007341C0"/>
    <w:rsid w:val="00734213"/>
    <w:rsid w:val="00734337"/>
    <w:rsid w:val="007343B9"/>
    <w:rsid w:val="007343C9"/>
    <w:rsid w:val="00734439"/>
    <w:rsid w:val="007345BF"/>
    <w:rsid w:val="007345CE"/>
    <w:rsid w:val="00734776"/>
    <w:rsid w:val="007347C8"/>
    <w:rsid w:val="007347F2"/>
    <w:rsid w:val="0073486D"/>
    <w:rsid w:val="00734987"/>
    <w:rsid w:val="00734A71"/>
    <w:rsid w:val="00734ABD"/>
    <w:rsid w:val="00734C6E"/>
    <w:rsid w:val="00734D13"/>
    <w:rsid w:val="00734D89"/>
    <w:rsid w:val="00734E01"/>
    <w:rsid w:val="00734E16"/>
    <w:rsid w:val="0073501D"/>
    <w:rsid w:val="007353E8"/>
    <w:rsid w:val="00735721"/>
    <w:rsid w:val="00735796"/>
    <w:rsid w:val="00735832"/>
    <w:rsid w:val="00735883"/>
    <w:rsid w:val="007358DD"/>
    <w:rsid w:val="00735912"/>
    <w:rsid w:val="00735966"/>
    <w:rsid w:val="00735983"/>
    <w:rsid w:val="00735AF2"/>
    <w:rsid w:val="00735BE9"/>
    <w:rsid w:val="00735D52"/>
    <w:rsid w:val="00735D79"/>
    <w:rsid w:val="00735E2A"/>
    <w:rsid w:val="00735E30"/>
    <w:rsid w:val="00735E4A"/>
    <w:rsid w:val="00735F41"/>
    <w:rsid w:val="00735F76"/>
    <w:rsid w:val="00735FD1"/>
    <w:rsid w:val="0073608D"/>
    <w:rsid w:val="007361C8"/>
    <w:rsid w:val="0073629C"/>
    <w:rsid w:val="0073688F"/>
    <w:rsid w:val="00736934"/>
    <w:rsid w:val="00736C03"/>
    <w:rsid w:val="00736E73"/>
    <w:rsid w:val="00736EC8"/>
    <w:rsid w:val="00736EFC"/>
    <w:rsid w:val="00736F46"/>
    <w:rsid w:val="00736F91"/>
    <w:rsid w:val="0073701A"/>
    <w:rsid w:val="0073721B"/>
    <w:rsid w:val="0073725A"/>
    <w:rsid w:val="00737281"/>
    <w:rsid w:val="0073730E"/>
    <w:rsid w:val="0073732E"/>
    <w:rsid w:val="007373C8"/>
    <w:rsid w:val="00737548"/>
    <w:rsid w:val="0073767F"/>
    <w:rsid w:val="00737728"/>
    <w:rsid w:val="0073783A"/>
    <w:rsid w:val="0073793E"/>
    <w:rsid w:val="00737993"/>
    <w:rsid w:val="00737C0E"/>
    <w:rsid w:val="00737D2D"/>
    <w:rsid w:val="00737DDE"/>
    <w:rsid w:val="00737EC9"/>
    <w:rsid w:val="00740169"/>
    <w:rsid w:val="00740224"/>
    <w:rsid w:val="007403BD"/>
    <w:rsid w:val="007404EC"/>
    <w:rsid w:val="007404F4"/>
    <w:rsid w:val="00740683"/>
    <w:rsid w:val="00740907"/>
    <w:rsid w:val="00740A7E"/>
    <w:rsid w:val="00740C6C"/>
    <w:rsid w:val="00740C93"/>
    <w:rsid w:val="00740D42"/>
    <w:rsid w:val="00740E5B"/>
    <w:rsid w:val="00740EC4"/>
    <w:rsid w:val="00741085"/>
    <w:rsid w:val="007410DC"/>
    <w:rsid w:val="00741172"/>
    <w:rsid w:val="007412D8"/>
    <w:rsid w:val="007413A6"/>
    <w:rsid w:val="007413E0"/>
    <w:rsid w:val="00741406"/>
    <w:rsid w:val="007414BE"/>
    <w:rsid w:val="00741760"/>
    <w:rsid w:val="00741779"/>
    <w:rsid w:val="0074178F"/>
    <w:rsid w:val="00741931"/>
    <w:rsid w:val="00741988"/>
    <w:rsid w:val="00741A6B"/>
    <w:rsid w:val="00741C87"/>
    <w:rsid w:val="00741E52"/>
    <w:rsid w:val="00741E61"/>
    <w:rsid w:val="00741F68"/>
    <w:rsid w:val="00741F99"/>
    <w:rsid w:val="007420F5"/>
    <w:rsid w:val="0074222A"/>
    <w:rsid w:val="00742292"/>
    <w:rsid w:val="007422EE"/>
    <w:rsid w:val="00742335"/>
    <w:rsid w:val="007425E1"/>
    <w:rsid w:val="00742661"/>
    <w:rsid w:val="00742673"/>
    <w:rsid w:val="00742A77"/>
    <w:rsid w:val="00742ECE"/>
    <w:rsid w:val="00742FB6"/>
    <w:rsid w:val="0074305C"/>
    <w:rsid w:val="0074322F"/>
    <w:rsid w:val="007434AA"/>
    <w:rsid w:val="00743552"/>
    <w:rsid w:val="0074355F"/>
    <w:rsid w:val="0074368F"/>
    <w:rsid w:val="0074370F"/>
    <w:rsid w:val="007437DE"/>
    <w:rsid w:val="00743845"/>
    <w:rsid w:val="00743897"/>
    <w:rsid w:val="0074389C"/>
    <w:rsid w:val="007438A6"/>
    <w:rsid w:val="00743905"/>
    <w:rsid w:val="00743C78"/>
    <w:rsid w:val="007441D7"/>
    <w:rsid w:val="00744227"/>
    <w:rsid w:val="007445D1"/>
    <w:rsid w:val="0074463E"/>
    <w:rsid w:val="0074478C"/>
    <w:rsid w:val="007447A3"/>
    <w:rsid w:val="007447A4"/>
    <w:rsid w:val="007448B7"/>
    <w:rsid w:val="007448DE"/>
    <w:rsid w:val="00744AC2"/>
    <w:rsid w:val="00744BCF"/>
    <w:rsid w:val="00744C6C"/>
    <w:rsid w:val="00744D28"/>
    <w:rsid w:val="00744D5B"/>
    <w:rsid w:val="00744D77"/>
    <w:rsid w:val="00744DD6"/>
    <w:rsid w:val="00745029"/>
    <w:rsid w:val="007450B8"/>
    <w:rsid w:val="007451E9"/>
    <w:rsid w:val="00745252"/>
    <w:rsid w:val="00745378"/>
    <w:rsid w:val="00745490"/>
    <w:rsid w:val="00745544"/>
    <w:rsid w:val="00745573"/>
    <w:rsid w:val="007456BE"/>
    <w:rsid w:val="00745793"/>
    <w:rsid w:val="007457D2"/>
    <w:rsid w:val="0074591C"/>
    <w:rsid w:val="0074594F"/>
    <w:rsid w:val="0074596E"/>
    <w:rsid w:val="00745C76"/>
    <w:rsid w:val="00745CFB"/>
    <w:rsid w:val="00745EBA"/>
    <w:rsid w:val="00745F91"/>
    <w:rsid w:val="007462A8"/>
    <w:rsid w:val="007465B0"/>
    <w:rsid w:val="007465C9"/>
    <w:rsid w:val="007467EC"/>
    <w:rsid w:val="007467FF"/>
    <w:rsid w:val="007468CD"/>
    <w:rsid w:val="00746A00"/>
    <w:rsid w:val="00746A65"/>
    <w:rsid w:val="00746B9C"/>
    <w:rsid w:val="00746BFE"/>
    <w:rsid w:val="00746C01"/>
    <w:rsid w:val="00746C09"/>
    <w:rsid w:val="00746C5D"/>
    <w:rsid w:val="00746C82"/>
    <w:rsid w:val="00746DA6"/>
    <w:rsid w:val="00746F11"/>
    <w:rsid w:val="00746F9A"/>
    <w:rsid w:val="007471E4"/>
    <w:rsid w:val="007472FF"/>
    <w:rsid w:val="007474BC"/>
    <w:rsid w:val="0074753D"/>
    <w:rsid w:val="0074756F"/>
    <w:rsid w:val="007475FD"/>
    <w:rsid w:val="00747622"/>
    <w:rsid w:val="007476A1"/>
    <w:rsid w:val="007476C3"/>
    <w:rsid w:val="007477ED"/>
    <w:rsid w:val="007478DA"/>
    <w:rsid w:val="00747995"/>
    <w:rsid w:val="007479DF"/>
    <w:rsid w:val="00747B64"/>
    <w:rsid w:val="00747C22"/>
    <w:rsid w:val="00747E2C"/>
    <w:rsid w:val="007501BD"/>
    <w:rsid w:val="0075020E"/>
    <w:rsid w:val="0075021D"/>
    <w:rsid w:val="007502C3"/>
    <w:rsid w:val="007504B2"/>
    <w:rsid w:val="007504E1"/>
    <w:rsid w:val="00750750"/>
    <w:rsid w:val="007507BF"/>
    <w:rsid w:val="007509F6"/>
    <w:rsid w:val="00750BBA"/>
    <w:rsid w:val="00750FB1"/>
    <w:rsid w:val="00751011"/>
    <w:rsid w:val="00751302"/>
    <w:rsid w:val="007513E2"/>
    <w:rsid w:val="00751406"/>
    <w:rsid w:val="00751451"/>
    <w:rsid w:val="007515BA"/>
    <w:rsid w:val="007516D8"/>
    <w:rsid w:val="00751813"/>
    <w:rsid w:val="00751B62"/>
    <w:rsid w:val="00751F4F"/>
    <w:rsid w:val="007522C0"/>
    <w:rsid w:val="00752629"/>
    <w:rsid w:val="0075273D"/>
    <w:rsid w:val="00752AD9"/>
    <w:rsid w:val="00752C16"/>
    <w:rsid w:val="00752CDD"/>
    <w:rsid w:val="00752CEC"/>
    <w:rsid w:val="00753069"/>
    <w:rsid w:val="007531A2"/>
    <w:rsid w:val="00753419"/>
    <w:rsid w:val="007534F0"/>
    <w:rsid w:val="007536C4"/>
    <w:rsid w:val="007536FD"/>
    <w:rsid w:val="00753807"/>
    <w:rsid w:val="00753899"/>
    <w:rsid w:val="00753993"/>
    <w:rsid w:val="007539BC"/>
    <w:rsid w:val="00753B67"/>
    <w:rsid w:val="00753B93"/>
    <w:rsid w:val="00753C1E"/>
    <w:rsid w:val="00753E50"/>
    <w:rsid w:val="00753E92"/>
    <w:rsid w:val="00753FA3"/>
    <w:rsid w:val="007541C3"/>
    <w:rsid w:val="00754445"/>
    <w:rsid w:val="00754548"/>
    <w:rsid w:val="007545A3"/>
    <w:rsid w:val="007545E6"/>
    <w:rsid w:val="00754638"/>
    <w:rsid w:val="007546BC"/>
    <w:rsid w:val="007547B8"/>
    <w:rsid w:val="007547EF"/>
    <w:rsid w:val="00754866"/>
    <w:rsid w:val="007548A7"/>
    <w:rsid w:val="007548BD"/>
    <w:rsid w:val="007548FC"/>
    <w:rsid w:val="00754CC2"/>
    <w:rsid w:val="00755076"/>
    <w:rsid w:val="007551AC"/>
    <w:rsid w:val="007551FD"/>
    <w:rsid w:val="00755277"/>
    <w:rsid w:val="007553AA"/>
    <w:rsid w:val="00755461"/>
    <w:rsid w:val="007555A2"/>
    <w:rsid w:val="007555EA"/>
    <w:rsid w:val="0075563B"/>
    <w:rsid w:val="007557A4"/>
    <w:rsid w:val="0075597A"/>
    <w:rsid w:val="00755CA6"/>
    <w:rsid w:val="00755CFC"/>
    <w:rsid w:val="00755D2F"/>
    <w:rsid w:val="00755D3B"/>
    <w:rsid w:val="00755D52"/>
    <w:rsid w:val="00755D76"/>
    <w:rsid w:val="00755E06"/>
    <w:rsid w:val="00755E28"/>
    <w:rsid w:val="00755EBE"/>
    <w:rsid w:val="00755F9E"/>
    <w:rsid w:val="00755FB2"/>
    <w:rsid w:val="00756064"/>
    <w:rsid w:val="00756106"/>
    <w:rsid w:val="00756356"/>
    <w:rsid w:val="007564E0"/>
    <w:rsid w:val="00756550"/>
    <w:rsid w:val="0075658C"/>
    <w:rsid w:val="0075660E"/>
    <w:rsid w:val="007566F3"/>
    <w:rsid w:val="007567E8"/>
    <w:rsid w:val="00756960"/>
    <w:rsid w:val="007569EC"/>
    <w:rsid w:val="00756AA1"/>
    <w:rsid w:val="00756BA8"/>
    <w:rsid w:val="00756BD3"/>
    <w:rsid w:val="00756CB2"/>
    <w:rsid w:val="00756DE5"/>
    <w:rsid w:val="00756E22"/>
    <w:rsid w:val="00756FD4"/>
    <w:rsid w:val="0075702B"/>
    <w:rsid w:val="00757153"/>
    <w:rsid w:val="00757379"/>
    <w:rsid w:val="007573A0"/>
    <w:rsid w:val="007574A2"/>
    <w:rsid w:val="00757501"/>
    <w:rsid w:val="00757596"/>
    <w:rsid w:val="0075766F"/>
    <w:rsid w:val="00757785"/>
    <w:rsid w:val="0075782E"/>
    <w:rsid w:val="00757897"/>
    <w:rsid w:val="00757910"/>
    <w:rsid w:val="0075799C"/>
    <w:rsid w:val="00757B27"/>
    <w:rsid w:val="00757D12"/>
    <w:rsid w:val="00757F79"/>
    <w:rsid w:val="0076007B"/>
    <w:rsid w:val="007601ED"/>
    <w:rsid w:val="00760372"/>
    <w:rsid w:val="0076047B"/>
    <w:rsid w:val="007604AE"/>
    <w:rsid w:val="00760501"/>
    <w:rsid w:val="00760542"/>
    <w:rsid w:val="00760577"/>
    <w:rsid w:val="00760629"/>
    <w:rsid w:val="00760684"/>
    <w:rsid w:val="0076098A"/>
    <w:rsid w:val="00760A6B"/>
    <w:rsid w:val="00760CE6"/>
    <w:rsid w:val="00760D6A"/>
    <w:rsid w:val="00760E0A"/>
    <w:rsid w:val="00760E88"/>
    <w:rsid w:val="007610AC"/>
    <w:rsid w:val="007611FD"/>
    <w:rsid w:val="00761284"/>
    <w:rsid w:val="00761369"/>
    <w:rsid w:val="007615FF"/>
    <w:rsid w:val="007617CC"/>
    <w:rsid w:val="00761847"/>
    <w:rsid w:val="007618EE"/>
    <w:rsid w:val="00761A65"/>
    <w:rsid w:val="00761B11"/>
    <w:rsid w:val="00761B57"/>
    <w:rsid w:val="00761C2E"/>
    <w:rsid w:val="00761E37"/>
    <w:rsid w:val="007621F1"/>
    <w:rsid w:val="007623A1"/>
    <w:rsid w:val="007626B3"/>
    <w:rsid w:val="007627D2"/>
    <w:rsid w:val="00762805"/>
    <w:rsid w:val="007628C1"/>
    <w:rsid w:val="007628DC"/>
    <w:rsid w:val="00762A3D"/>
    <w:rsid w:val="00762AD9"/>
    <w:rsid w:val="00762B8D"/>
    <w:rsid w:val="00762EC3"/>
    <w:rsid w:val="00762F2B"/>
    <w:rsid w:val="00762FC8"/>
    <w:rsid w:val="0076303D"/>
    <w:rsid w:val="007630C5"/>
    <w:rsid w:val="00763166"/>
    <w:rsid w:val="00763218"/>
    <w:rsid w:val="007632C8"/>
    <w:rsid w:val="007633A0"/>
    <w:rsid w:val="0076344E"/>
    <w:rsid w:val="00763617"/>
    <w:rsid w:val="007636D3"/>
    <w:rsid w:val="00763774"/>
    <w:rsid w:val="00763839"/>
    <w:rsid w:val="00763845"/>
    <w:rsid w:val="00763873"/>
    <w:rsid w:val="00763918"/>
    <w:rsid w:val="0076394A"/>
    <w:rsid w:val="007639B0"/>
    <w:rsid w:val="00763A1B"/>
    <w:rsid w:val="00763AA9"/>
    <w:rsid w:val="00763B0D"/>
    <w:rsid w:val="00763BA9"/>
    <w:rsid w:val="00763D7F"/>
    <w:rsid w:val="00763F2E"/>
    <w:rsid w:val="0076404E"/>
    <w:rsid w:val="00764738"/>
    <w:rsid w:val="007647AC"/>
    <w:rsid w:val="007648EC"/>
    <w:rsid w:val="00764A6C"/>
    <w:rsid w:val="00764A75"/>
    <w:rsid w:val="00764ADB"/>
    <w:rsid w:val="00764B19"/>
    <w:rsid w:val="00764C35"/>
    <w:rsid w:val="007650B7"/>
    <w:rsid w:val="0076518F"/>
    <w:rsid w:val="00765191"/>
    <w:rsid w:val="007651B3"/>
    <w:rsid w:val="007651DC"/>
    <w:rsid w:val="007653A7"/>
    <w:rsid w:val="007653CB"/>
    <w:rsid w:val="00765570"/>
    <w:rsid w:val="00765686"/>
    <w:rsid w:val="00765911"/>
    <w:rsid w:val="007659D9"/>
    <w:rsid w:val="00765AE3"/>
    <w:rsid w:val="00765C18"/>
    <w:rsid w:val="00765C93"/>
    <w:rsid w:val="00766152"/>
    <w:rsid w:val="00766168"/>
    <w:rsid w:val="0076616B"/>
    <w:rsid w:val="007661FE"/>
    <w:rsid w:val="00766308"/>
    <w:rsid w:val="0076637E"/>
    <w:rsid w:val="0076648D"/>
    <w:rsid w:val="0076667D"/>
    <w:rsid w:val="00766681"/>
    <w:rsid w:val="007668CF"/>
    <w:rsid w:val="00766B16"/>
    <w:rsid w:val="00766B69"/>
    <w:rsid w:val="00766CA6"/>
    <w:rsid w:val="00766D55"/>
    <w:rsid w:val="00766DC8"/>
    <w:rsid w:val="00766EBB"/>
    <w:rsid w:val="00766F0E"/>
    <w:rsid w:val="00766FB2"/>
    <w:rsid w:val="0076700F"/>
    <w:rsid w:val="00767051"/>
    <w:rsid w:val="0076719A"/>
    <w:rsid w:val="007671DB"/>
    <w:rsid w:val="00767221"/>
    <w:rsid w:val="0076743D"/>
    <w:rsid w:val="00767459"/>
    <w:rsid w:val="007675BB"/>
    <w:rsid w:val="00767839"/>
    <w:rsid w:val="0076796D"/>
    <w:rsid w:val="007679A3"/>
    <w:rsid w:val="00767A87"/>
    <w:rsid w:val="00767B22"/>
    <w:rsid w:val="00767B3C"/>
    <w:rsid w:val="00767B89"/>
    <w:rsid w:val="00767D61"/>
    <w:rsid w:val="00767E49"/>
    <w:rsid w:val="0077004E"/>
    <w:rsid w:val="0077018D"/>
    <w:rsid w:val="00770385"/>
    <w:rsid w:val="0077087B"/>
    <w:rsid w:val="007709C0"/>
    <w:rsid w:val="00770D2A"/>
    <w:rsid w:val="00770E44"/>
    <w:rsid w:val="00770F33"/>
    <w:rsid w:val="00770FA2"/>
    <w:rsid w:val="00771074"/>
    <w:rsid w:val="007710FD"/>
    <w:rsid w:val="00771288"/>
    <w:rsid w:val="007712D7"/>
    <w:rsid w:val="00771446"/>
    <w:rsid w:val="007714D4"/>
    <w:rsid w:val="00771511"/>
    <w:rsid w:val="0077151E"/>
    <w:rsid w:val="0077157B"/>
    <w:rsid w:val="0077162C"/>
    <w:rsid w:val="00771813"/>
    <w:rsid w:val="00771930"/>
    <w:rsid w:val="00771C93"/>
    <w:rsid w:val="00771D53"/>
    <w:rsid w:val="00771D71"/>
    <w:rsid w:val="00771D90"/>
    <w:rsid w:val="00771E07"/>
    <w:rsid w:val="00771E6E"/>
    <w:rsid w:val="00771E79"/>
    <w:rsid w:val="0077217E"/>
    <w:rsid w:val="00772194"/>
    <w:rsid w:val="007722B3"/>
    <w:rsid w:val="007722B6"/>
    <w:rsid w:val="007722D8"/>
    <w:rsid w:val="007723D6"/>
    <w:rsid w:val="00772801"/>
    <w:rsid w:val="00772802"/>
    <w:rsid w:val="00772899"/>
    <w:rsid w:val="00772A71"/>
    <w:rsid w:val="00772E36"/>
    <w:rsid w:val="007730D6"/>
    <w:rsid w:val="007732AA"/>
    <w:rsid w:val="00773571"/>
    <w:rsid w:val="0077361A"/>
    <w:rsid w:val="00773799"/>
    <w:rsid w:val="007737AD"/>
    <w:rsid w:val="00773921"/>
    <w:rsid w:val="00773B33"/>
    <w:rsid w:val="00773CE2"/>
    <w:rsid w:val="00774265"/>
    <w:rsid w:val="0077426B"/>
    <w:rsid w:val="007743F5"/>
    <w:rsid w:val="00774440"/>
    <w:rsid w:val="007744D7"/>
    <w:rsid w:val="00774A92"/>
    <w:rsid w:val="00774B3B"/>
    <w:rsid w:val="00774C7C"/>
    <w:rsid w:val="00774CF5"/>
    <w:rsid w:val="00774F07"/>
    <w:rsid w:val="0077504E"/>
    <w:rsid w:val="00775131"/>
    <w:rsid w:val="00775413"/>
    <w:rsid w:val="0077548A"/>
    <w:rsid w:val="00775569"/>
    <w:rsid w:val="00775622"/>
    <w:rsid w:val="00775650"/>
    <w:rsid w:val="007757D4"/>
    <w:rsid w:val="007757DD"/>
    <w:rsid w:val="007757EC"/>
    <w:rsid w:val="00775CAD"/>
    <w:rsid w:val="00775D80"/>
    <w:rsid w:val="00775DB3"/>
    <w:rsid w:val="00775E17"/>
    <w:rsid w:val="00775F62"/>
    <w:rsid w:val="0077603F"/>
    <w:rsid w:val="007760D5"/>
    <w:rsid w:val="007760F2"/>
    <w:rsid w:val="007760F8"/>
    <w:rsid w:val="0077623E"/>
    <w:rsid w:val="007762D0"/>
    <w:rsid w:val="0077630D"/>
    <w:rsid w:val="00776479"/>
    <w:rsid w:val="00776618"/>
    <w:rsid w:val="0077671B"/>
    <w:rsid w:val="0077696D"/>
    <w:rsid w:val="007769B3"/>
    <w:rsid w:val="007769E8"/>
    <w:rsid w:val="007769FC"/>
    <w:rsid w:val="00776A9C"/>
    <w:rsid w:val="00776F02"/>
    <w:rsid w:val="00776F5A"/>
    <w:rsid w:val="007771A7"/>
    <w:rsid w:val="00777319"/>
    <w:rsid w:val="007773CC"/>
    <w:rsid w:val="00777500"/>
    <w:rsid w:val="0077765C"/>
    <w:rsid w:val="007776A5"/>
    <w:rsid w:val="007776E1"/>
    <w:rsid w:val="007777C2"/>
    <w:rsid w:val="0077796F"/>
    <w:rsid w:val="00777A2B"/>
    <w:rsid w:val="00777BED"/>
    <w:rsid w:val="00777C57"/>
    <w:rsid w:val="00777E6F"/>
    <w:rsid w:val="00777E9C"/>
    <w:rsid w:val="00777EBE"/>
    <w:rsid w:val="00777F9A"/>
    <w:rsid w:val="00780005"/>
    <w:rsid w:val="00780421"/>
    <w:rsid w:val="0078059C"/>
    <w:rsid w:val="007805F5"/>
    <w:rsid w:val="00780904"/>
    <w:rsid w:val="00780987"/>
    <w:rsid w:val="00780C3B"/>
    <w:rsid w:val="00780C5C"/>
    <w:rsid w:val="00780D55"/>
    <w:rsid w:val="00780DBD"/>
    <w:rsid w:val="00780E6A"/>
    <w:rsid w:val="007810CA"/>
    <w:rsid w:val="007810F7"/>
    <w:rsid w:val="00781129"/>
    <w:rsid w:val="007811B6"/>
    <w:rsid w:val="007811BD"/>
    <w:rsid w:val="00781353"/>
    <w:rsid w:val="00781523"/>
    <w:rsid w:val="007817C7"/>
    <w:rsid w:val="0078183C"/>
    <w:rsid w:val="007818F6"/>
    <w:rsid w:val="0078197C"/>
    <w:rsid w:val="00781B0F"/>
    <w:rsid w:val="00781BBF"/>
    <w:rsid w:val="00781CE2"/>
    <w:rsid w:val="00781D10"/>
    <w:rsid w:val="00781DDE"/>
    <w:rsid w:val="00781ED9"/>
    <w:rsid w:val="00782073"/>
    <w:rsid w:val="00782120"/>
    <w:rsid w:val="007822F5"/>
    <w:rsid w:val="0078236A"/>
    <w:rsid w:val="007823AB"/>
    <w:rsid w:val="007827E5"/>
    <w:rsid w:val="0078290C"/>
    <w:rsid w:val="0078296F"/>
    <w:rsid w:val="007829F9"/>
    <w:rsid w:val="00782E37"/>
    <w:rsid w:val="00782ECB"/>
    <w:rsid w:val="00783027"/>
    <w:rsid w:val="007830FB"/>
    <w:rsid w:val="0078315A"/>
    <w:rsid w:val="0078319D"/>
    <w:rsid w:val="007831F4"/>
    <w:rsid w:val="0078326D"/>
    <w:rsid w:val="0078333C"/>
    <w:rsid w:val="00783388"/>
    <w:rsid w:val="007834E2"/>
    <w:rsid w:val="0078355F"/>
    <w:rsid w:val="00783583"/>
    <w:rsid w:val="007835DF"/>
    <w:rsid w:val="007836B5"/>
    <w:rsid w:val="007836F6"/>
    <w:rsid w:val="00783826"/>
    <w:rsid w:val="00783862"/>
    <w:rsid w:val="00783A66"/>
    <w:rsid w:val="00783A9A"/>
    <w:rsid w:val="00783BA4"/>
    <w:rsid w:val="00783C0D"/>
    <w:rsid w:val="00783C34"/>
    <w:rsid w:val="00783CCB"/>
    <w:rsid w:val="00783ED5"/>
    <w:rsid w:val="00783FAD"/>
    <w:rsid w:val="00783FC6"/>
    <w:rsid w:val="0078405C"/>
    <w:rsid w:val="0078429E"/>
    <w:rsid w:val="007842CA"/>
    <w:rsid w:val="00784428"/>
    <w:rsid w:val="00784670"/>
    <w:rsid w:val="00784755"/>
    <w:rsid w:val="00784BCE"/>
    <w:rsid w:val="00784C7D"/>
    <w:rsid w:val="00784D9F"/>
    <w:rsid w:val="00784E24"/>
    <w:rsid w:val="00784EB9"/>
    <w:rsid w:val="00784EE1"/>
    <w:rsid w:val="00784EEB"/>
    <w:rsid w:val="00784FD4"/>
    <w:rsid w:val="0078530E"/>
    <w:rsid w:val="007854A3"/>
    <w:rsid w:val="007854B4"/>
    <w:rsid w:val="007855FC"/>
    <w:rsid w:val="00785836"/>
    <w:rsid w:val="00785C47"/>
    <w:rsid w:val="00785D79"/>
    <w:rsid w:val="00785D99"/>
    <w:rsid w:val="00785E10"/>
    <w:rsid w:val="00785FD4"/>
    <w:rsid w:val="00786379"/>
    <w:rsid w:val="00786438"/>
    <w:rsid w:val="007867F4"/>
    <w:rsid w:val="00786839"/>
    <w:rsid w:val="00786843"/>
    <w:rsid w:val="00786883"/>
    <w:rsid w:val="00786944"/>
    <w:rsid w:val="00786C48"/>
    <w:rsid w:val="00786D61"/>
    <w:rsid w:val="00786F88"/>
    <w:rsid w:val="00787203"/>
    <w:rsid w:val="0078725B"/>
    <w:rsid w:val="00787343"/>
    <w:rsid w:val="00787405"/>
    <w:rsid w:val="00787422"/>
    <w:rsid w:val="007874AF"/>
    <w:rsid w:val="00787541"/>
    <w:rsid w:val="0078758F"/>
    <w:rsid w:val="007876C2"/>
    <w:rsid w:val="0078790D"/>
    <w:rsid w:val="00787914"/>
    <w:rsid w:val="007879D4"/>
    <w:rsid w:val="007879F1"/>
    <w:rsid w:val="00787A10"/>
    <w:rsid w:val="00787B91"/>
    <w:rsid w:val="00787C29"/>
    <w:rsid w:val="00787CA6"/>
    <w:rsid w:val="00787DAB"/>
    <w:rsid w:val="00787E40"/>
    <w:rsid w:val="00787ED1"/>
    <w:rsid w:val="00787F1C"/>
    <w:rsid w:val="00787F8A"/>
    <w:rsid w:val="00787F8B"/>
    <w:rsid w:val="0079004A"/>
    <w:rsid w:val="007900FF"/>
    <w:rsid w:val="00790124"/>
    <w:rsid w:val="00790132"/>
    <w:rsid w:val="00790169"/>
    <w:rsid w:val="0079038A"/>
    <w:rsid w:val="00790771"/>
    <w:rsid w:val="00790817"/>
    <w:rsid w:val="0079097C"/>
    <w:rsid w:val="00790BFA"/>
    <w:rsid w:val="00790D7F"/>
    <w:rsid w:val="00790EBF"/>
    <w:rsid w:val="00790FEA"/>
    <w:rsid w:val="0079110E"/>
    <w:rsid w:val="00791245"/>
    <w:rsid w:val="007913AB"/>
    <w:rsid w:val="007914DE"/>
    <w:rsid w:val="00791742"/>
    <w:rsid w:val="00791791"/>
    <w:rsid w:val="00791836"/>
    <w:rsid w:val="007918BC"/>
    <w:rsid w:val="007919AE"/>
    <w:rsid w:val="00791BF2"/>
    <w:rsid w:val="00791C50"/>
    <w:rsid w:val="00791D8E"/>
    <w:rsid w:val="00791DC5"/>
    <w:rsid w:val="00791F0E"/>
    <w:rsid w:val="00791FBD"/>
    <w:rsid w:val="00791FD1"/>
    <w:rsid w:val="00791FED"/>
    <w:rsid w:val="00792126"/>
    <w:rsid w:val="00792204"/>
    <w:rsid w:val="00792215"/>
    <w:rsid w:val="0079234F"/>
    <w:rsid w:val="00792372"/>
    <w:rsid w:val="00792456"/>
    <w:rsid w:val="007924A1"/>
    <w:rsid w:val="00792523"/>
    <w:rsid w:val="007925CA"/>
    <w:rsid w:val="007926D4"/>
    <w:rsid w:val="007928FE"/>
    <w:rsid w:val="007929A5"/>
    <w:rsid w:val="007929CF"/>
    <w:rsid w:val="00792D17"/>
    <w:rsid w:val="00792E8E"/>
    <w:rsid w:val="00792EEE"/>
    <w:rsid w:val="00792FA4"/>
    <w:rsid w:val="00793227"/>
    <w:rsid w:val="00793251"/>
    <w:rsid w:val="00793396"/>
    <w:rsid w:val="0079346C"/>
    <w:rsid w:val="007934C9"/>
    <w:rsid w:val="0079359D"/>
    <w:rsid w:val="00793655"/>
    <w:rsid w:val="0079375C"/>
    <w:rsid w:val="00793766"/>
    <w:rsid w:val="00793786"/>
    <w:rsid w:val="0079386F"/>
    <w:rsid w:val="00793A11"/>
    <w:rsid w:val="0079412B"/>
    <w:rsid w:val="00794147"/>
    <w:rsid w:val="0079415D"/>
    <w:rsid w:val="0079426E"/>
    <w:rsid w:val="00794360"/>
    <w:rsid w:val="00794398"/>
    <w:rsid w:val="00794476"/>
    <w:rsid w:val="00794575"/>
    <w:rsid w:val="007945BC"/>
    <w:rsid w:val="00794626"/>
    <w:rsid w:val="007947B4"/>
    <w:rsid w:val="007947FB"/>
    <w:rsid w:val="0079493E"/>
    <w:rsid w:val="00794A7F"/>
    <w:rsid w:val="00794A9D"/>
    <w:rsid w:val="00794C46"/>
    <w:rsid w:val="00794C5D"/>
    <w:rsid w:val="00794CA9"/>
    <w:rsid w:val="00794E6A"/>
    <w:rsid w:val="00794F04"/>
    <w:rsid w:val="0079511D"/>
    <w:rsid w:val="00795610"/>
    <w:rsid w:val="00795743"/>
    <w:rsid w:val="00795828"/>
    <w:rsid w:val="00795ADB"/>
    <w:rsid w:val="00795BE7"/>
    <w:rsid w:val="00795DB5"/>
    <w:rsid w:val="00795EA7"/>
    <w:rsid w:val="00796061"/>
    <w:rsid w:val="007962C8"/>
    <w:rsid w:val="00796349"/>
    <w:rsid w:val="0079642D"/>
    <w:rsid w:val="00796462"/>
    <w:rsid w:val="0079650C"/>
    <w:rsid w:val="0079668C"/>
    <w:rsid w:val="007967EB"/>
    <w:rsid w:val="007968CA"/>
    <w:rsid w:val="00796901"/>
    <w:rsid w:val="00796A5E"/>
    <w:rsid w:val="00796C8A"/>
    <w:rsid w:val="00796D4B"/>
    <w:rsid w:val="00796DF1"/>
    <w:rsid w:val="00796E7A"/>
    <w:rsid w:val="00796F40"/>
    <w:rsid w:val="00796F79"/>
    <w:rsid w:val="00797281"/>
    <w:rsid w:val="0079762C"/>
    <w:rsid w:val="0079777B"/>
    <w:rsid w:val="007978C4"/>
    <w:rsid w:val="007978D4"/>
    <w:rsid w:val="007979E3"/>
    <w:rsid w:val="00797A5B"/>
    <w:rsid w:val="00797ACC"/>
    <w:rsid w:val="00797B61"/>
    <w:rsid w:val="00797C46"/>
    <w:rsid w:val="00797C78"/>
    <w:rsid w:val="007A014F"/>
    <w:rsid w:val="007A038F"/>
    <w:rsid w:val="007A05AE"/>
    <w:rsid w:val="007A06CF"/>
    <w:rsid w:val="007A0872"/>
    <w:rsid w:val="007A0B5B"/>
    <w:rsid w:val="007A0BA8"/>
    <w:rsid w:val="007A0C5A"/>
    <w:rsid w:val="007A0EB6"/>
    <w:rsid w:val="007A0F2D"/>
    <w:rsid w:val="007A0F91"/>
    <w:rsid w:val="007A113A"/>
    <w:rsid w:val="007A1147"/>
    <w:rsid w:val="007A11CA"/>
    <w:rsid w:val="007A12F6"/>
    <w:rsid w:val="007A1390"/>
    <w:rsid w:val="007A1476"/>
    <w:rsid w:val="007A15BE"/>
    <w:rsid w:val="007A15C9"/>
    <w:rsid w:val="007A168E"/>
    <w:rsid w:val="007A16A9"/>
    <w:rsid w:val="007A18AA"/>
    <w:rsid w:val="007A192F"/>
    <w:rsid w:val="007A1A8E"/>
    <w:rsid w:val="007A1AE6"/>
    <w:rsid w:val="007A1C65"/>
    <w:rsid w:val="007A1F10"/>
    <w:rsid w:val="007A1F17"/>
    <w:rsid w:val="007A234C"/>
    <w:rsid w:val="007A2444"/>
    <w:rsid w:val="007A2470"/>
    <w:rsid w:val="007A24F3"/>
    <w:rsid w:val="007A2528"/>
    <w:rsid w:val="007A25D3"/>
    <w:rsid w:val="007A26B0"/>
    <w:rsid w:val="007A2760"/>
    <w:rsid w:val="007A28E8"/>
    <w:rsid w:val="007A29E0"/>
    <w:rsid w:val="007A2B46"/>
    <w:rsid w:val="007A2B7E"/>
    <w:rsid w:val="007A2DB1"/>
    <w:rsid w:val="007A3143"/>
    <w:rsid w:val="007A344F"/>
    <w:rsid w:val="007A34D6"/>
    <w:rsid w:val="007A3553"/>
    <w:rsid w:val="007A35AA"/>
    <w:rsid w:val="007A35DB"/>
    <w:rsid w:val="007A3606"/>
    <w:rsid w:val="007A3635"/>
    <w:rsid w:val="007A370A"/>
    <w:rsid w:val="007A393D"/>
    <w:rsid w:val="007A3A75"/>
    <w:rsid w:val="007A3B04"/>
    <w:rsid w:val="007A3BAB"/>
    <w:rsid w:val="007A3C43"/>
    <w:rsid w:val="007A3E22"/>
    <w:rsid w:val="007A3F19"/>
    <w:rsid w:val="007A3F5B"/>
    <w:rsid w:val="007A3FE4"/>
    <w:rsid w:val="007A4033"/>
    <w:rsid w:val="007A4331"/>
    <w:rsid w:val="007A4374"/>
    <w:rsid w:val="007A438B"/>
    <w:rsid w:val="007A43CF"/>
    <w:rsid w:val="007A44C9"/>
    <w:rsid w:val="007A45B9"/>
    <w:rsid w:val="007A467F"/>
    <w:rsid w:val="007A46AB"/>
    <w:rsid w:val="007A46F4"/>
    <w:rsid w:val="007A4A04"/>
    <w:rsid w:val="007A4BED"/>
    <w:rsid w:val="007A4D79"/>
    <w:rsid w:val="007A4FBC"/>
    <w:rsid w:val="007A50A7"/>
    <w:rsid w:val="007A5490"/>
    <w:rsid w:val="007A54CC"/>
    <w:rsid w:val="007A5540"/>
    <w:rsid w:val="007A5854"/>
    <w:rsid w:val="007A5994"/>
    <w:rsid w:val="007A5A8B"/>
    <w:rsid w:val="007A5C5E"/>
    <w:rsid w:val="007A5D9D"/>
    <w:rsid w:val="007A5DDC"/>
    <w:rsid w:val="007A5E3D"/>
    <w:rsid w:val="007A5F41"/>
    <w:rsid w:val="007A6137"/>
    <w:rsid w:val="007A62C1"/>
    <w:rsid w:val="007A6483"/>
    <w:rsid w:val="007A67F6"/>
    <w:rsid w:val="007A690A"/>
    <w:rsid w:val="007A69E5"/>
    <w:rsid w:val="007A6A4B"/>
    <w:rsid w:val="007A6A64"/>
    <w:rsid w:val="007A6AAC"/>
    <w:rsid w:val="007A6B54"/>
    <w:rsid w:val="007A6C25"/>
    <w:rsid w:val="007A6C35"/>
    <w:rsid w:val="007A6CC9"/>
    <w:rsid w:val="007A6DC6"/>
    <w:rsid w:val="007A6DF6"/>
    <w:rsid w:val="007A6E03"/>
    <w:rsid w:val="007A6F22"/>
    <w:rsid w:val="007A6FD9"/>
    <w:rsid w:val="007A7081"/>
    <w:rsid w:val="007A7297"/>
    <w:rsid w:val="007A72A5"/>
    <w:rsid w:val="007A72F6"/>
    <w:rsid w:val="007A731B"/>
    <w:rsid w:val="007A76C4"/>
    <w:rsid w:val="007A76EC"/>
    <w:rsid w:val="007A7744"/>
    <w:rsid w:val="007A7774"/>
    <w:rsid w:val="007A7A60"/>
    <w:rsid w:val="007A7C5A"/>
    <w:rsid w:val="007A7D2D"/>
    <w:rsid w:val="007A7DAC"/>
    <w:rsid w:val="007B0403"/>
    <w:rsid w:val="007B048F"/>
    <w:rsid w:val="007B0546"/>
    <w:rsid w:val="007B067E"/>
    <w:rsid w:val="007B072D"/>
    <w:rsid w:val="007B09EE"/>
    <w:rsid w:val="007B0D18"/>
    <w:rsid w:val="007B0D42"/>
    <w:rsid w:val="007B0EAA"/>
    <w:rsid w:val="007B10CB"/>
    <w:rsid w:val="007B12B5"/>
    <w:rsid w:val="007B136F"/>
    <w:rsid w:val="007B16AD"/>
    <w:rsid w:val="007B16BB"/>
    <w:rsid w:val="007B1873"/>
    <w:rsid w:val="007B198D"/>
    <w:rsid w:val="007B19C0"/>
    <w:rsid w:val="007B1A70"/>
    <w:rsid w:val="007B1AC6"/>
    <w:rsid w:val="007B1D9B"/>
    <w:rsid w:val="007B1E06"/>
    <w:rsid w:val="007B1E09"/>
    <w:rsid w:val="007B1F63"/>
    <w:rsid w:val="007B20A1"/>
    <w:rsid w:val="007B2120"/>
    <w:rsid w:val="007B21EA"/>
    <w:rsid w:val="007B2251"/>
    <w:rsid w:val="007B22F8"/>
    <w:rsid w:val="007B2422"/>
    <w:rsid w:val="007B2522"/>
    <w:rsid w:val="007B2530"/>
    <w:rsid w:val="007B25C4"/>
    <w:rsid w:val="007B26E5"/>
    <w:rsid w:val="007B27BB"/>
    <w:rsid w:val="007B2803"/>
    <w:rsid w:val="007B284C"/>
    <w:rsid w:val="007B2873"/>
    <w:rsid w:val="007B28A6"/>
    <w:rsid w:val="007B28C2"/>
    <w:rsid w:val="007B2910"/>
    <w:rsid w:val="007B29A5"/>
    <w:rsid w:val="007B2AE4"/>
    <w:rsid w:val="007B2B5E"/>
    <w:rsid w:val="007B2F08"/>
    <w:rsid w:val="007B32E3"/>
    <w:rsid w:val="007B3420"/>
    <w:rsid w:val="007B3534"/>
    <w:rsid w:val="007B35E2"/>
    <w:rsid w:val="007B3663"/>
    <w:rsid w:val="007B3914"/>
    <w:rsid w:val="007B397D"/>
    <w:rsid w:val="007B3A1F"/>
    <w:rsid w:val="007B3B4C"/>
    <w:rsid w:val="007B3C63"/>
    <w:rsid w:val="007B3F62"/>
    <w:rsid w:val="007B3F67"/>
    <w:rsid w:val="007B3F8A"/>
    <w:rsid w:val="007B3FA2"/>
    <w:rsid w:val="007B430E"/>
    <w:rsid w:val="007B43A9"/>
    <w:rsid w:val="007B4583"/>
    <w:rsid w:val="007B463B"/>
    <w:rsid w:val="007B4821"/>
    <w:rsid w:val="007B49B8"/>
    <w:rsid w:val="007B4A4E"/>
    <w:rsid w:val="007B4B0D"/>
    <w:rsid w:val="007B4BF9"/>
    <w:rsid w:val="007B4C8D"/>
    <w:rsid w:val="007B4CBD"/>
    <w:rsid w:val="007B4CFA"/>
    <w:rsid w:val="007B4FDD"/>
    <w:rsid w:val="007B5047"/>
    <w:rsid w:val="007B5062"/>
    <w:rsid w:val="007B5287"/>
    <w:rsid w:val="007B542A"/>
    <w:rsid w:val="007B543C"/>
    <w:rsid w:val="007B5512"/>
    <w:rsid w:val="007B5551"/>
    <w:rsid w:val="007B586E"/>
    <w:rsid w:val="007B5A91"/>
    <w:rsid w:val="007B5BB4"/>
    <w:rsid w:val="007B5BB8"/>
    <w:rsid w:val="007B5BCC"/>
    <w:rsid w:val="007B5E4C"/>
    <w:rsid w:val="007B5E72"/>
    <w:rsid w:val="007B5F1B"/>
    <w:rsid w:val="007B601D"/>
    <w:rsid w:val="007B60CE"/>
    <w:rsid w:val="007B618B"/>
    <w:rsid w:val="007B6317"/>
    <w:rsid w:val="007B6386"/>
    <w:rsid w:val="007B6394"/>
    <w:rsid w:val="007B65DE"/>
    <w:rsid w:val="007B65F8"/>
    <w:rsid w:val="007B6652"/>
    <w:rsid w:val="007B66D4"/>
    <w:rsid w:val="007B675A"/>
    <w:rsid w:val="007B677B"/>
    <w:rsid w:val="007B67CB"/>
    <w:rsid w:val="007B68BB"/>
    <w:rsid w:val="007B68BE"/>
    <w:rsid w:val="007B69CF"/>
    <w:rsid w:val="007B6A6C"/>
    <w:rsid w:val="007B6B19"/>
    <w:rsid w:val="007B6BFB"/>
    <w:rsid w:val="007B6C2F"/>
    <w:rsid w:val="007B6D6E"/>
    <w:rsid w:val="007B716B"/>
    <w:rsid w:val="007B7231"/>
    <w:rsid w:val="007B73F3"/>
    <w:rsid w:val="007B7408"/>
    <w:rsid w:val="007B74F5"/>
    <w:rsid w:val="007B7839"/>
    <w:rsid w:val="007B7853"/>
    <w:rsid w:val="007B7924"/>
    <w:rsid w:val="007B7A2C"/>
    <w:rsid w:val="007B7B21"/>
    <w:rsid w:val="007B7B69"/>
    <w:rsid w:val="007B7B79"/>
    <w:rsid w:val="007B7BA6"/>
    <w:rsid w:val="007B7DCB"/>
    <w:rsid w:val="007B7DED"/>
    <w:rsid w:val="007C00D2"/>
    <w:rsid w:val="007C0145"/>
    <w:rsid w:val="007C01F7"/>
    <w:rsid w:val="007C02F5"/>
    <w:rsid w:val="007C034C"/>
    <w:rsid w:val="007C0486"/>
    <w:rsid w:val="007C0779"/>
    <w:rsid w:val="007C087E"/>
    <w:rsid w:val="007C0A22"/>
    <w:rsid w:val="007C0B11"/>
    <w:rsid w:val="007C0C26"/>
    <w:rsid w:val="007C0CC8"/>
    <w:rsid w:val="007C0F82"/>
    <w:rsid w:val="007C126E"/>
    <w:rsid w:val="007C1347"/>
    <w:rsid w:val="007C13A7"/>
    <w:rsid w:val="007C13FA"/>
    <w:rsid w:val="007C14EB"/>
    <w:rsid w:val="007C156C"/>
    <w:rsid w:val="007C15A6"/>
    <w:rsid w:val="007C15AD"/>
    <w:rsid w:val="007C18D9"/>
    <w:rsid w:val="007C1CEA"/>
    <w:rsid w:val="007C1CEC"/>
    <w:rsid w:val="007C1D4E"/>
    <w:rsid w:val="007C1D51"/>
    <w:rsid w:val="007C1DE6"/>
    <w:rsid w:val="007C1E78"/>
    <w:rsid w:val="007C1EFA"/>
    <w:rsid w:val="007C205A"/>
    <w:rsid w:val="007C205B"/>
    <w:rsid w:val="007C2163"/>
    <w:rsid w:val="007C21ED"/>
    <w:rsid w:val="007C21FC"/>
    <w:rsid w:val="007C233F"/>
    <w:rsid w:val="007C24C6"/>
    <w:rsid w:val="007C25AD"/>
    <w:rsid w:val="007C25EA"/>
    <w:rsid w:val="007C28C6"/>
    <w:rsid w:val="007C295F"/>
    <w:rsid w:val="007C29A4"/>
    <w:rsid w:val="007C29E4"/>
    <w:rsid w:val="007C2B6C"/>
    <w:rsid w:val="007C2D9D"/>
    <w:rsid w:val="007C2E06"/>
    <w:rsid w:val="007C3089"/>
    <w:rsid w:val="007C323C"/>
    <w:rsid w:val="007C34E1"/>
    <w:rsid w:val="007C34E8"/>
    <w:rsid w:val="007C35E6"/>
    <w:rsid w:val="007C3916"/>
    <w:rsid w:val="007C3A3B"/>
    <w:rsid w:val="007C3BC1"/>
    <w:rsid w:val="007C3CFC"/>
    <w:rsid w:val="007C3E1E"/>
    <w:rsid w:val="007C3F97"/>
    <w:rsid w:val="007C433C"/>
    <w:rsid w:val="007C4400"/>
    <w:rsid w:val="007C444B"/>
    <w:rsid w:val="007C466E"/>
    <w:rsid w:val="007C473E"/>
    <w:rsid w:val="007C4762"/>
    <w:rsid w:val="007C4809"/>
    <w:rsid w:val="007C48F9"/>
    <w:rsid w:val="007C4992"/>
    <w:rsid w:val="007C4A6D"/>
    <w:rsid w:val="007C4A96"/>
    <w:rsid w:val="007C4B44"/>
    <w:rsid w:val="007C4CF5"/>
    <w:rsid w:val="007C4DAB"/>
    <w:rsid w:val="007C4E22"/>
    <w:rsid w:val="007C4E74"/>
    <w:rsid w:val="007C50A5"/>
    <w:rsid w:val="007C510F"/>
    <w:rsid w:val="007C52E7"/>
    <w:rsid w:val="007C555D"/>
    <w:rsid w:val="007C567E"/>
    <w:rsid w:val="007C57EE"/>
    <w:rsid w:val="007C58FD"/>
    <w:rsid w:val="007C5D9E"/>
    <w:rsid w:val="007C5EDD"/>
    <w:rsid w:val="007C5F91"/>
    <w:rsid w:val="007C6067"/>
    <w:rsid w:val="007C60F3"/>
    <w:rsid w:val="007C6313"/>
    <w:rsid w:val="007C636F"/>
    <w:rsid w:val="007C63E3"/>
    <w:rsid w:val="007C64A1"/>
    <w:rsid w:val="007C64E0"/>
    <w:rsid w:val="007C6784"/>
    <w:rsid w:val="007C67A2"/>
    <w:rsid w:val="007C6B0B"/>
    <w:rsid w:val="007C6D57"/>
    <w:rsid w:val="007C6DB9"/>
    <w:rsid w:val="007C6EF4"/>
    <w:rsid w:val="007C7194"/>
    <w:rsid w:val="007C7220"/>
    <w:rsid w:val="007C724E"/>
    <w:rsid w:val="007C72E6"/>
    <w:rsid w:val="007C7466"/>
    <w:rsid w:val="007C746F"/>
    <w:rsid w:val="007C7492"/>
    <w:rsid w:val="007C750D"/>
    <w:rsid w:val="007C757F"/>
    <w:rsid w:val="007C7780"/>
    <w:rsid w:val="007C784A"/>
    <w:rsid w:val="007C790D"/>
    <w:rsid w:val="007C7AAC"/>
    <w:rsid w:val="007C7B50"/>
    <w:rsid w:val="007C7B68"/>
    <w:rsid w:val="007C7FAB"/>
    <w:rsid w:val="007D00EA"/>
    <w:rsid w:val="007D01E4"/>
    <w:rsid w:val="007D02B7"/>
    <w:rsid w:val="007D02FC"/>
    <w:rsid w:val="007D044C"/>
    <w:rsid w:val="007D0D5A"/>
    <w:rsid w:val="007D0D6F"/>
    <w:rsid w:val="007D0ECF"/>
    <w:rsid w:val="007D0EF6"/>
    <w:rsid w:val="007D0F10"/>
    <w:rsid w:val="007D0F90"/>
    <w:rsid w:val="007D122C"/>
    <w:rsid w:val="007D1386"/>
    <w:rsid w:val="007D15C7"/>
    <w:rsid w:val="007D1845"/>
    <w:rsid w:val="007D1BAF"/>
    <w:rsid w:val="007D1D49"/>
    <w:rsid w:val="007D1D9F"/>
    <w:rsid w:val="007D1E9E"/>
    <w:rsid w:val="007D20BB"/>
    <w:rsid w:val="007D20E4"/>
    <w:rsid w:val="007D217B"/>
    <w:rsid w:val="007D2185"/>
    <w:rsid w:val="007D23E8"/>
    <w:rsid w:val="007D24E3"/>
    <w:rsid w:val="007D25D1"/>
    <w:rsid w:val="007D25E7"/>
    <w:rsid w:val="007D2A11"/>
    <w:rsid w:val="007D2C0F"/>
    <w:rsid w:val="007D2D79"/>
    <w:rsid w:val="007D2E49"/>
    <w:rsid w:val="007D2F36"/>
    <w:rsid w:val="007D2F9A"/>
    <w:rsid w:val="007D302F"/>
    <w:rsid w:val="007D30BE"/>
    <w:rsid w:val="007D3214"/>
    <w:rsid w:val="007D327A"/>
    <w:rsid w:val="007D3367"/>
    <w:rsid w:val="007D33A9"/>
    <w:rsid w:val="007D33F7"/>
    <w:rsid w:val="007D37CC"/>
    <w:rsid w:val="007D3854"/>
    <w:rsid w:val="007D391C"/>
    <w:rsid w:val="007D3A56"/>
    <w:rsid w:val="007D3AC9"/>
    <w:rsid w:val="007D3B23"/>
    <w:rsid w:val="007D3F2A"/>
    <w:rsid w:val="007D3FDA"/>
    <w:rsid w:val="007D412A"/>
    <w:rsid w:val="007D4141"/>
    <w:rsid w:val="007D41FE"/>
    <w:rsid w:val="007D4268"/>
    <w:rsid w:val="007D42A0"/>
    <w:rsid w:val="007D431C"/>
    <w:rsid w:val="007D4608"/>
    <w:rsid w:val="007D47A4"/>
    <w:rsid w:val="007D4AE5"/>
    <w:rsid w:val="007D4AE6"/>
    <w:rsid w:val="007D4BA1"/>
    <w:rsid w:val="007D4D36"/>
    <w:rsid w:val="007D5077"/>
    <w:rsid w:val="007D520D"/>
    <w:rsid w:val="007D52DF"/>
    <w:rsid w:val="007D539A"/>
    <w:rsid w:val="007D5579"/>
    <w:rsid w:val="007D55B9"/>
    <w:rsid w:val="007D5971"/>
    <w:rsid w:val="007D5E46"/>
    <w:rsid w:val="007D5ED1"/>
    <w:rsid w:val="007D601B"/>
    <w:rsid w:val="007D60C1"/>
    <w:rsid w:val="007D622B"/>
    <w:rsid w:val="007D63AB"/>
    <w:rsid w:val="007D653D"/>
    <w:rsid w:val="007D6728"/>
    <w:rsid w:val="007D69CF"/>
    <w:rsid w:val="007D6D24"/>
    <w:rsid w:val="007D6D30"/>
    <w:rsid w:val="007D6EAD"/>
    <w:rsid w:val="007D7124"/>
    <w:rsid w:val="007D7237"/>
    <w:rsid w:val="007D7469"/>
    <w:rsid w:val="007D760F"/>
    <w:rsid w:val="007D769E"/>
    <w:rsid w:val="007D7903"/>
    <w:rsid w:val="007D7BEF"/>
    <w:rsid w:val="007D7BFB"/>
    <w:rsid w:val="007D7C8C"/>
    <w:rsid w:val="007D7E18"/>
    <w:rsid w:val="007E00CE"/>
    <w:rsid w:val="007E00D2"/>
    <w:rsid w:val="007E00E3"/>
    <w:rsid w:val="007E00F7"/>
    <w:rsid w:val="007E00FE"/>
    <w:rsid w:val="007E0164"/>
    <w:rsid w:val="007E04FA"/>
    <w:rsid w:val="007E084E"/>
    <w:rsid w:val="007E098B"/>
    <w:rsid w:val="007E0B6C"/>
    <w:rsid w:val="007E0BE3"/>
    <w:rsid w:val="007E0C61"/>
    <w:rsid w:val="007E0CB3"/>
    <w:rsid w:val="007E0DA2"/>
    <w:rsid w:val="007E0FA0"/>
    <w:rsid w:val="007E12BF"/>
    <w:rsid w:val="007E1444"/>
    <w:rsid w:val="007E1519"/>
    <w:rsid w:val="007E1523"/>
    <w:rsid w:val="007E158F"/>
    <w:rsid w:val="007E172A"/>
    <w:rsid w:val="007E17D6"/>
    <w:rsid w:val="007E1803"/>
    <w:rsid w:val="007E181D"/>
    <w:rsid w:val="007E1A0B"/>
    <w:rsid w:val="007E1AAA"/>
    <w:rsid w:val="007E1B66"/>
    <w:rsid w:val="007E1C77"/>
    <w:rsid w:val="007E1C8D"/>
    <w:rsid w:val="007E1DE4"/>
    <w:rsid w:val="007E1E61"/>
    <w:rsid w:val="007E221F"/>
    <w:rsid w:val="007E251A"/>
    <w:rsid w:val="007E253F"/>
    <w:rsid w:val="007E257B"/>
    <w:rsid w:val="007E25E0"/>
    <w:rsid w:val="007E26C5"/>
    <w:rsid w:val="007E270C"/>
    <w:rsid w:val="007E274C"/>
    <w:rsid w:val="007E2829"/>
    <w:rsid w:val="007E2E54"/>
    <w:rsid w:val="007E2EBB"/>
    <w:rsid w:val="007E2ECF"/>
    <w:rsid w:val="007E2FF6"/>
    <w:rsid w:val="007E30BA"/>
    <w:rsid w:val="007E3679"/>
    <w:rsid w:val="007E36F1"/>
    <w:rsid w:val="007E399A"/>
    <w:rsid w:val="007E3DFC"/>
    <w:rsid w:val="007E3E15"/>
    <w:rsid w:val="007E3E32"/>
    <w:rsid w:val="007E3FEE"/>
    <w:rsid w:val="007E4185"/>
    <w:rsid w:val="007E438B"/>
    <w:rsid w:val="007E44CD"/>
    <w:rsid w:val="007E4A13"/>
    <w:rsid w:val="007E4A8B"/>
    <w:rsid w:val="007E4BEB"/>
    <w:rsid w:val="007E4C90"/>
    <w:rsid w:val="007E5208"/>
    <w:rsid w:val="007E5293"/>
    <w:rsid w:val="007E536D"/>
    <w:rsid w:val="007E542B"/>
    <w:rsid w:val="007E5460"/>
    <w:rsid w:val="007E567C"/>
    <w:rsid w:val="007E57F0"/>
    <w:rsid w:val="007E5822"/>
    <w:rsid w:val="007E5D0A"/>
    <w:rsid w:val="007E5E11"/>
    <w:rsid w:val="007E5E3D"/>
    <w:rsid w:val="007E5F97"/>
    <w:rsid w:val="007E6081"/>
    <w:rsid w:val="007E60B3"/>
    <w:rsid w:val="007E60C7"/>
    <w:rsid w:val="007E60FD"/>
    <w:rsid w:val="007E63DE"/>
    <w:rsid w:val="007E65E4"/>
    <w:rsid w:val="007E676A"/>
    <w:rsid w:val="007E6A5E"/>
    <w:rsid w:val="007E6A72"/>
    <w:rsid w:val="007E6B96"/>
    <w:rsid w:val="007E7147"/>
    <w:rsid w:val="007E7314"/>
    <w:rsid w:val="007E74FF"/>
    <w:rsid w:val="007E7803"/>
    <w:rsid w:val="007E7830"/>
    <w:rsid w:val="007E78BC"/>
    <w:rsid w:val="007E7B81"/>
    <w:rsid w:val="007E7F2B"/>
    <w:rsid w:val="007E7FDF"/>
    <w:rsid w:val="007F001D"/>
    <w:rsid w:val="007F00E6"/>
    <w:rsid w:val="007F00F8"/>
    <w:rsid w:val="007F0295"/>
    <w:rsid w:val="007F050F"/>
    <w:rsid w:val="007F0628"/>
    <w:rsid w:val="007F0635"/>
    <w:rsid w:val="007F0838"/>
    <w:rsid w:val="007F0873"/>
    <w:rsid w:val="007F0958"/>
    <w:rsid w:val="007F0C31"/>
    <w:rsid w:val="007F0C69"/>
    <w:rsid w:val="007F0E86"/>
    <w:rsid w:val="007F10A9"/>
    <w:rsid w:val="007F1173"/>
    <w:rsid w:val="007F117B"/>
    <w:rsid w:val="007F1280"/>
    <w:rsid w:val="007F133A"/>
    <w:rsid w:val="007F1558"/>
    <w:rsid w:val="007F15B5"/>
    <w:rsid w:val="007F16F3"/>
    <w:rsid w:val="007F1741"/>
    <w:rsid w:val="007F1895"/>
    <w:rsid w:val="007F18A4"/>
    <w:rsid w:val="007F19FA"/>
    <w:rsid w:val="007F1AE0"/>
    <w:rsid w:val="007F1B7A"/>
    <w:rsid w:val="007F1D64"/>
    <w:rsid w:val="007F1E1E"/>
    <w:rsid w:val="007F2001"/>
    <w:rsid w:val="007F2139"/>
    <w:rsid w:val="007F21DC"/>
    <w:rsid w:val="007F2295"/>
    <w:rsid w:val="007F2397"/>
    <w:rsid w:val="007F2441"/>
    <w:rsid w:val="007F251A"/>
    <w:rsid w:val="007F2594"/>
    <w:rsid w:val="007F25C0"/>
    <w:rsid w:val="007F25ED"/>
    <w:rsid w:val="007F261B"/>
    <w:rsid w:val="007F2705"/>
    <w:rsid w:val="007F2888"/>
    <w:rsid w:val="007F28EC"/>
    <w:rsid w:val="007F2A75"/>
    <w:rsid w:val="007F2AB0"/>
    <w:rsid w:val="007F2C8D"/>
    <w:rsid w:val="007F2D3F"/>
    <w:rsid w:val="007F2DA5"/>
    <w:rsid w:val="007F2F2B"/>
    <w:rsid w:val="007F2F64"/>
    <w:rsid w:val="007F2F9F"/>
    <w:rsid w:val="007F3004"/>
    <w:rsid w:val="007F304E"/>
    <w:rsid w:val="007F308A"/>
    <w:rsid w:val="007F3443"/>
    <w:rsid w:val="007F353F"/>
    <w:rsid w:val="007F3654"/>
    <w:rsid w:val="007F387D"/>
    <w:rsid w:val="007F396C"/>
    <w:rsid w:val="007F39A2"/>
    <w:rsid w:val="007F3A49"/>
    <w:rsid w:val="007F3B80"/>
    <w:rsid w:val="007F3CA5"/>
    <w:rsid w:val="007F3D05"/>
    <w:rsid w:val="007F4108"/>
    <w:rsid w:val="007F41E2"/>
    <w:rsid w:val="007F420A"/>
    <w:rsid w:val="007F432F"/>
    <w:rsid w:val="007F4453"/>
    <w:rsid w:val="007F4522"/>
    <w:rsid w:val="007F4560"/>
    <w:rsid w:val="007F477D"/>
    <w:rsid w:val="007F47D2"/>
    <w:rsid w:val="007F4876"/>
    <w:rsid w:val="007F49B2"/>
    <w:rsid w:val="007F4A60"/>
    <w:rsid w:val="007F4B08"/>
    <w:rsid w:val="007F4B37"/>
    <w:rsid w:val="007F4D73"/>
    <w:rsid w:val="007F4F3B"/>
    <w:rsid w:val="007F5091"/>
    <w:rsid w:val="007F50B1"/>
    <w:rsid w:val="007F513A"/>
    <w:rsid w:val="007F5285"/>
    <w:rsid w:val="007F52A2"/>
    <w:rsid w:val="007F53E8"/>
    <w:rsid w:val="007F542C"/>
    <w:rsid w:val="007F54B1"/>
    <w:rsid w:val="007F55C6"/>
    <w:rsid w:val="007F564E"/>
    <w:rsid w:val="007F5A62"/>
    <w:rsid w:val="007F5BC0"/>
    <w:rsid w:val="007F5D05"/>
    <w:rsid w:val="007F5FF6"/>
    <w:rsid w:val="007F622F"/>
    <w:rsid w:val="007F62BB"/>
    <w:rsid w:val="007F6504"/>
    <w:rsid w:val="007F6584"/>
    <w:rsid w:val="007F6670"/>
    <w:rsid w:val="007F678B"/>
    <w:rsid w:val="007F67C8"/>
    <w:rsid w:val="007F6809"/>
    <w:rsid w:val="007F681C"/>
    <w:rsid w:val="007F684F"/>
    <w:rsid w:val="007F6855"/>
    <w:rsid w:val="007F698D"/>
    <w:rsid w:val="007F6AD9"/>
    <w:rsid w:val="007F6B01"/>
    <w:rsid w:val="007F6C39"/>
    <w:rsid w:val="007F6DB9"/>
    <w:rsid w:val="007F6E2B"/>
    <w:rsid w:val="007F6E81"/>
    <w:rsid w:val="007F7195"/>
    <w:rsid w:val="007F7283"/>
    <w:rsid w:val="007F7611"/>
    <w:rsid w:val="007F78D6"/>
    <w:rsid w:val="007F7913"/>
    <w:rsid w:val="007F7942"/>
    <w:rsid w:val="007F7A51"/>
    <w:rsid w:val="007F7B59"/>
    <w:rsid w:val="007F7C1A"/>
    <w:rsid w:val="007F7CBE"/>
    <w:rsid w:val="007F7DE5"/>
    <w:rsid w:val="007F7E17"/>
    <w:rsid w:val="00800080"/>
    <w:rsid w:val="00800092"/>
    <w:rsid w:val="00800102"/>
    <w:rsid w:val="0080019E"/>
    <w:rsid w:val="0080052B"/>
    <w:rsid w:val="0080052E"/>
    <w:rsid w:val="00800550"/>
    <w:rsid w:val="008005FE"/>
    <w:rsid w:val="00800649"/>
    <w:rsid w:val="00800944"/>
    <w:rsid w:val="00800AE1"/>
    <w:rsid w:val="00800B90"/>
    <w:rsid w:val="00800C62"/>
    <w:rsid w:val="00800CB6"/>
    <w:rsid w:val="00800CE2"/>
    <w:rsid w:val="00800FC0"/>
    <w:rsid w:val="008014F4"/>
    <w:rsid w:val="0080157F"/>
    <w:rsid w:val="008015A3"/>
    <w:rsid w:val="00801857"/>
    <w:rsid w:val="00801BE4"/>
    <w:rsid w:val="00801C6C"/>
    <w:rsid w:val="00801EC3"/>
    <w:rsid w:val="00802081"/>
    <w:rsid w:val="008020D1"/>
    <w:rsid w:val="008022A0"/>
    <w:rsid w:val="008022A4"/>
    <w:rsid w:val="008022F5"/>
    <w:rsid w:val="0080232E"/>
    <w:rsid w:val="008023CA"/>
    <w:rsid w:val="00802423"/>
    <w:rsid w:val="0080260A"/>
    <w:rsid w:val="00802657"/>
    <w:rsid w:val="0080266E"/>
    <w:rsid w:val="008027D1"/>
    <w:rsid w:val="008028DA"/>
    <w:rsid w:val="008029FB"/>
    <w:rsid w:val="00802ACC"/>
    <w:rsid w:val="00802AF5"/>
    <w:rsid w:val="00802B0C"/>
    <w:rsid w:val="00802B51"/>
    <w:rsid w:val="00802BE1"/>
    <w:rsid w:val="00802C00"/>
    <w:rsid w:val="00802DC7"/>
    <w:rsid w:val="00802DD7"/>
    <w:rsid w:val="00802DDF"/>
    <w:rsid w:val="00802F56"/>
    <w:rsid w:val="00802FAC"/>
    <w:rsid w:val="00803054"/>
    <w:rsid w:val="00803257"/>
    <w:rsid w:val="008032FF"/>
    <w:rsid w:val="00803301"/>
    <w:rsid w:val="0080333C"/>
    <w:rsid w:val="0080334A"/>
    <w:rsid w:val="00803385"/>
    <w:rsid w:val="008033BF"/>
    <w:rsid w:val="0080358D"/>
    <w:rsid w:val="008036FF"/>
    <w:rsid w:val="008038F7"/>
    <w:rsid w:val="0080390D"/>
    <w:rsid w:val="0080393E"/>
    <w:rsid w:val="00803DAD"/>
    <w:rsid w:val="00803DEF"/>
    <w:rsid w:val="00803E3F"/>
    <w:rsid w:val="00803EC7"/>
    <w:rsid w:val="00803F74"/>
    <w:rsid w:val="00803F95"/>
    <w:rsid w:val="00803FD3"/>
    <w:rsid w:val="008040DD"/>
    <w:rsid w:val="00804357"/>
    <w:rsid w:val="00804405"/>
    <w:rsid w:val="00804443"/>
    <w:rsid w:val="008044DC"/>
    <w:rsid w:val="008045C7"/>
    <w:rsid w:val="00804671"/>
    <w:rsid w:val="008046AE"/>
    <w:rsid w:val="008047FE"/>
    <w:rsid w:val="00804864"/>
    <w:rsid w:val="00804884"/>
    <w:rsid w:val="00804918"/>
    <w:rsid w:val="008049C7"/>
    <w:rsid w:val="00804AD5"/>
    <w:rsid w:val="00804AE7"/>
    <w:rsid w:val="00804B29"/>
    <w:rsid w:val="00804FB2"/>
    <w:rsid w:val="008051EE"/>
    <w:rsid w:val="00805259"/>
    <w:rsid w:val="008053D8"/>
    <w:rsid w:val="00805450"/>
    <w:rsid w:val="00805527"/>
    <w:rsid w:val="00805599"/>
    <w:rsid w:val="008056AF"/>
    <w:rsid w:val="008057EC"/>
    <w:rsid w:val="00805880"/>
    <w:rsid w:val="0080595B"/>
    <w:rsid w:val="00805B57"/>
    <w:rsid w:val="008060A9"/>
    <w:rsid w:val="00806161"/>
    <w:rsid w:val="0080628C"/>
    <w:rsid w:val="00806329"/>
    <w:rsid w:val="0080637E"/>
    <w:rsid w:val="008063CB"/>
    <w:rsid w:val="008063EB"/>
    <w:rsid w:val="008066F6"/>
    <w:rsid w:val="008066F8"/>
    <w:rsid w:val="00806A22"/>
    <w:rsid w:val="00806B38"/>
    <w:rsid w:val="00806BBB"/>
    <w:rsid w:val="00806BC2"/>
    <w:rsid w:val="00806F1D"/>
    <w:rsid w:val="00806F3D"/>
    <w:rsid w:val="00807056"/>
    <w:rsid w:val="008070A4"/>
    <w:rsid w:val="008070DC"/>
    <w:rsid w:val="0080714D"/>
    <w:rsid w:val="0080735C"/>
    <w:rsid w:val="008073FA"/>
    <w:rsid w:val="008075EE"/>
    <w:rsid w:val="00807603"/>
    <w:rsid w:val="0080771E"/>
    <w:rsid w:val="00807784"/>
    <w:rsid w:val="008078C5"/>
    <w:rsid w:val="008078DE"/>
    <w:rsid w:val="00807ACF"/>
    <w:rsid w:val="00807B2F"/>
    <w:rsid w:val="00807C09"/>
    <w:rsid w:val="00807DAA"/>
    <w:rsid w:val="00809B14"/>
    <w:rsid w:val="0081004C"/>
    <w:rsid w:val="00810081"/>
    <w:rsid w:val="008102C8"/>
    <w:rsid w:val="00810432"/>
    <w:rsid w:val="008104DB"/>
    <w:rsid w:val="008105A4"/>
    <w:rsid w:val="0081079E"/>
    <w:rsid w:val="0081083D"/>
    <w:rsid w:val="0081086E"/>
    <w:rsid w:val="00810894"/>
    <w:rsid w:val="00810897"/>
    <w:rsid w:val="00810B09"/>
    <w:rsid w:val="00810B60"/>
    <w:rsid w:val="00810B6E"/>
    <w:rsid w:val="00810C2F"/>
    <w:rsid w:val="00810C56"/>
    <w:rsid w:val="00810E92"/>
    <w:rsid w:val="00810F53"/>
    <w:rsid w:val="00810FEA"/>
    <w:rsid w:val="0081111A"/>
    <w:rsid w:val="00811187"/>
    <w:rsid w:val="008112F2"/>
    <w:rsid w:val="0081142B"/>
    <w:rsid w:val="0081150B"/>
    <w:rsid w:val="008117E0"/>
    <w:rsid w:val="0081182B"/>
    <w:rsid w:val="00811AE8"/>
    <w:rsid w:val="00811B8E"/>
    <w:rsid w:val="00811D9E"/>
    <w:rsid w:val="008121C1"/>
    <w:rsid w:val="008121C6"/>
    <w:rsid w:val="008121F6"/>
    <w:rsid w:val="0081228B"/>
    <w:rsid w:val="008123AF"/>
    <w:rsid w:val="0081253A"/>
    <w:rsid w:val="008125DD"/>
    <w:rsid w:val="0081268A"/>
    <w:rsid w:val="0081272E"/>
    <w:rsid w:val="00812818"/>
    <w:rsid w:val="0081285C"/>
    <w:rsid w:val="00812914"/>
    <w:rsid w:val="00812971"/>
    <w:rsid w:val="008129F2"/>
    <w:rsid w:val="00812B26"/>
    <w:rsid w:val="00812EE6"/>
    <w:rsid w:val="00812F10"/>
    <w:rsid w:val="00813367"/>
    <w:rsid w:val="00813395"/>
    <w:rsid w:val="0081390E"/>
    <w:rsid w:val="0081399B"/>
    <w:rsid w:val="008139F5"/>
    <w:rsid w:val="00813E76"/>
    <w:rsid w:val="00813FE8"/>
    <w:rsid w:val="00814006"/>
    <w:rsid w:val="00814012"/>
    <w:rsid w:val="0081435A"/>
    <w:rsid w:val="008143A2"/>
    <w:rsid w:val="008145BD"/>
    <w:rsid w:val="00814673"/>
    <w:rsid w:val="008146FC"/>
    <w:rsid w:val="00814834"/>
    <w:rsid w:val="00814965"/>
    <w:rsid w:val="008149AF"/>
    <w:rsid w:val="008149CF"/>
    <w:rsid w:val="008149E8"/>
    <w:rsid w:val="00814BA3"/>
    <w:rsid w:val="00814BAE"/>
    <w:rsid w:val="00814BD8"/>
    <w:rsid w:val="00814C41"/>
    <w:rsid w:val="00814E2F"/>
    <w:rsid w:val="00814EDE"/>
    <w:rsid w:val="00814FBE"/>
    <w:rsid w:val="00814FCE"/>
    <w:rsid w:val="00815049"/>
    <w:rsid w:val="00815088"/>
    <w:rsid w:val="00815244"/>
    <w:rsid w:val="00815461"/>
    <w:rsid w:val="008154C1"/>
    <w:rsid w:val="008156F3"/>
    <w:rsid w:val="00815AA2"/>
    <w:rsid w:val="00815AC2"/>
    <w:rsid w:val="00815AE1"/>
    <w:rsid w:val="00815C04"/>
    <w:rsid w:val="00815D88"/>
    <w:rsid w:val="00815E87"/>
    <w:rsid w:val="00816262"/>
    <w:rsid w:val="008162F1"/>
    <w:rsid w:val="0081638E"/>
    <w:rsid w:val="00816441"/>
    <w:rsid w:val="00816542"/>
    <w:rsid w:val="00816548"/>
    <w:rsid w:val="008167DC"/>
    <w:rsid w:val="008167EB"/>
    <w:rsid w:val="008167FC"/>
    <w:rsid w:val="0081686F"/>
    <w:rsid w:val="00816918"/>
    <w:rsid w:val="00816B65"/>
    <w:rsid w:val="00816B67"/>
    <w:rsid w:val="00816C77"/>
    <w:rsid w:val="00816D61"/>
    <w:rsid w:val="00816E4F"/>
    <w:rsid w:val="00817121"/>
    <w:rsid w:val="0081715D"/>
    <w:rsid w:val="0081730E"/>
    <w:rsid w:val="00817525"/>
    <w:rsid w:val="00817647"/>
    <w:rsid w:val="008179C4"/>
    <w:rsid w:val="00817A5D"/>
    <w:rsid w:val="00817AA5"/>
    <w:rsid w:val="00817B03"/>
    <w:rsid w:val="00817C58"/>
    <w:rsid w:val="00817EB0"/>
    <w:rsid w:val="00817FB9"/>
    <w:rsid w:val="00820085"/>
    <w:rsid w:val="008200D3"/>
    <w:rsid w:val="008200FF"/>
    <w:rsid w:val="00820350"/>
    <w:rsid w:val="0082039A"/>
    <w:rsid w:val="0082039F"/>
    <w:rsid w:val="008203B3"/>
    <w:rsid w:val="008205BE"/>
    <w:rsid w:val="008208D2"/>
    <w:rsid w:val="008208F9"/>
    <w:rsid w:val="00820AEF"/>
    <w:rsid w:val="00820AF5"/>
    <w:rsid w:val="00820B38"/>
    <w:rsid w:val="00820BC6"/>
    <w:rsid w:val="00820CE6"/>
    <w:rsid w:val="00820F53"/>
    <w:rsid w:val="00820F63"/>
    <w:rsid w:val="008210F6"/>
    <w:rsid w:val="008211A1"/>
    <w:rsid w:val="00821296"/>
    <w:rsid w:val="00821348"/>
    <w:rsid w:val="008213A4"/>
    <w:rsid w:val="008213B6"/>
    <w:rsid w:val="00821549"/>
    <w:rsid w:val="0082164D"/>
    <w:rsid w:val="008216F1"/>
    <w:rsid w:val="00821788"/>
    <w:rsid w:val="00821821"/>
    <w:rsid w:val="008218F3"/>
    <w:rsid w:val="008219D9"/>
    <w:rsid w:val="00821A4B"/>
    <w:rsid w:val="00821AAF"/>
    <w:rsid w:val="00821B2D"/>
    <w:rsid w:val="00821B53"/>
    <w:rsid w:val="00821BC3"/>
    <w:rsid w:val="00821CBE"/>
    <w:rsid w:val="00821CE3"/>
    <w:rsid w:val="00821DD0"/>
    <w:rsid w:val="00821E66"/>
    <w:rsid w:val="00821F27"/>
    <w:rsid w:val="00821F68"/>
    <w:rsid w:val="00821FDE"/>
    <w:rsid w:val="00822065"/>
    <w:rsid w:val="00822084"/>
    <w:rsid w:val="00822128"/>
    <w:rsid w:val="00822592"/>
    <w:rsid w:val="008226E4"/>
    <w:rsid w:val="00822905"/>
    <w:rsid w:val="00822AB4"/>
    <w:rsid w:val="00822AF3"/>
    <w:rsid w:val="00822B03"/>
    <w:rsid w:val="00822CAC"/>
    <w:rsid w:val="00822CDC"/>
    <w:rsid w:val="00822D7B"/>
    <w:rsid w:val="00822D89"/>
    <w:rsid w:val="00822EEF"/>
    <w:rsid w:val="00822F93"/>
    <w:rsid w:val="00823280"/>
    <w:rsid w:val="0082336E"/>
    <w:rsid w:val="008233E6"/>
    <w:rsid w:val="008234A9"/>
    <w:rsid w:val="008234F4"/>
    <w:rsid w:val="00823605"/>
    <w:rsid w:val="0082364A"/>
    <w:rsid w:val="008237B5"/>
    <w:rsid w:val="008239A5"/>
    <w:rsid w:val="00823B05"/>
    <w:rsid w:val="00823B3A"/>
    <w:rsid w:val="00823B50"/>
    <w:rsid w:val="00823BDA"/>
    <w:rsid w:val="00823D29"/>
    <w:rsid w:val="00823F00"/>
    <w:rsid w:val="00823F3F"/>
    <w:rsid w:val="00823FB4"/>
    <w:rsid w:val="00823FF4"/>
    <w:rsid w:val="008240E6"/>
    <w:rsid w:val="0082432E"/>
    <w:rsid w:val="00824592"/>
    <w:rsid w:val="008246E2"/>
    <w:rsid w:val="00824722"/>
    <w:rsid w:val="0082476D"/>
    <w:rsid w:val="0082480A"/>
    <w:rsid w:val="008248A9"/>
    <w:rsid w:val="00824A45"/>
    <w:rsid w:val="00824ACD"/>
    <w:rsid w:val="00824AFC"/>
    <w:rsid w:val="00824B24"/>
    <w:rsid w:val="00824B4C"/>
    <w:rsid w:val="00824BCF"/>
    <w:rsid w:val="00824CE7"/>
    <w:rsid w:val="00824EA8"/>
    <w:rsid w:val="00824FEB"/>
    <w:rsid w:val="0082509E"/>
    <w:rsid w:val="008251F8"/>
    <w:rsid w:val="008252D4"/>
    <w:rsid w:val="0082566F"/>
    <w:rsid w:val="008256AA"/>
    <w:rsid w:val="0082591B"/>
    <w:rsid w:val="00825984"/>
    <w:rsid w:val="00825BF4"/>
    <w:rsid w:val="00825DD2"/>
    <w:rsid w:val="00825E63"/>
    <w:rsid w:val="00825F55"/>
    <w:rsid w:val="00825F66"/>
    <w:rsid w:val="0082629E"/>
    <w:rsid w:val="008263BB"/>
    <w:rsid w:val="00826456"/>
    <w:rsid w:val="0082645D"/>
    <w:rsid w:val="00826486"/>
    <w:rsid w:val="00826546"/>
    <w:rsid w:val="0082663B"/>
    <w:rsid w:val="0082674C"/>
    <w:rsid w:val="008268D3"/>
    <w:rsid w:val="008269BE"/>
    <w:rsid w:val="00826BC3"/>
    <w:rsid w:val="0082701C"/>
    <w:rsid w:val="00827284"/>
    <w:rsid w:val="0082750F"/>
    <w:rsid w:val="0082756C"/>
    <w:rsid w:val="00827578"/>
    <w:rsid w:val="00827590"/>
    <w:rsid w:val="00827663"/>
    <w:rsid w:val="00827771"/>
    <w:rsid w:val="008277D1"/>
    <w:rsid w:val="00827877"/>
    <w:rsid w:val="00827968"/>
    <w:rsid w:val="00827A53"/>
    <w:rsid w:val="00827A6D"/>
    <w:rsid w:val="00827F69"/>
    <w:rsid w:val="00827F71"/>
    <w:rsid w:val="00830161"/>
    <w:rsid w:val="00830504"/>
    <w:rsid w:val="00830567"/>
    <w:rsid w:val="0083073A"/>
    <w:rsid w:val="00830919"/>
    <w:rsid w:val="0083091F"/>
    <w:rsid w:val="008309F1"/>
    <w:rsid w:val="00830AD4"/>
    <w:rsid w:val="00830C90"/>
    <w:rsid w:val="00830CFB"/>
    <w:rsid w:val="00830CFF"/>
    <w:rsid w:val="00830DC7"/>
    <w:rsid w:val="00830FAB"/>
    <w:rsid w:val="00831001"/>
    <w:rsid w:val="00831014"/>
    <w:rsid w:val="008310CB"/>
    <w:rsid w:val="00831107"/>
    <w:rsid w:val="00831151"/>
    <w:rsid w:val="008312E5"/>
    <w:rsid w:val="00831356"/>
    <w:rsid w:val="008313D4"/>
    <w:rsid w:val="00831440"/>
    <w:rsid w:val="0083153A"/>
    <w:rsid w:val="00831618"/>
    <w:rsid w:val="008316A1"/>
    <w:rsid w:val="0083177C"/>
    <w:rsid w:val="00831921"/>
    <w:rsid w:val="0083197F"/>
    <w:rsid w:val="0083199A"/>
    <w:rsid w:val="00831A43"/>
    <w:rsid w:val="00831AC3"/>
    <w:rsid w:val="00831BF3"/>
    <w:rsid w:val="00831CC5"/>
    <w:rsid w:val="00831CE0"/>
    <w:rsid w:val="00831D1F"/>
    <w:rsid w:val="00831D7F"/>
    <w:rsid w:val="00831DB3"/>
    <w:rsid w:val="0083203D"/>
    <w:rsid w:val="008321DC"/>
    <w:rsid w:val="00832233"/>
    <w:rsid w:val="00832283"/>
    <w:rsid w:val="008323DB"/>
    <w:rsid w:val="008324A8"/>
    <w:rsid w:val="008324B4"/>
    <w:rsid w:val="008325CD"/>
    <w:rsid w:val="00832740"/>
    <w:rsid w:val="00832883"/>
    <w:rsid w:val="00832938"/>
    <w:rsid w:val="0083295F"/>
    <w:rsid w:val="008329CE"/>
    <w:rsid w:val="00832A9E"/>
    <w:rsid w:val="00832BEE"/>
    <w:rsid w:val="00832E8D"/>
    <w:rsid w:val="00832EB4"/>
    <w:rsid w:val="00832FCE"/>
    <w:rsid w:val="00833002"/>
    <w:rsid w:val="0083306B"/>
    <w:rsid w:val="008331B9"/>
    <w:rsid w:val="008331C1"/>
    <w:rsid w:val="0083320A"/>
    <w:rsid w:val="00833332"/>
    <w:rsid w:val="008337D8"/>
    <w:rsid w:val="0083382D"/>
    <w:rsid w:val="008338DF"/>
    <w:rsid w:val="008339AB"/>
    <w:rsid w:val="00833B1C"/>
    <w:rsid w:val="00833B96"/>
    <w:rsid w:val="00833C39"/>
    <w:rsid w:val="00833C9D"/>
    <w:rsid w:val="00833E1F"/>
    <w:rsid w:val="00833E20"/>
    <w:rsid w:val="00833E34"/>
    <w:rsid w:val="00833FCC"/>
    <w:rsid w:val="008340C1"/>
    <w:rsid w:val="008340C6"/>
    <w:rsid w:val="008341E1"/>
    <w:rsid w:val="00834206"/>
    <w:rsid w:val="0083426B"/>
    <w:rsid w:val="00834498"/>
    <w:rsid w:val="0083462F"/>
    <w:rsid w:val="00834650"/>
    <w:rsid w:val="00834741"/>
    <w:rsid w:val="008347E2"/>
    <w:rsid w:val="008349D3"/>
    <w:rsid w:val="00834A73"/>
    <w:rsid w:val="00834C47"/>
    <w:rsid w:val="00834D4E"/>
    <w:rsid w:val="00835079"/>
    <w:rsid w:val="008350FE"/>
    <w:rsid w:val="0083543F"/>
    <w:rsid w:val="00835790"/>
    <w:rsid w:val="008358CF"/>
    <w:rsid w:val="0083599E"/>
    <w:rsid w:val="008359B2"/>
    <w:rsid w:val="00835A5A"/>
    <w:rsid w:val="00835AA4"/>
    <w:rsid w:val="00835AD7"/>
    <w:rsid w:val="00835C07"/>
    <w:rsid w:val="00835C0B"/>
    <w:rsid w:val="00835E80"/>
    <w:rsid w:val="0083621E"/>
    <w:rsid w:val="008362C5"/>
    <w:rsid w:val="008364DA"/>
    <w:rsid w:val="00836515"/>
    <w:rsid w:val="0083652D"/>
    <w:rsid w:val="00836744"/>
    <w:rsid w:val="00836799"/>
    <w:rsid w:val="0083679B"/>
    <w:rsid w:val="008367E7"/>
    <w:rsid w:val="00836955"/>
    <w:rsid w:val="0083697C"/>
    <w:rsid w:val="008369E8"/>
    <w:rsid w:val="00836CEC"/>
    <w:rsid w:val="00836D05"/>
    <w:rsid w:val="008370B4"/>
    <w:rsid w:val="008370C6"/>
    <w:rsid w:val="00837198"/>
    <w:rsid w:val="008371C1"/>
    <w:rsid w:val="00837246"/>
    <w:rsid w:val="0083744D"/>
    <w:rsid w:val="00837493"/>
    <w:rsid w:val="0083753B"/>
    <w:rsid w:val="008375E3"/>
    <w:rsid w:val="008376FF"/>
    <w:rsid w:val="00837800"/>
    <w:rsid w:val="008379CC"/>
    <w:rsid w:val="008379F7"/>
    <w:rsid w:val="00837B6B"/>
    <w:rsid w:val="00837B95"/>
    <w:rsid w:val="00837D15"/>
    <w:rsid w:val="00837D53"/>
    <w:rsid w:val="00837F1D"/>
    <w:rsid w:val="00837F51"/>
    <w:rsid w:val="0084003C"/>
    <w:rsid w:val="00840351"/>
    <w:rsid w:val="0084064D"/>
    <w:rsid w:val="0084070B"/>
    <w:rsid w:val="0084070F"/>
    <w:rsid w:val="00840887"/>
    <w:rsid w:val="00840954"/>
    <w:rsid w:val="00840A37"/>
    <w:rsid w:val="00840A7A"/>
    <w:rsid w:val="00840D7E"/>
    <w:rsid w:val="00840DC4"/>
    <w:rsid w:val="00840EA4"/>
    <w:rsid w:val="00840EBB"/>
    <w:rsid w:val="00840F11"/>
    <w:rsid w:val="00840F6C"/>
    <w:rsid w:val="00841070"/>
    <w:rsid w:val="00841137"/>
    <w:rsid w:val="008414EC"/>
    <w:rsid w:val="00841509"/>
    <w:rsid w:val="00841521"/>
    <w:rsid w:val="0084166B"/>
    <w:rsid w:val="00841A20"/>
    <w:rsid w:val="00841D29"/>
    <w:rsid w:val="00841F4E"/>
    <w:rsid w:val="0084215F"/>
    <w:rsid w:val="0084223B"/>
    <w:rsid w:val="00842362"/>
    <w:rsid w:val="0084239E"/>
    <w:rsid w:val="00842492"/>
    <w:rsid w:val="0084250D"/>
    <w:rsid w:val="00842646"/>
    <w:rsid w:val="00842661"/>
    <w:rsid w:val="00842A23"/>
    <w:rsid w:val="00842A98"/>
    <w:rsid w:val="00842B19"/>
    <w:rsid w:val="00842C2E"/>
    <w:rsid w:val="00842CB3"/>
    <w:rsid w:val="00842D3F"/>
    <w:rsid w:val="00842F36"/>
    <w:rsid w:val="00842FAD"/>
    <w:rsid w:val="00843263"/>
    <w:rsid w:val="0084339B"/>
    <w:rsid w:val="0084356D"/>
    <w:rsid w:val="0084357F"/>
    <w:rsid w:val="008436BF"/>
    <w:rsid w:val="00843719"/>
    <w:rsid w:val="00843991"/>
    <w:rsid w:val="008439A9"/>
    <w:rsid w:val="00843AE0"/>
    <w:rsid w:val="00843BAF"/>
    <w:rsid w:val="00843BCD"/>
    <w:rsid w:val="00843BD8"/>
    <w:rsid w:val="00844022"/>
    <w:rsid w:val="008441C0"/>
    <w:rsid w:val="0084432C"/>
    <w:rsid w:val="00844367"/>
    <w:rsid w:val="008443E0"/>
    <w:rsid w:val="008443EC"/>
    <w:rsid w:val="00844534"/>
    <w:rsid w:val="0084461F"/>
    <w:rsid w:val="008448FB"/>
    <w:rsid w:val="00844953"/>
    <w:rsid w:val="00844B29"/>
    <w:rsid w:val="00844BFF"/>
    <w:rsid w:val="00844CD1"/>
    <w:rsid w:val="00844E2C"/>
    <w:rsid w:val="00844E75"/>
    <w:rsid w:val="00845007"/>
    <w:rsid w:val="0084521F"/>
    <w:rsid w:val="00845254"/>
    <w:rsid w:val="008452CF"/>
    <w:rsid w:val="00845414"/>
    <w:rsid w:val="00845428"/>
    <w:rsid w:val="0084544E"/>
    <w:rsid w:val="00845487"/>
    <w:rsid w:val="008455BA"/>
    <w:rsid w:val="0084590A"/>
    <w:rsid w:val="00845940"/>
    <w:rsid w:val="008459FB"/>
    <w:rsid w:val="00845AB5"/>
    <w:rsid w:val="00845B13"/>
    <w:rsid w:val="00845B5B"/>
    <w:rsid w:val="00845B99"/>
    <w:rsid w:val="00845CAF"/>
    <w:rsid w:val="00845DC0"/>
    <w:rsid w:val="00845F18"/>
    <w:rsid w:val="00845F57"/>
    <w:rsid w:val="00845F8F"/>
    <w:rsid w:val="00846042"/>
    <w:rsid w:val="008461DD"/>
    <w:rsid w:val="00846200"/>
    <w:rsid w:val="008462AB"/>
    <w:rsid w:val="00846323"/>
    <w:rsid w:val="0084637E"/>
    <w:rsid w:val="008465A0"/>
    <w:rsid w:val="00846753"/>
    <w:rsid w:val="008468E3"/>
    <w:rsid w:val="0084695E"/>
    <w:rsid w:val="00846C86"/>
    <w:rsid w:val="00846CC8"/>
    <w:rsid w:val="00846F34"/>
    <w:rsid w:val="00846F6F"/>
    <w:rsid w:val="00847094"/>
    <w:rsid w:val="0084716A"/>
    <w:rsid w:val="008474E7"/>
    <w:rsid w:val="00847597"/>
    <w:rsid w:val="008475B0"/>
    <w:rsid w:val="008475E3"/>
    <w:rsid w:val="0084779C"/>
    <w:rsid w:val="0084794E"/>
    <w:rsid w:val="00847974"/>
    <w:rsid w:val="00847984"/>
    <w:rsid w:val="00847B96"/>
    <w:rsid w:val="00847EB7"/>
    <w:rsid w:val="00847F28"/>
    <w:rsid w:val="00847F73"/>
    <w:rsid w:val="00850097"/>
    <w:rsid w:val="00850160"/>
    <w:rsid w:val="008501C3"/>
    <w:rsid w:val="0085032A"/>
    <w:rsid w:val="00850358"/>
    <w:rsid w:val="008503AE"/>
    <w:rsid w:val="008503E5"/>
    <w:rsid w:val="008504B8"/>
    <w:rsid w:val="008505C4"/>
    <w:rsid w:val="008505D3"/>
    <w:rsid w:val="0085081C"/>
    <w:rsid w:val="00850963"/>
    <w:rsid w:val="00850A2A"/>
    <w:rsid w:val="00850A55"/>
    <w:rsid w:val="00850B8D"/>
    <w:rsid w:val="00850BA0"/>
    <w:rsid w:val="00850BA1"/>
    <w:rsid w:val="00850C8B"/>
    <w:rsid w:val="00850E5B"/>
    <w:rsid w:val="00850EC9"/>
    <w:rsid w:val="00851523"/>
    <w:rsid w:val="0085158F"/>
    <w:rsid w:val="008515A0"/>
    <w:rsid w:val="008515BB"/>
    <w:rsid w:val="00851621"/>
    <w:rsid w:val="008516B3"/>
    <w:rsid w:val="008516C1"/>
    <w:rsid w:val="008517AB"/>
    <w:rsid w:val="008517E8"/>
    <w:rsid w:val="0085187C"/>
    <w:rsid w:val="00851B95"/>
    <w:rsid w:val="00851B9F"/>
    <w:rsid w:val="00851D0B"/>
    <w:rsid w:val="00851D51"/>
    <w:rsid w:val="00851F94"/>
    <w:rsid w:val="00852345"/>
    <w:rsid w:val="00852524"/>
    <w:rsid w:val="0085256F"/>
    <w:rsid w:val="0085281E"/>
    <w:rsid w:val="0085283B"/>
    <w:rsid w:val="00852AE6"/>
    <w:rsid w:val="00852B1C"/>
    <w:rsid w:val="00852FF7"/>
    <w:rsid w:val="00853097"/>
    <w:rsid w:val="0085326F"/>
    <w:rsid w:val="00853462"/>
    <w:rsid w:val="0085356A"/>
    <w:rsid w:val="00853762"/>
    <w:rsid w:val="00853A0C"/>
    <w:rsid w:val="00853A18"/>
    <w:rsid w:val="00853AE4"/>
    <w:rsid w:val="00853B4A"/>
    <w:rsid w:val="00853EEE"/>
    <w:rsid w:val="00853FDE"/>
    <w:rsid w:val="008540AE"/>
    <w:rsid w:val="008540C6"/>
    <w:rsid w:val="00854343"/>
    <w:rsid w:val="008543AF"/>
    <w:rsid w:val="00854553"/>
    <w:rsid w:val="00854701"/>
    <w:rsid w:val="0085488D"/>
    <w:rsid w:val="0085499A"/>
    <w:rsid w:val="00854B27"/>
    <w:rsid w:val="00854F01"/>
    <w:rsid w:val="00854FAA"/>
    <w:rsid w:val="00855165"/>
    <w:rsid w:val="00855286"/>
    <w:rsid w:val="0085538D"/>
    <w:rsid w:val="008553BB"/>
    <w:rsid w:val="008554C5"/>
    <w:rsid w:val="008554CB"/>
    <w:rsid w:val="008555B7"/>
    <w:rsid w:val="008555D4"/>
    <w:rsid w:val="00855855"/>
    <w:rsid w:val="008558B4"/>
    <w:rsid w:val="0085595F"/>
    <w:rsid w:val="00855A05"/>
    <w:rsid w:val="00855D16"/>
    <w:rsid w:val="00855E9D"/>
    <w:rsid w:val="00855FC4"/>
    <w:rsid w:val="00855FF0"/>
    <w:rsid w:val="00856040"/>
    <w:rsid w:val="0085606E"/>
    <w:rsid w:val="00856158"/>
    <w:rsid w:val="00856326"/>
    <w:rsid w:val="0085639C"/>
    <w:rsid w:val="008564D2"/>
    <w:rsid w:val="0085684B"/>
    <w:rsid w:val="00856861"/>
    <w:rsid w:val="008568E9"/>
    <w:rsid w:val="00856939"/>
    <w:rsid w:val="00856987"/>
    <w:rsid w:val="00856C7D"/>
    <w:rsid w:val="00856D63"/>
    <w:rsid w:val="008570BC"/>
    <w:rsid w:val="008570E3"/>
    <w:rsid w:val="00857192"/>
    <w:rsid w:val="008573EE"/>
    <w:rsid w:val="008574B9"/>
    <w:rsid w:val="0085753D"/>
    <w:rsid w:val="008576B2"/>
    <w:rsid w:val="00857861"/>
    <w:rsid w:val="008578B6"/>
    <w:rsid w:val="00857BAD"/>
    <w:rsid w:val="00857CAD"/>
    <w:rsid w:val="00857F4B"/>
    <w:rsid w:val="0086000E"/>
    <w:rsid w:val="008600AD"/>
    <w:rsid w:val="0086037B"/>
    <w:rsid w:val="00860509"/>
    <w:rsid w:val="0086068E"/>
    <w:rsid w:val="00860A59"/>
    <w:rsid w:val="00860CD1"/>
    <w:rsid w:val="00860D48"/>
    <w:rsid w:val="00860DD9"/>
    <w:rsid w:val="00860E2D"/>
    <w:rsid w:val="00860FE4"/>
    <w:rsid w:val="0086128F"/>
    <w:rsid w:val="00861345"/>
    <w:rsid w:val="0086143A"/>
    <w:rsid w:val="00861460"/>
    <w:rsid w:val="008614D2"/>
    <w:rsid w:val="00861507"/>
    <w:rsid w:val="00861549"/>
    <w:rsid w:val="008615E9"/>
    <w:rsid w:val="00861977"/>
    <w:rsid w:val="00861A3C"/>
    <w:rsid w:val="00861B0E"/>
    <w:rsid w:val="00861C76"/>
    <w:rsid w:val="00861CC1"/>
    <w:rsid w:val="00861CC8"/>
    <w:rsid w:val="00861DE1"/>
    <w:rsid w:val="008620AF"/>
    <w:rsid w:val="008622BC"/>
    <w:rsid w:val="00862430"/>
    <w:rsid w:val="00862502"/>
    <w:rsid w:val="00862588"/>
    <w:rsid w:val="00862621"/>
    <w:rsid w:val="0086269D"/>
    <w:rsid w:val="0086277B"/>
    <w:rsid w:val="008627F7"/>
    <w:rsid w:val="00862863"/>
    <w:rsid w:val="008628DE"/>
    <w:rsid w:val="008629FE"/>
    <w:rsid w:val="00862AAD"/>
    <w:rsid w:val="00862DDC"/>
    <w:rsid w:val="00862F10"/>
    <w:rsid w:val="008632B6"/>
    <w:rsid w:val="008632C4"/>
    <w:rsid w:val="008632F9"/>
    <w:rsid w:val="0086337A"/>
    <w:rsid w:val="008633E0"/>
    <w:rsid w:val="0086350C"/>
    <w:rsid w:val="0086373F"/>
    <w:rsid w:val="0086376D"/>
    <w:rsid w:val="00863878"/>
    <w:rsid w:val="008639DC"/>
    <w:rsid w:val="00863A76"/>
    <w:rsid w:val="00863AE9"/>
    <w:rsid w:val="00863C1F"/>
    <w:rsid w:val="00863C64"/>
    <w:rsid w:val="00863D1D"/>
    <w:rsid w:val="00863D46"/>
    <w:rsid w:val="0086405D"/>
    <w:rsid w:val="008641F5"/>
    <w:rsid w:val="00864255"/>
    <w:rsid w:val="008642EA"/>
    <w:rsid w:val="00864776"/>
    <w:rsid w:val="0086486F"/>
    <w:rsid w:val="008648A0"/>
    <w:rsid w:val="008648FF"/>
    <w:rsid w:val="0086492A"/>
    <w:rsid w:val="008649C9"/>
    <w:rsid w:val="008649D1"/>
    <w:rsid w:val="00864B3C"/>
    <w:rsid w:val="00864CB4"/>
    <w:rsid w:val="00864DC1"/>
    <w:rsid w:val="00865176"/>
    <w:rsid w:val="008651A1"/>
    <w:rsid w:val="008651F9"/>
    <w:rsid w:val="008652F2"/>
    <w:rsid w:val="008655FF"/>
    <w:rsid w:val="008657DA"/>
    <w:rsid w:val="00865887"/>
    <w:rsid w:val="008658C1"/>
    <w:rsid w:val="008658C2"/>
    <w:rsid w:val="00865903"/>
    <w:rsid w:val="008659A5"/>
    <w:rsid w:val="00865AD8"/>
    <w:rsid w:val="00865D80"/>
    <w:rsid w:val="008660AC"/>
    <w:rsid w:val="008660E2"/>
    <w:rsid w:val="008661AC"/>
    <w:rsid w:val="008663C7"/>
    <w:rsid w:val="00866406"/>
    <w:rsid w:val="00866462"/>
    <w:rsid w:val="00866478"/>
    <w:rsid w:val="008665E4"/>
    <w:rsid w:val="00866629"/>
    <w:rsid w:val="00866714"/>
    <w:rsid w:val="008668CF"/>
    <w:rsid w:val="00866B7E"/>
    <w:rsid w:val="00866BF4"/>
    <w:rsid w:val="00866C78"/>
    <w:rsid w:val="00866D35"/>
    <w:rsid w:val="00866D80"/>
    <w:rsid w:val="00866EBD"/>
    <w:rsid w:val="00867315"/>
    <w:rsid w:val="00867482"/>
    <w:rsid w:val="008674FA"/>
    <w:rsid w:val="0086778A"/>
    <w:rsid w:val="00867798"/>
    <w:rsid w:val="00867872"/>
    <w:rsid w:val="008679B5"/>
    <w:rsid w:val="008679F6"/>
    <w:rsid w:val="00867CEF"/>
    <w:rsid w:val="00867EC6"/>
    <w:rsid w:val="0087003C"/>
    <w:rsid w:val="00870063"/>
    <w:rsid w:val="008700B5"/>
    <w:rsid w:val="00870189"/>
    <w:rsid w:val="00870257"/>
    <w:rsid w:val="008702C1"/>
    <w:rsid w:val="0087034D"/>
    <w:rsid w:val="00870384"/>
    <w:rsid w:val="00870388"/>
    <w:rsid w:val="00870408"/>
    <w:rsid w:val="00870431"/>
    <w:rsid w:val="008704D6"/>
    <w:rsid w:val="00870592"/>
    <w:rsid w:val="008708E7"/>
    <w:rsid w:val="00870AF4"/>
    <w:rsid w:val="00870B64"/>
    <w:rsid w:val="00870D89"/>
    <w:rsid w:val="00870EBA"/>
    <w:rsid w:val="00870F8B"/>
    <w:rsid w:val="008710DA"/>
    <w:rsid w:val="008710E5"/>
    <w:rsid w:val="0087131B"/>
    <w:rsid w:val="008713E0"/>
    <w:rsid w:val="008713FE"/>
    <w:rsid w:val="00871547"/>
    <w:rsid w:val="00871990"/>
    <w:rsid w:val="00871AAA"/>
    <w:rsid w:val="00871BFB"/>
    <w:rsid w:val="00871C48"/>
    <w:rsid w:val="00871E4A"/>
    <w:rsid w:val="00871EE1"/>
    <w:rsid w:val="00871EFC"/>
    <w:rsid w:val="00872285"/>
    <w:rsid w:val="008724B3"/>
    <w:rsid w:val="00872521"/>
    <w:rsid w:val="008725AF"/>
    <w:rsid w:val="008725FB"/>
    <w:rsid w:val="00872600"/>
    <w:rsid w:val="00872912"/>
    <w:rsid w:val="00872915"/>
    <w:rsid w:val="00872A0A"/>
    <w:rsid w:val="00872BF7"/>
    <w:rsid w:val="00872C39"/>
    <w:rsid w:val="00872C78"/>
    <w:rsid w:val="00872E59"/>
    <w:rsid w:val="00872F16"/>
    <w:rsid w:val="008733DD"/>
    <w:rsid w:val="008734BB"/>
    <w:rsid w:val="00873545"/>
    <w:rsid w:val="00873646"/>
    <w:rsid w:val="00873725"/>
    <w:rsid w:val="00873738"/>
    <w:rsid w:val="008737B0"/>
    <w:rsid w:val="0087382F"/>
    <w:rsid w:val="008738BD"/>
    <w:rsid w:val="008739C1"/>
    <w:rsid w:val="00873A1C"/>
    <w:rsid w:val="00873A6B"/>
    <w:rsid w:val="00873C2E"/>
    <w:rsid w:val="00873C50"/>
    <w:rsid w:val="00873FB9"/>
    <w:rsid w:val="008740E9"/>
    <w:rsid w:val="0087412D"/>
    <w:rsid w:val="00874206"/>
    <w:rsid w:val="00874390"/>
    <w:rsid w:val="008744B2"/>
    <w:rsid w:val="0087486B"/>
    <w:rsid w:val="0087494D"/>
    <w:rsid w:val="00874AB5"/>
    <w:rsid w:val="00874B3A"/>
    <w:rsid w:val="00874D3E"/>
    <w:rsid w:val="00874EAF"/>
    <w:rsid w:val="00874F28"/>
    <w:rsid w:val="00874FA7"/>
    <w:rsid w:val="0087513F"/>
    <w:rsid w:val="00875281"/>
    <w:rsid w:val="00875285"/>
    <w:rsid w:val="00875286"/>
    <w:rsid w:val="00875516"/>
    <w:rsid w:val="00875587"/>
    <w:rsid w:val="008755A7"/>
    <w:rsid w:val="00875604"/>
    <w:rsid w:val="00875692"/>
    <w:rsid w:val="008756D6"/>
    <w:rsid w:val="00875766"/>
    <w:rsid w:val="00875772"/>
    <w:rsid w:val="008757C9"/>
    <w:rsid w:val="00875A51"/>
    <w:rsid w:val="00875A6F"/>
    <w:rsid w:val="00875A9C"/>
    <w:rsid w:val="00875AB8"/>
    <w:rsid w:val="00875B5F"/>
    <w:rsid w:val="00875BC6"/>
    <w:rsid w:val="00875DC2"/>
    <w:rsid w:val="00875FA5"/>
    <w:rsid w:val="008760F6"/>
    <w:rsid w:val="00876144"/>
    <w:rsid w:val="00876222"/>
    <w:rsid w:val="008763A3"/>
    <w:rsid w:val="008763DF"/>
    <w:rsid w:val="008763EF"/>
    <w:rsid w:val="00876523"/>
    <w:rsid w:val="00876612"/>
    <w:rsid w:val="0087663E"/>
    <w:rsid w:val="008767AB"/>
    <w:rsid w:val="00876B3B"/>
    <w:rsid w:val="00876CFA"/>
    <w:rsid w:val="00876D66"/>
    <w:rsid w:val="008770F5"/>
    <w:rsid w:val="00877103"/>
    <w:rsid w:val="00877157"/>
    <w:rsid w:val="00877261"/>
    <w:rsid w:val="00877364"/>
    <w:rsid w:val="00877373"/>
    <w:rsid w:val="0087744B"/>
    <w:rsid w:val="00877536"/>
    <w:rsid w:val="00877576"/>
    <w:rsid w:val="00877600"/>
    <w:rsid w:val="0087797F"/>
    <w:rsid w:val="008779F4"/>
    <w:rsid w:val="00877B91"/>
    <w:rsid w:val="00877CF3"/>
    <w:rsid w:val="00877D2B"/>
    <w:rsid w:val="00877D2F"/>
    <w:rsid w:val="00877D53"/>
    <w:rsid w:val="00877DB8"/>
    <w:rsid w:val="00877E90"/>
    <w:rsid w:val="00877F04"/>
    <w:rsid w:val="00877FB5"/>
    <w:rsid w:val="00880202"/>
    <w:rsid w:val="00880231"/>
    <w:rsid w:val="008803ED"/>
    <w:rsid w:val="0088068B"/>
    <w:rsid w:val="0088072C"/>
    <w:rsid w:val="00880846"/>
    <w:rsid w:val="00880BF0"/>
    <w:rsid w:val="00880C25"/>
    <w:rsid w:val="00880CB6"/>
    <w:rsid w:val="00880F73"/>
    <w:rsid w:val="00880FBD"/>
    <w:rsid w:val="00881155"/>
    <w:rsid w:val="008811FF"/>
    <w:rsid w:val="00881374"/>
    <w:rsid w:val="0088139E"/>
    <w:rsid w:val="0088151C"/>
    <w:rsid w:val="00881732"/>
    <w:rsid w:val="00881874"/>
    <w:rsid w:val="0088189E"/>
    <w:rsid w:val="008818C7"/>
    <w:rsid w:val="008818D2"/>
    <w:rsid w:val="00881B7D"/>
    <w:rsid w:val="00881BDB"/>
    <w:rsid w:val="00881BEE"/>
    <w:rsid w:val="00881BFD"/>
    <w:rsid w:val="00881C05"/>
    <w:rsid w:val="00881C99"/>
    <w:rsid w:val="00881CB2"/>
    <w:rsid w:val="00881D17"/>
    <w:rsid w:val="00881DF0"/>
    <w:rsid w:val="00881F09"/>
    <w:rsid w:val="00881F49"/>
    <w:rsid w:val="00881F8E"/>
    <w:rsid w:val="00882269"/>
    <w:rsid w:val="008822AE"/>
    <w:rsid w:val="008823EC"/>
    <w:rsid w:val="008825C4"/>
    <w:rsid w:val="00882748"/>
    <w:rsid w:val="008828E9"/>
    <w:rsid w:val="0088290F"/>
    <w:rsid w:val="00882A3A"/>
    <w:rsid w:val="00882CC6"/>
    <w:rsid w:val="00882E76"/>
    <w:rsid w:val="00882E86"/>
    <w:rsid w:val="00882FF1"/>
    <w:rsid w:val="00883339"/>
    <w:rsid w:val="00883359"/>
    <w:rsid w:val="008833BA"/>
    <w:rsid w:val="008838C9"/>
    <w:rsid w:val="008839C1"/>
    <w:rsid w:val="008839DD"/>
    <w:rsid w:val="00883A03"/>
    <w:rsid w:val="00883D56"/>
    <w:rsid w:val="00883DBE"/>
    <w:rsid w:val="00883DE8"/>
    <w:rsid w:val="00883E9D"/>
    <w:rsid w:val="00883F7A"/>
    <w:rsid w:val="00884005"/>
    <w:rsid w:val="00884084"/>
    <w:rsid w:val="008840E8"/>
    <w:rsid w:val="00884385"/>
    <w:rsid w:val="00884AE8"/>
    <w:rsid w:val="00884B9F"/>
    <w:rsid w:val="00884D1B"/>
    <w:rsid w:val="00884DCE"/>
    <w:rsid w:val="00884E01"/>
    <w:rsid w:val="00884F05"/>
    <w:rsid w:val="0088514A"/>
    <w:rsid w:val="008851BB"/>
    <w:rsid w:val="008852A5"/>
    <w:rsid w:val="008852ED"/>
    <w:rsid w:val="00885342"/>
    <w:rsid w:val="008853D5"/>
    <w:rsid w:val="00885404"/>
    <w:rsid w:val="00885488"/>
    <w:rsid w:val="00885516"/>
    <w:rsid w:val="00885518"/>
    <w:rsid w:val="0088552A"/>
    <w:rsid w:val="00885611"/>
    <w:rsid w:val="0088569E"/>
    <w:rsid w:val="0088572F"/>
    <w:rsid w:val="008857E8"/>
    <w:rsid w:val="008857E9"/>
    <w:rsid w:val="00885838"/>
    <w:rsid w:val="00885BA6"/>
    <w:rsid w:val="00885BAA"/>
    <w:rsid w:val="00885CB8"/>
    <w:rsid w:val="00885D14"/>
    <w:rsid w:val="00885EC0"/>
    <w:rsid w:val="00885EEA"/>
    <w:rsid w:val="00885FC4"/>
    <w:rsid w:val="00885FD2"/>
    <w:rsid w:val="0088609C"/>
    <w:rsid w:val="008860AD"/>
    <w:rsid w:val="008860C5"/>
    <w:rsid w:val="008861EF"/>
    <w:rsid w:val="0088628E"/>
    <w:rsid w:val="00886353"/>
    <w:rsid w:val="008863DE"/>
    <w:rsid w:val="0088641B"/>
    <w:rsid w:val="008864C2"/>
    <w:rsid w:val="0088651E"/>
    <w:rsid w:val="0088683C"/>
    <w:rsid w:val="008868C1"/>
    <w:rsid w:val="00886B01"/>
    <w:rsid w:val="00886B29"/>
    <w:rsid w:val="00886BB4"/>
    <w:rsid w:val="00886C2E"/>
    <w:rsid w:val="00886C70"/>
    <w:rsid w:val="00886EAD"/>
    <w:rsid w:val="00886EFB"/>
    <w:rsid w:val="00886F65"/>
    <w:rsid w:val="00887029"/>
    <w:rsid w:val="00887063"/>
    <w:rsid w:val="00887187"/>
    <w:rsid w:val="00887190"/>
    <w:rsid w:val="0088719E"/>
    <w:rsid w:val="0088745E"/>
    <w:rsid w:val="008875AD"/>
    <w:rsid w:val="008879EE"/>
    <w:rsid w:val="00887BC0"/>
    <w:rsid w:val="00887E05"/>
    <w:rsid w:val="00887E14"/>
    <w:rsid w:val="00887F23"/>
    <w:rsid w:val="00887FA3"/>
    <w:rsid w:val="008900F2"/>
    <w:rsid w:val="008901E0"/>
    <w:rsid w:val="00890358"/>
    <w:rsid w:val="00890446"/>
    <w:rsid w:val="00890452"/>
    <w:rsid w:val="008904CE"/>
    <w:rsid w:val="008904CF"/>
    <w:rsid w:val="008905EE"/>
    <w:rsid w:val="00890672"/>
    <w:rsid w:val="008907D0"/>
    <w:rsid w:val="008907E5"/>
    <w:rsid w:val="0089082A"/>
    <w:rsid w:val="008908C7"/>
    <w:rsid w:val="0089090D"/>
    <w:rsid w:val="0089092A"/>
    <w:rsid w:val="0089099D"/>
    <w:rsid w:val="008909E0"/>
    <w:rsid w:val="00890AB1"/>
    <w:rsid w:val="00890B61"/>
    <w:rsid w:val="00890B9A"/>
    <w:rsid w:val="00890C8E"/>
    <w:rsid w:val="0089101B"/>
    <w:rsid w:val="00891021"/>
    <w:rsid w:val="008910F4"/>
    <w:rsid w:val="00891203"/>
    <w:rsid w:val="008913A5"/>
    <w:rsid w:val="0089147D"/>
    <w:rsid w:val="00891535"/>
    <w:rsid w:val="00891551"/>
    <w:rsid w:val="008916C3"/>
    <w:rsid w:val="008916CE"/>
    <w:rsid w:val="008917D0"/>
    <w:rsid w:val="008917D3"/>
    <w:rsid w:val="00891875"/>
    <w:rsid w:val="008918AD"/>
    <w:rsid w:val="00891A84"/>
    <w:rsid w:val="00891EEF"/>
    <w:rsid w:val="00892104"/>
    <w:rsid w:val="008922CD"/>
    <w:rsid w:val="00892372"/>
    <w:rsid w:val="008923B0"/>
    <w:rsid w:val="008923FC"/>
    <w:rsid w:val="0089250C"/>
    <w:rsid w:val="00892528"/>
    <w:rsid w:val="00892743"/>
    <w:rsid w:val="00892746"/>
    <w:rsid w:val="00892758"/>
    <w:rsid w:val="008927E7"/>
    <w:rsid w:val="0089291E"/>
    <w:rsid w:val="00892993"/>
    <w:rsid w:val="00892A55"/>
    <w:rsid w:val="00892B73"/>
    <w:rsid w:val="00892BBD"/>
    <w:rsid w:val="00892D83"/>
    <w:rsid w:val="00892DFA"/>
    <w:rsid w:val="00892FB3"/>
    <w:rsid w:val="00893068"/>
    <w:rsid w:val="008931DD"/>
    <w:rsid w:val="008931F5"/>
    <w:rsid w:val="00893205"/>
    <w:rsid w:val="008932AB"/>
    <w:rsid w:val="00893350"/>
    <w:rsid w:val="00893399"/>
    <w:rsid w:val="00893649"/>
    <w:rsid w:val="0089364D"/>
    <w:rsid w:val="008938E6"/>
    <w:rsid w:val="00893B21"/>
    <w:rsid w:val="00893B33"/>
    <w:rsid w:val="00893D9A"/>
    <w:rsid w:val="00893DB5"/>
    <w:rsid w:val="00893E6F"/>
    <w:rsid w:val="00893FCC"/>
    <w:rsid w:val="0089413B"/>
    <w:rsid w:val="008941A5"/>
    <w:rsid w:val="00894287"/>
    <w:rsid w:val="0089438F"/>
    <w:rsid w:val="0089446F"/>
    <w:rsid w:val="0089447D"/>
    <w:rsid w:val="00894501"/>
    <w:rsid w:val="008945E1"/>
    <w:rsid w:val="00894616"/>
    <w:rsid w:val="008946A6"/>
    <w:rsid w:val="008946F4"/>
    <w:rsid w:val="00894743"/>
    <w:rsid w:val="0089480E"/>
    <w:rsid w:val="00894C2D"/>
    <w:rsid w:val="00894C43"/>
    <w:rsid w:val="00894DB6"/>
    <w:rsid w:val="00894EDF"/>
    <w:rsid w:val="0089502B"/>
    <w:rsid w:val="008950B7"/>
    <w:rsid w:val="008950EF"/>
    <w:rsid w:val="008952FA"/>
    <w:rsid w:val="00895491"/>
    <w:rsid w:val="00895504"/>
    <w:rsid w:val="00895591"/>
    <w:rsid w:val="00895636"/>
    <w:rsid w:val="00895649"/>
    <w:rsid w:val="008956CF"/>
    <w:rsid w:val="008957BE"/>
    <w:rsid w:val="008957E0"/>
    <w:rsid w:val="00895921"/>
    <w:rsid w:val="0089599D"/>
    <w:rsid w:val="00895B8D"/>
    <w:rsid w:val="00895C61"/>
    <w:rsid w:val="00895C76"/>
    <w:rsid w:val="00895FC5"/>
    <w:rsid w:val="008960CE"/>
    <w:rsid w:val="008961C6"/>
    <w:rsid w:val="0089635C"/>
    <w:rsid w:val="00896445"/>
    <w:rsid w:val="0089654E"/>
    <w:rsid w:val="00896743"/>
    <w:rsid w:val="008969F7"/>
    <w:rsid w:val="00896A5D"/>
    <w:rsid w:val="00896AD0"/>
    <w:rsid w:val="00896CD3"/>
    <w:rsid w:val="00896FF3"/>
    <w:rsid w:val="00897035"/>
    <w:rsid w:val="0089709C"/>
    <w:rsid w:val="008975C5"/>
    <w:rsid w:val="00897627"/>
    <w:rsid w:val="00897633"/>
    <w:rsid w:val="0089769A"/>
    <w:rsid w:val="00897971"/>
    <w:rsid w:val="0089797C"/>
    <w:rsid w:val="00897986"/>
    <w:rsid w:val="00897999"/>
    <w:rsid w:val="00897A86"/>
    <w:rsid w:val="00897ABB"/>
    <w:rsid w:val="00897AE7"/>
    <w:rsid w:val="00897B54"/>
    <w:rsid w:val="00897BC5"/>
    <w:rsid w:val="00897C0D"/>
    <w:rsid w:val="00897D4F"/>
    <w:rsid w:val="00897E69"/>
    <w:rsid w:val="00897EB9"/>
    <w:rsid w:val="008A0174"/>
    <w:rsid w:val="008A02FF"/>
    <w:rsid w:val="008A03C1"/>
    <w:rsid w:val="008A04C4"/>
    <w:rsid w:val="008A0589"/>
    <w:rsid w:val="008A05E4"/>
    <w:rsid w:val="008A063A"/>
    <w:rsid w:val="008A0704"/>
    <w:rsid w:val="008A0973"/>
    <w:rsid w:val="008A09BA"/>
    <w:rsid w:val="008A0A15"/>
    <w:rsid w:val="008A0BA9"/>
    <w:rsid w:val="008A0BFC"/>
    <w:rsid w:val="008A0D99"/>
    <w:rsid w:val="008A1083"/>
    <w:rsid w:val="008A12DA"/>
    <w:rsid w:val="008A147B"/>
    <w:rsid w:val="008A1593"/>
    <w:rsid w:val="008A167A"/>
    <w:rsid w:val="008A17E3"/>
    <w:rsid w:val="008A1969"/>
    <w:rsid w:val="008A1B09"/>
    <w:rsid w:val="008A1BA4"/>
    <w:rsid w:val="008A1CF0"/>
    <w:rsid w:val="008A1D64"/>
    <w:rsid w:val="008A1DCE"/>
    <w:rsid w:val="008A1E3F"/>
    <w:rsid w:val="008A1F8C"/>
    <w:rsid w:val="008A1FAD"/>
    <w:rsid w:val="008A1FD6"/>
    <w:rsid w:val="008A206F"/>
    <w:rsid w:val="008A207C"/>
    <w:rsid w:val="008A2087"/>
    <w:rsid w:val="008A2118"/>
    <w:rsid w:val="008A2324"/>
    <w:rsid w:val="008A2347"/>
    <w:rsid w:val="008A23DF"/>
    <w:rsid w:val="008A2538"/>
    <w:rsid w:val="008A2641"/>
    <w:rsid w:val="008A278A"/>
    <w:rsid w:val="008A27B0"/>
    <w:rsid w:val="008A2C66"/>
    <w:rsid w:val="008A2CDC"/>
    <w:rsid w:val="008A2D9C"/>
    <w:rsid w:val="008A2ECF"/>
    <w:rsid w:val="008A32D1"/>
    <w:rsid w:val="008A33B2"/>
    <w:rsid w:val="008A352C"/>
    <w:rsid w:val="008A3653"/>
    <w:rsid w:val="008A36DE"/>
    <w:rsid w:val="008A385F"/>
    <w:rsid w:val="008A399C"/>
    <w:rsid w:val="008A3A45"/>
    <w:rsid w:val="008A3D29"/>
    <w:rsid w:val="008A3DAA"/>
    <w:rsid w:val="008A3DEF"/>
    <w:rsid w:val="008A3E9C"/>
    <w:rsid w:val="008A3F81"/>
    <w:rsid w:val="008A3F97"/>
    <w:rsid w:val="008A40A1"/>
    <w:rsid w:val="008A448A"/>
    <w:rsid w:val="008A4494"/>
    <w:rsid w:val="008A44FB"/>
    <w:rsid w:val="008A453A"/>
    <w:rsid w:val="008A45AA"/>
    <w:rsid w:val="008A4804"/>
    <w:rsid w:val="008A480A"/>
    <w:rsid w:val="008A48FF"/>
    <w:rsid w:val="008A4E58"/>
    <w:rsid w:val="008A4E9C"/>
    <w:rsid w:val="008A4F63"/>
    <w:rsid w:val="008A4F9E"/>
    <w:rsid w:val="008A502A"/>
    <w:rsid w:val="008A50D8"/>
    <w:rsid w:val="008A50E6"/>
    <w:rsid w:val="008A5227"/>
    <w:rsid w:val="008A5285"/>
    <w:rsid w:val="008A533E"/>
    <w:rsid w:val="008A5400"/>
    <w:rsid w:val="008A5477"/>
    <w:rsid w:val="008A54E9"/>
    <w:rsid w:val="008A55CA"/>
    <w:rsid w:val="008A5662"/>
    <w:rsid w:val="008A58C7"/>
    <w:rsid w:val="008A58CD"/>
    <w:rsid w:val="008A5950"/>
    <w:rsid w:val="008A5BFE"/>
    <w:rsid w:val="008A5D74"/>
    <w:rsid w:val="008A5D91"/>
    <w:rsid w:val="008A624B"/>
    <w:rsid w:val="008A646B"/>
    <w:rsid w:val="008A648C"/>
    <w:rsid w:val="008A6726"/>
    <w:rsid w:val="008A68C1"/>
    <w:rsid w:val="008A69F0"/>
    <w:rsid w:val="008A6BA2"/>
    <w:rsid w:val="008A6D93"/>
    <w:rsid w:val="008A6F53"/>
    <w:rsid w:val="008A6F82"/>
    <w:rsid w:val="008A6FFF"/>
    <w:rsid w:val="008A7327"/>
    <w:rsid w:val="008A75B4"/>
    <w:rsid w:val="008A78CB"/>
    <w:rsid w:val="008A79CC"/>
    <w:rsid w:val="008A7D45"/>
    <w:rsid w:val="008A7DB1"/>
    <w:rsid w:val="008A7E4B"/>
    <w:rsid w:val="008B00F7"/>
    <w:rsid w:val="008B014F"/>
    <w:rsid w:val="008B0445"/>
    <w:rsid w:val="008B075B"/>
    <w:rsid w:val="008B0815"/>
    <w:rsid w:val="008B0848"/>
    <w:rsid w:val="008B08B8"/>
    <w:rsid w:val="008B09CF"/>
    <w:rsid w:val="008B0B2C"/>
    <w:rsid w:val="008B0EE0"/>
    <w:rsid w:val="008B0F0A"/>
    <w:rsid w:val="008B0F7C"/>
    <w:rsid w:val="008B122B"/>
    <w:rsid w:val="008B12C3"/>
    <w:rsid w:val="008B13FF"/>
    <w:rsid w:val="008B1592"/>
    <w:rsid w:val="008B1793"/>
    <w:rsid w:val="008B17B4"/>
    <w:rsid w:val="008B18E1"/>
    <w:rsid w:val="008B1C3E"/>
    <w:rsid w:val="008B1C4A"/>
    <w:rsid w:val="008B21DB"/>
    <w:rsid w:val="008B21EB"/>
    <w:rsid w:val="008B2586"/>
    <w:rsid w:val="008B26C5"/>
    <w:rsid w:val="008B2702"/>
    <w:rsid w:val="008B2745"/>
    <w:rsid w:val="008B27D1"/>
    <w:rsid w:val="008B27DC"/>
    <w:rsid w:val="008B294A"/>
    <w:rsid w:val="008B296D"/>
    <w:rsid w:val="008B2C84"/>
    <w:rsid w:val="008B2D66"/>
    <w:rsid w:val="008B2E17"/>
    <w:rsid w:val="008B2E65"/>
    <w:rsid w:val="008B2FB6"/>
    <w:rsid w:val="008B2FFE"/>
    <w:rsid w:val="008B3220"/>
    <w:rsid w:val="008B3330"/>
    <w:rsid w:val="008B33C1"/>
    <w:rsid w:val="008B34B5"/>
    <w:rsid w:val="008B34E8"/>
    <w:rsid w:val="008B3597"/>
    <w:rsid w:val="008B35B2"/>
    <w:rsid w:val="008B3923"/>
    <w:rsid w:val="008B3B09"/>
    <w:rsid w:val="008B3BCD"/>
    <w:rsid w:val="008B3D0E"/>
    <w:rsid w:val="008B3E0D"/>
    <w:rsid w:val="008B3E7D"/>
    <w:rsid w:val="008B3FAC"/>
    <w:rsid w:val="008B3FD2"/>
    <w:rsid w:val="008B401B"/>
    <w:rsid w:val="008B40A2"/>
    <w:rsid w:val="008B40E8"/>
    <w:rsid w:val="008B4102"/>
    <w:rsid w:val="008B4249"/>
    <w:rsid w:val="008B425D"/>
    <w:rsid w:val="008B4299"/>
    <w:rsid w:val="008B438C"/>
    <w:rsid w:val="008B4442"/>
    <w:rsid w:val="008B446F"/>
    <w:rsid w:val="008B44E8"/>
    <w:rsid w:val="008B466E"/>
    <w:rsid w:val="008B4673"/>
    <w:rsid w:val="008B48AD"/>
    <w:rsid w:val="008B48C2"/>
    <w:rsid w:val="008B490A"/>
    <w:rsid w:val="008B49F6"/>
    <w:rsid w:val="008B4D4B"/>
    <w:rsid w:val="008B4D6D"/>
    <w:rsid w:val="008B4E4E"/>
    <w:rsid w:val="008B4F03"/>
    <w:rsid w:val="008B50C8"/>
    <w:rsid w:val="008B52C0"/>
    <w:rsid w:val="008B52FD"/>
    <w:rsid w:val="008B53E3"/>
    <w:rsid w:val="008B55DF"/>
    <w:rsid w:val="008B5620"/>
    <w:rsid w:val="008B5672"/>
    <w:rsid w:val="008B5785"/>
    <w:rsid w:val="008B583D"/>
    <w:rsid w:val="008B5872"/>
    <w:rsid w:val="008B58C0"/>
    <w:rsid w:val="008B595C"/>
    <w:rsid w:val="008B5AAD"/>
    <w:rsid w:val="008B5C18"/>
    <w:rsid w:val="008B5D32"/>
    <w:rsid w:val="008B5DBC"/>
    <w:rsid w:val="008B5ECE"/>
    <w:rsid w:val="008B5FB9"/>
    <w:rsid w:val="008B6084"/>
    <w:rsid w:val="008B60B4"/>
    <w:rsid w:val="008B610F"/>
    <w:rsid w:val="008B6159"/>
    <w:rsid w:val="008B625F"/>
    <w:rsid w:val="008B6464"/>
    <w:rsid w:val="008B65D9"/>
    <w:rsid w:val="008B6641"/>
    <w:rsid w:val="008B66D9"/>
    <w:rsid w:val="008B679D"/>
    <w:rsid w:val="008B6851"/>
    <w:rsid w:val="008B6B35"/>
    <w:rsid w:val="008B6BBC"/>
    <w:rsid w:val="008B6CBC"/>
    <w:rsid w:val="008B6D52"/>
    <w:rsid w:val="008B6F23"/>
    <w:rsid w:val="008B6F37"/>
    <w:rsid w:val="008B6FD4"/>
    <w:rsid w:val="008B7000"/>
    <w:rsid w:val="008B703F"/>
    <w:rsid w:val="008B7166"/>
    <w:rsid w:val="008B724C"/>
    <w:rsid w:val="008B731B"/>
    <w:rsid w:val="008B7507"/>
    <w:rsid w:val="008B7599"/>
    <w:rsid w:val="008B75F8"/>
    <w:rsid w:val="008B76C0"/>
    <w:rsid w:val="008B76D0"/>
    <w:rsid w:val="008B7760"/>
    <w:rsid w:val="008B78BB"/>
    <w:rsid w:val="008B7914"/>
    <w:rsid w:val="008B7A2D"/>
    <w:rsid w:val="008B7A9D"/>
    <w:rsid w:val="008B7C4C"/>
    <w:rsid w:val="008B7FA6"/>
    <w:rsid w:val="008B7FAB"/>
    <w:rsid w:val="008B7FD5"/>
    <w:rsid w:val="008C00D3"/>
    <w:rsid w:val="008C02BE"/>
    <w:rsid w:val="008C0536"/>
    <w:rsid w:val="008C0895"/>
    <w:rsid w:val="008C09D2"/>
    <w:rsid w:val="008C0B5B"/>
    <w:rsid w:val="008C0CC9"/>
    <w:rsid w:val="008C0CDE"/>
    <w:rsid w:val="008C0EB1"/>
    <w:rsid w:val="008C0FD0"/>
    <w:rsid w:val="008C106F"/>
    <w:rsid w:val="008C1380"/>
    <w:rsid w:val="008C143E"/>
    <w:rsid w:val="008C1468"/>
    <w:rsid w:val="008C1474"/>
    <w:rsid w:val="008C15F9"/>
    <w:rsid w:val="008C16BD"/>
    <w:rsid w:val="008C189B"/>
    <w:rsid w:val="008C18E1"/>
    <w:rsid w:val="008C198F"/>
    <w:rsid w:val="008C1B5F"/>
    <w:rsid w:val="008C1C58"/>
    <w:rsid w:val="008C1C87"/>
    <w:rsid w:val="008C1E5B"/>
    <w:rsid w:val="008C2020"/>
    <w:rsid w:val="008C206A"/>
    <w:rsid w:val="008C2180"/>
    <w:rsid w:val="008C23AE"/>
    <w:rsid w:val="008C25A0"/>
    <w:rsid w:val="008C297E"/>
    <w:rsid w:val="008C2D0E"/>
    <w:rsid w:val="008C2E60"/>
    <w:rsid w:val="008C2F3E"/>
    <w:rsid w:val="008C2F41"/>
    <w:rsid w:val="008C3093"/>
    <w:rsid w:val="008C3133"/>
    <w:rsid w:val="008C3387"/>
    <w:rsid w:val="008C34A5"/>
    <w:rsid w:val="008C3548"/>
    <w:rsid w:val="008C3595"/>
    <w:rsid w:val="008C3596"/>
    <w:rsid w:val="008C367C"/>
    <w:rsid w:val="008C36E2"/>
    <w:rsid w:val="008C3967"/>
    <w:rsid w:val="008C39DB"/>
    <w:rsid w:val="008C3A54"/>
    <w:rsid w:val="008C3CF4"/>
    <w:rsid w:val="008C3D20"/>
    <w:rsid w:val="008C3D7B"/>
    <w:rsid w:val="008C3E55"/>
    <w:rsid w:val="008C3FAA"/>
    <w:rsid w:val="008C408B"/>
    <w:rsid w:val="008C43B6"/>
    <w:rsid w:val="008C44B3"/>
    <w:rsid w:val="008C47A9"/>
    <w:rsid w:val="008C4B68"/>
    <w:rsid w:val="008C4B8D"/>
    <w:rsid w:val="008C4DBB"/>
    <w:rsid w:val="008C4DF8"/>
    <w:rsid w:val="008C4EBB"/>
    <w:rsid w:val="008C50EF"/>
    <w:rsid w:val="008C5182"/>
    <w:rsid w:val="008C5448"/>
    <w:rsid w:val="008C550E"/>
    <w:rsid w:val="008C563A"/>
    <w:rsid w:val="008C5682"/>
    <w:rsid w:val="008C56F6"/>
    <w:rsid w:val="008C5724"/>
    <w:rsid w:val="008C5731"/>
    <w:rsid w:val="008C588C"/>
    <w:rsid w:val="008C59A5"/>
    <w:rsid w:val="008C5AF8"/>
    <w:rsid w:val="008C5AFF"/>
    <w:rsid w:val="008C5C0E"/>
    <w:rsid w:val="008C5CE9"/>
    <w:rsid w:val="008C5D4E"/>
    <w:rsid w:val="008C5DE3"/>
    <w:rsid w:val="008C5E53"/>
    <w:rsid w:val="008C5E90"/>
    <w:rsid w:val="008C5F0C"/>
    <w:rsid w:val="008C5FD3"/>
    <w:rsid w:val="008C6180"/>
    <w:rsid w:val="008C628A"/>
    <w:rsid w:val="008C6461"/>
    <w:rsid w:val="008C64D3"/>
    <w:rsid w:val="008C692A"/>
    <w:rsid w:val="008C6A42"/>
    <w:rsid w:val="008C6A5A"/>
    <w:rsid w:val="008C6AC0"/>
    <w:rsid w:val="008C6EC2"/>
    <w:rsid w:val="008C7030"/>
    <w:rsid w:val="008C7077"/>
    <w:rsid w:val="008C70B9"/>
    <w:rsid w:val="008C714B"/>
    <w:rsid w:val="008C72C7"/>
    <w:rsid w:val="008C7460"/>
    <w:rsid w:val="008C74D4"/>
    <w:rsid w:val="008C74F9"/>
    <w:rsid w:val="008C7560"/>
    <w:rsid w:val="008C7624"/>
    <w:rsid w:val="008C764A"/>
    <w:rsid w:val="008C7656"/>
    <w:rsid w:val="008C7835"/>
    <w:rsid w:val="008C78EA"/>
    <w:rsid w:val="008C78F8"/>
    <w:rsid w:val="008C78FB"/>
    <w:rsid w:val="008C79D8"/>
    <w:rsid w:val="008C7A72"/>
    <w:rsid w:val="008C7B2D"/>
    <w:rsid w:val="008C7B32"/>
    <w:rsid w:val="008C7B37"/>
    <w:rsid w:val="008C7B92"/>
    <w:rsid w:val="008C7D30"/>
    <w:rsid w:val="008C7DD2"/>
    <w:rsid w:val="008C7E36"/>
    <w:rsid w:val="008C7F3C"/>
    <w:rsid w:val="008C7F8D"/>
    <w:rsid w:val="008C7FDD"/>
    <w:rsid w:val="008D0109"/>
    <w:rsid w:val="008D0334"/>
    <w:rsid w:val="008D042C"/>
    <w:rsid w:val="008D0520"/>
    <w:rsid w:val="008D06FB"/>
    <w:rsid w:val="008D09B3"/>
    <w:rsid w:val="008D09BB"/>
    <w:rsid w:val="008D09E4"/>
    <w:rsid w:val="008D0A10"/>
    <w:rsid w:val="008D0B07"/>
    <w:rsid w:val="008D0B59"/>
    <w:rsid w:val="008D0CC6"/>
    <w:rsid w:val="008D0ECC"/>
    <w:rsid w:val="008D0ED0"/>
    <w:rsid w:val="008D10BB"/>
    <w:rsid w:val="008D1290"/>
    <w:rsid w:val="008D1314"/>
    <w:rsid w:val="008D13BF"/>
    <w:rsid w:val="008D14B9"/>
    <w:rsid w:val="008D1529"/>
    <w:rsid w:val="008D163B"/>
    <w:rsid w:val="008D172F"/>
    <w:rsid w:val="008D19B1"/>
    <w:rsid w:val="008D1CED"/>
    <w:rsid w:val="008D1D82"/>
    <w:rsid w:val="008D1DF6"/>
    <w:rsid w:val="008D1EE7"/>
    <w:rsid w:val="008D1FE8"/>
    <w:rsid w:val="008D1FFE"/>
    <w:rsid w:val="008D20AF"/>
    <w:rsid w:val="008D2902"/>
    <w:rsid w:val="008D29C8"/>
    <w:rsid w:val="008D2A73"/>
    <w:rsid w:val="008D2B4F"/>
    <w:rsid w:val="008D2BCC"/>
    <w:rsid w:val="008D2BD1"/>
    <w:rsid w:val="008D2DBD"/>
    <w:rsid w:val="008D2E52"/>
    <w:rsid w:val="008D30F9"/>
    <w:rsid w:val="008D316A"/>
    <w:rsid w:val="008D31B3"/>
    <w:rsid w:val="008D33CC"/>
    <w:rsid w:val="008D34B3"/>
    <w:rsid w:val="008D3727"/>
    <w:rsid w:val="008D38EF"/>
    <w:rsid w:val="008D3D2F"/>
    <w:rsid w:val="008D3DBB"/>
    <w:rsid w:val="008D3E23"/>
    <w:rsid w:val="008D3FD4"/>
    <w:rsid w:val="008D4050"/>
    <w:rsid w:val="008D406D"/>
    <w:rsid w:val="008D4134"/>
    <w:rsid w:val="008D4158"/>
    <w:rsid w:val="008D42A0"/>
    <w:rsid w:val="008D44D3"/>
    <w:rsid w:val="008D45F6"/>
    <w:rsid w:val="008D4619"/>
    <w:rsid w:val="008D47B7"/>
    <w:rsid w:val="008D4937"/>
    <w:rsid w:val="008D4E2A"/>
    <w:rsid w:val="008D4F35"/>
    <w:rsid w:val="008D51A0"/>
    <w:rsid w:val="008D5321"/>
    <w:rsid w:val="008D5327"/>
    <w:rsid w:val="008D5342"/>
    <w:rsid w:val="008D5358"/>
    <w:rsid w:val="008D5450"/>
    <w:rsid w:val="008D5624"/>
    <w:rsid w:val="008D563E"/>
    <w:rsid w:val="008D5672"/>
    <w:rsid w:val="008D56DC"/>
    <w:rsid w:val="008D5776"/>
    <w:rsid w:val="008D587B"/>
    <w:rsid w:val="008D5972"/>
    <w:rsid w:val="008D5A13"/>
    <w:rsid w:val="008D5BED"/>
    <w:rsid w:val="008D5CEF"/>
    <w:rsid w:val="008D5D35"/>
    <w:rsid w:val="008D5D76"/>
    <w:rsid w:val="008D629C"/>
    <w:rsid w:val="008D652B"/>
    <w:rsid w:val="008D6552"/>
    <w:rsid w:val="008D6597"/>
    <w:rsid w:val="008D6665"/>
    <w:rsid w:val="008D6720"/>
    <w:rsid w:val="008D677D"/>
    <w:rsid w:val="008D6791"/>
    <w:rsid w:val="008D67A0"/>
    <w:rsid w:val="008D67F6"/>
    <w:rsid w:val="008D68FE"/>
    <w:rsid w:val="008D6942"/>
    <w:rsid w:val="008D6952"/>
    <w:rsid w:val="008D69B1"/>
    <w:rsid w:val="008D6B2E"/>
    <w:rsid w:val="008D6BC8"/>
    <w:rsid w:val="008D6DB1"/>
    <w:rsid w:val="008D6F20"/>
    <w:rsid w:val="008D7027"/>
    <w:rsid w:val="008D707C"/>
    <w:rsid w:val="008D720C"/>
    <w:rsid w:val="008D72CB"/>
    <w:rsid w:val="008D74B1"/>
    <w:rsid w:val="008D74F0"/>
    <w:rsid w:val="008D77AF"/>
    <w:rsid w:val="008D796C"/>
    <w:rsid w:val="008D79B1"/>
    <w:rsid w:val="008D7A45"/>
    <w:rsid w:val="008D7B8F"/>
    <w:rsid w:val="008D7BB2"/>
    <w:rsid w:val="008D7DE5"/>
    <w:rsid w:val="008D7E87"/>
    <w:rsid w:val="008E0047"/>
    <w:rsid w:val="008E0049"/>
    <w:rsid w:val="008E0082"/>
    <w:rsid w:val="008E009A"/>
    <w:rsid w:val="008E0129"/>
    <w:rsid w:val="008E0137"/>
    <w:rsid w:val="008E0173"/>
    <w:rsid w:val="008E02B5"/>
    <w:rsid w:val="008E04BB"/>
    <w:rsid w:val="008E054B"/>
    <w:rsid w:val="008E0570"/>
    <w:rsid w:val="008E0988"/>
    <w:rsid w:val="008E0AEE"/>
    <w:rsid w:val="008E0BA8"/>
    <w:rsid w:val="008E0C98"/>
    <w:rsid w:val="008E0D21"/>
    <w:rsid w:val="008E0EB0"/>
    <w:rsid w:val="008E0EBD"/>
    <w:rsid w:val="008E0EE5"/>
    <w:rsid w:val="008E0F11"/>
    <w:rsid w:val="008E1099"/>
    <w:rsid w:val="008E15B5"/>
    <w:rsid w:val="008E1647"/>
    <w:rsid w:val="008E19E6"/>
    <w:rsid w:val="008E1AA1"/>
    <w:rsid w:val="008E1B66"/>
    <w:rsid w:val="008E1C34"/>
    <w:rsid w:val="008E1DA0"/>
    <w:rsid w:val="008E1EC2"/>
    <w:rsid w:val="008E2049"/>
    <w:rsid w:val="008E2069"/>
    <w:rsid w:val="008E223B"/>
    <w:rsid w:val="008E22C3"/>
    <w:rsid w:val="008E232D"/>
    <w:rsid w:val="008E2555"/>
    <w:rsid w:val="008E26B6"/>
    <w:rsid w:val="008E2771"/>
    <w:rsid w:val="008E2793"/>
    <w:rsid w:val="008E2B8B"/>
    <w:rsid w:val="008E2BA0"/>
    <w:rsid w:val="008E2C7C"/>
    <w:rsid w:val="008E2D2C"/>
    <w:rsid w:val="008E2EB7"/>
    <w:rsid w:val="008E2FAA"/>
    <w:rsid w:val="008E30A0"/>
    <w:rsid w:val="008E3154"/>
    <w:rsid w:val="008E31BC"/>
    <w:rsid w:val="008E326C"/>
    <w:rsid w:val="008E3354"/>
    <w:rsid w:val="008E3529"/>
    <w:rsid w:val="008E354E"/>
    <w:rsid w:val="008E3654"/>
    <w:rsid w:val="008E37C6"/>
    <w:rsid w:val="008E3878"/>
    <w:rsid w:val="008E39B3"/>
    <w:rsid w:val="008E3B35"/>
    <w:rsid w:val="008E3B42"/>
    <w:rsid w:val="008E3C9F"/>
    <w:rsid w:val="008E3D06"/>
    <w:rsid w:val="008E407B"/>
    <w:rsid w:val="008E4256"/>
    <w:rsid w:val="008E4373"/>
    <w:rsid w:val="008E440B"/>
    <w:rsid w:val="008E46FE"/>
    <w:rsid w:val="008E4859"/>
    <w:rsid w:val="008E48D3"/>
    <w:rsid w:val="008E4ABB"/>
    <w:rsid w:val="008E4B32"/>
    <w:rsid w:val="008E4BBD"/>
    <w:rsid w:val="008E4CF0"/>
    <w:rsid w:val="008E4D3D"/>
    <w:rsid w:val="008E4D56"/>
    <w:rsid w:val="008E4FE4"/>
    <w:rsid w:val="008E50D4"/>
    <w:rsid w:val="008E53A6"/>
    <w:rsid w:val="008E53EC"/>
    <w:rsid w:val="008E5614"/>
    <w:rsid w:val="008E5A0D"/>
    <w:rsid w:val="008E5B88"/>
    <w:rsid w:val="008E5BC6"/>
    <w:rsid w:val="008E5BF0"/>
    <w:rsid w:val="008E5CEA"/>
    <w:rsid w:val="008E5D43"/>
    <w:rsid w:val="008E608E"/>
    <w:rsid w:val="008E6243"/>
    <w:rsid w:val="008E62D4"/>
    <w:rsid w:val="008E637F"/>
    <w:rsid w:val="008E63BA"/>
    <w:rsid w:val="008E63F0"/>
    <w:rsid w:val="008E641C"/>
    <w:rsid w:val="008E650C"/>
    <w:rsid w:val="008E653C"/>
    <w:rsid w:val="008E65AC"/>
    <w:rsid w:val="008E6651"/>
    <w:rsid w:val="008E67B3"/>
    <w:rsid w:val="008E67F8"/>
    <w:rsid w:val="008E685B"/>
    <w:rsid w:val="008E6A35"/>
    <w:rsid w:val="008E6AF7"/>
    <w:rsid w:val="008E6B82"/>
    <w:rsid w:val="008E6BD5"/>
    <w:rsid w:val="008E6CDE"/>
    <w:rsid w:val="008E6D20"/>
    <w:rsid w:val="008E6D8A"/>
    <w:rsid w:val="008E6EF4"/>
    <w:rsid w:val="008E7059"/>
    <w:rsid w:val="008E71FD"/>
    <w:rsid w:val="008E7280"/>
    <w:rsid w:val="008E73A4"/>
    <w:rsid w:val="008E73DE"/>
    <w:rsid w:val="008E741C"/>
    <w:rsid w:val="008E744D"/>
    <w:rsid w:val="008E7846"/>
    <w:rsid w:val="008E7CA3"/>
    <w:rsid w:val="008E7CC2"/>
    <w:rsid w:val="008E7CF0"/>
    <w:rsid w:val="008E7D4B"/>
    <w:rsid w:val="008E7DCA"/>
    <w:rsid w:val="008E7DFF"/>
    <w:rsid w:val="008E7EE0"/>
    <w:rsid w:val="008E7FBE"/>
    <w:rsid w:val="008F00F4"/>
    <w:rsid w:val="008F010D"/>
    <w:rsid w:val="008F0147"/>
    <w:rsid w:val="008F024A"/>
    <w:rsid w:val="008F0361"/>
    <w:rsid w:val="008F042D"/>
    <w:rsid w:val="008F0479"/>
    <w:rsid w:val="008F04E7"/>
    <w:rsid w:val="008F0A00"/>
    <w:rsid w:val="008F0D3D"/>
    <w:rsid w:val="008F0E9F"/>
    <w:rsid w:val="008F0FAA"/>
    <w:rsid w:val="008F10B6"/>
    <w:rsid w:val="008F111E"/>
    <w:rsid w:val="008F11C9"/>
    <w:rsid w:val="008F1295"/>
    <w:rsid w:val="008F12D9"/>
    <w:rsid w:val="008F12F0"/>
    <w:rsid w:val="008F130B"/>
    <w:rsid w:val="008F1372"/>
    <w:rsid w:val="008F148E"/>
    <w:rsid w:val="008F1691"/>
    <w:rsid w:val="008F174A"/>
    <w:rsid w:val="008F188F"/>
    <w:rsid w:val="008F18EC"/>
    <w:rsid w:val="008F1999"/>
    <w:rsid w:val="008F19D2"/>
    <w:rsid w:val="008F1A3D"/>
    <w:rsid w:val="008F1AAF"/>
    <w:rsid w:val="008F1AE3"/>
    <w:rsid w:val="008F1E72"/>
    <w:rsid w:val="008F1EFE"/>
    <w:rsid w:val="008F1F91"/>
    <w:rsid w:val="008F1F9C"/>
    <w:rsid w:val="008F2064"/>
    <w:rsid w:val="008F20A1"/>
    <w:rsid w:val="008F2128"/>
    <w:rsid w:val="008F22E8"/>
    <w:rsid w:val="008F23BB"/>
    <w:rsid w:val="008F242B"/>
    <w:rsid w:val="008F24D1"/>
    <w:rsid w:val="008F2586"/>
    <w:rsid w:val="008F25D7"/>
    <w:rsid w:val="008F2632"/>
    <w:rsid w:val="008F267E"/>
    <w:rsid w:val="008F2859"/>
    <w:rsid w:val="008F28E4"/>
    <w:rsid w:val="008F28EE"/>
    <w:rsid w:val="008F2979"/>
    <w:rsid w:val="008F2BBC"/>
    <w:rsid w:val="008F2C56"/>
    <w:rsid w:val="008F2D34"/>
    <w:rsid w:val="008F2EA3"/>
    <w:rsid w:val="008F2EC2"/>
    <w:rsid w:val="008F2EEC"/>
    <w:rsid w:val="008F30B9"/>
    <w:rsid w:val="008F30E2"/>
    <w:rsid w:val="008F3323"/>
    <w:rsid w:val="008F34B1"/>
    <w:rsid w:val="008F34B5"/>
    <w:rsid w:val="008F34D5"/>
    <w:rsid w:val="008F3537"/>
    <w:rsid w:val="008F3634"/>
    <w:rsid w:val="008F36D4"/>
    <w:rsid w:val="008F36D8"/>
    <w:rsid w:val="008F3769"/>
    <w:rsid w:val="008F3819"/>
    <w:rsid w:val="008F3834"/>
    <w:rsid w:val="008F3879"/>
    <w:rsid w:val="008F3880"/>
    <w:rsid w:val="008F38E1"/>
    <w:rsid w:val="008F38F3"/>
    <w:rsid w:val="008F3985"/>
    <w:rsid w:val="008F3A8D"/>
    <w:rsid w:val="008F3C96"/>
    <w:rsid w:val="008F3F7A"/>
    <w:rsid w:val="008F3F9D"/>
    <w:rsid w:val="008F4301"/>
    <w:rsid w:val="008F4302"/>
    <w:rsid w:val="008F4320"/>
    <w:rsid w:val="008F436E"/>
    <w:rsid w:val="008F43DF"/>
    <w:rsid w:val="008F43F8"/>
    <w:rsid w:val="008F47D8"/>
    <w:rsid w:val="008F499C"/>
    <w:rsid w:val="008F4B64"/>
    <w:rsid w:val="008F4BC7"/>
    <w:rsid w:val="008F4C6B"/>
    <w:rsid w:val="008F4CFC"/>
    <w:rsid w:val="008F4D28"/>
    <w:rsid w:val="008F4DEA"/>
    <w:rsid w:val="008F4E30"/>
    <w:rsid w:val="008F4F2F"/>
    <w:rsid w:val="008F5185"/>
    <w:rsid w:val="008F51A7"/>
    <w:rsid w:val="008F539C"/>
    <w:rsid w:val="008F5474"/>
    <w:rsid w:val="008F5583"/>
    <w:rsid w:val="008F5620"/>
    <w:rsid w:val="008F5721"/>
    <w:rsid w:val="008F5845"/>
    <w:rsid w:val="008F58AC"/>
    <w:rsid w:val="008F595E"/>
    <w:rsid w:val="008F5968"/>
    <w:rsid w:val="008F5ACD"/>
    <w:rsid w:val="008F5B20"/>
    <w:rsid w:val="008F5C13"/>
    <w:rsid w:val="008F5F2E"/>
    <w:rsid w:val="008F5F40"/>
    <w:rsid w:val="008F6102"/>
    <w:rsid w:val="008F6260"/>
    <w:rsid w:val="008F6296"/>
    <w:rsid w:val="008F6360"/>
    <w:rsid w:val="008F64A7"/>
    <w:rsid w:val="008F66FD"/>
    <w:rsid w:val="008F6724"/>
    <w:rsid w:val="008F6752"/>
    <w:rsid w:val="008F6756"/>
    <w:rsid w:val="008F682F"/>
    <w:rsid w:val="008F6876"/>
    <w:rsid w:val="008F69E5"/>
    <w:rsid w:val="008F69EE"/>
    <w:rsid w:val="008F6B90"/>
    <w:rsid w:val="008F6C73"/>
    <w:rsid w:val="008F6CA3"/>
    <w:rsid w:val="008F6CE6"/>
    <w:rsid w:val="008F6E6C"/>
    <w:rsid w:val="008F6F56"/>
    <w:rsid w:val="008F6F9B"/>
    <w:rsid w:val="008F6FA1"/>
    <w:rsid w:val="008F712C"/>
    <w:rsid w:val="008F7131"/>
    <w:rsid w:val="008F7241"/>
    <w:rsid w:val="008F734E"/>
    <w:rsid w:val="008F7535"/>
    <w:rsid w:val="008F7823"/>
    <w:rsid w:val="008F787C"/>
    <w:rsid w:val="008F7BCE"/>
    <w:rsid w:val="008F7CD9"/>
    <w:rsid w:val="008F7FEE"/>
    <w:rsid w:val="0090001E"/>
    <w:rsid w:val="009003ED"/>
    <w:rsid w:val="0090058C"/>
    <w:rsid w:val="009005F9"/>
    <w:rsid w:val="00900837"/>
    <w:rsid w:val="00900958"/>
    <w:rsid w:val="00900971"/>
    <w:rsid w:val="009009FF"/>
    <w:rsid w:val="00900ABF"/>
    <w:rsid w:val="00900AFC"/>
    <w:rsid w:val="00900B08"/>
    <w:rsid w:val="00900BA5"/>
    <w:rsid w:val="00900CD2"/>
    <w:rsid w:val="00900CDA"/>
    <w:rsid w:val="00900D37"/>
    <w:rsid w:val="00900DCC"/>
    <w:rsid w:val="00900E8D"/>
    <w:rsid w:val="00900F33"/>
    <w:rsid w:val="00900FF6"/>
    <w:rsid w:val="00901103"/>
    <w:rsid w:val="009011A5"/>
    <w:rsid w:val="009012E8"/>
    <w:rsid w:val="00901320"/>
    <w:rsid w:val="00901363"/>
    <w:rsid w:val="009013B0"/>
    <w:rsid w:val="009014D6"/>
    <w:rsid w:val="00901507"/>
    <w:rsid w:val="0090174F"/>
    <w:rsid w:val="009017D6"/>
    <w:rsid w:val="009018A6"/>
    <w:rsid w:val="0090198C"/>
    <w:rsid w:val="009019C6"/>
    <w:rsid w:val="009019D2"/>
    <w:rsid w:val="009019D5"/>
    <w:rsid w:val="00901A09"/>
    <w:rsid w:val="00901EFC"/>
    <w:rsid w:val="0090207D"/>
    <w:rsid w:val="009022CA"/>
    <w:rsid w:val="009022F6"/>
    <w:rsid w:val="00902366"/>
    <w:rsid w:val="00902370"/>
    <w:rsid w:val="00902534"/>
    <w:rsid w:val="009026E1"/>
    <w:rsid w:val="009026F4"/>
    <w:rsid w:val="0090276A"/>
    <w:rsid w:val="00902878"/>
    <w:rsid w:val="00902961"/>
    <w:rsid w:val="009029A4"/>
    <w:rsid w:val="00902BE6"/>
    <w:rsid w:val="00903036"/>
    <w:rsid w:val="009030B0"/>
    <w:rsid w:val="00903194"/>
    <w:rsid w:val="009031F5"/>
    <w:rsid w:val="0090330A"/>
    <w:rsid w:val="00903582"/>
    <w:rsid w:val="0090367C"/>
    <w:rsid w:val="009036DB"/>
    <w:rsid w:val="009036EE"/>
    <w:rsid w:val="0090385B"/>
    <w:rsid w:val="0090395E"/>
    <w:rsid w:val="00903BE7"/>
    <w:rsid w:val="00903C3B"/>
    <w:rsid w:val="00903DB8"/>
    <w:rsid w:val="009041DB"/>
    <w:rsid w:val="00904218"/>
    <w:rsid w:val="00904262"/>
    <w:rsid w:val="009042EB"/>
    <w:rsid w:val="00904354"/>
    <w:rsid w:val="00904418"/>
    <w:rsid w:val="00904647"/>
    <w:rsid w:val="00904885"/>
    <w:rsid w:val="00904C9F"/>
    <w:rsid w:val="00904CCB"/>
    <w:rsid w:val="00904E76"/>
    <w:rsid w:val="00905018"/>
    <w:rsid w:val="00905282"/>
    <w:rsid w:val="009054E2"/>
    <w:rsid w:val="0090559E"/>
    <w:rsid w:val="00905726"/>
    <w:rsid w:val="00905807"/>
    <w:rsid w:val="009058C9"/>
    <w:rsid w:val="00905ADA"/>
    <w:rsid w:val="00905B39"/>
    <w:rsid w:val="00905BF8"/>
    <w:rsid w:val="00905C37"/>
    <w:rsid w:val="00905CE7"/>
    <w:rsid w:val="00905ED7"/>
    <w:rsid w:val="00905FA9"/>
    <w:rsid w:val="00906199"/>
    <w:rsid w:val="0090619B"/>
    <w:rsid w:val="00906229"/>
    <w:rsid w:val="00906264"/>
    <w:rsid w:val="0090664D"/>
    <w:rsid w:val="0090679D"/>
    <w:rsid w:val="009067F3"/>
    <w:rsid w:val="009067FC"/>
    <w:rsid w:val="00906B5B"/>
    <w:rsid w:val="00906F05"/>
    <w:rsid w:val="009070A7"/>
    <w:rsid w:val="0090722B"/>
    <w:rsid w:val="009072E2"/>
    <w:rsid w:val="0090732A"/>
    <w:rsid w:val="00907411"/>
    <w:rsid w:val="0090758E"/>
    <w:rsid w:val="00907611"/>
    <w:rsid w:val="0090761A"/>
    <w:rsid w:val="0090776E"/>
    <w:rsid w:val="009077C2"/>
    <w:rsid w:val="00907962"/>
    <w:rsid w:val="00907977"/>
    <w:rsid w:val="00907D79"/>
    <w:rsid w:val="00907DC5"/>
    <w:rsid w:val="00910098"/>
    <w:rsid w:val="009101DF"/>
    <w:rsid w:val="00910235"/>
    <w:rsid w:val="00910396"/>
    <w:rsid w:val="00910745"/>
    <w:rsid w:val="009107F3"/>
    <w:rsid w:val="00910951"/>
    <w:rsid w:val="00910971"/>
    <w:rsid w:val="00910AD5"/>
    <w:rsid w:val="00910C22"/>
    <w:rsid w:val="00910D66"/>
    <w:rsid w:val="00910E12"/>
    <w:rsid w:val="00910FA2"/>
    <w:rsid w:val="00910FB1"/>
    <w:rsid w:val="00911105"/>
    <w:rsid w:val="00911462"/>
    <w:rsid w:val="00911869"/>
    <w:rsid w:val="00911921"/>
    <w:rsid w:val="00911988"/>
    <w:rsid w:val="009119B7"/>
    <w:rsid w:val="009119CA"/>
    <w:rsid w:val="00911A76"/>
    <w:rsid w:val="00911BCC"/>
    <w:rsid w:val="00911C02"/>
    <w:rsid w:val="00911D26"/>
    <w:rsid w:val="00911DAB"/>
    <w:rsid w:val="00911EA2"/>
    <w:rsid w:val="00912060"/>
    <w:rsid w:val="009120D2"/>
    <w:rsid w:val="0091213E"/>
    <w:rsid w:val="0091219B"/>
    <w:rsid w:val="009122A0"/>
    <w:rsid w:val="009124B6"/>
    <w:rsid w:val="0091260D"/>
    <w:rsid w:val="00912773"/>
    <w:rsid w:val="00912789"/>
    <w:rsid w:val="009128D1"/>
    <w:rsid w:val="00912AE5"/>
    <w:rsid w:val="00912B8B"/>
    <w:rsid w:val="00912C32"/>
    <w:rsid w:val="00912E77"/>
    <w:rsid w:val="00913150"/>
    <w:rsid w:val="00913216"/>
    <w:rsid w:val="00913284"/>
    <w:rsid w:val="00913791"/>
    <w:rsid w:val="009137F2"/>
    <w:rsid w:val="0091398F"/>
    <w:rsid w:val="00913B7F"/>
    <w:rsid w:val="00913D24"/>
    <w:rsid w:val="00914211"/>
    <w:rsid w:val="00914263"/>
    <w:rsid w:val="009142CB"/>
    <w:rsid w:val="009143BA"/>
    <w:rsid w:val="00914402"/>
    <w:rsid w:val="00914431"/>
    <w:rsid w:val="00914638"/>
    <w:rsid w:val="009147A7"/>
    <w:rsid w:val="009147CB"/>
    <w:rsid w:val="00914823"/>
    <w:rsid w:val="0091489F"/>
    <w:rsid w:val="009149A3"/>
    <w:rsid w:val="009149B2"/>
    <w:rsid w:val="00914A44"/>
    <w:rsid w:val="00914ACF"/>
    <w:rsid w:val="00914B9E"/>
    <w:rsid w:val="00914F1B"/>
    <w:rsid w:val="00915240"/>
    <w:rsid w:val="0091539B"/>
    <w:rsid w:val="00915529"/>
    <w:rsid w:val="009155D0"/>
    <w:rsid w:val="0091562A"/>
    <w:rsid w:val="009156DC"/>
    <w:rsid w:val="0091584D"/>
    <w:rsid w:val="009158F9"/>
    <w:rsid w:val="00915C0B"/>
    <w:rsid w:val="00915C25"/>
    <w:rsid w:val="00915FDC"/>
    <w:rsid w:val="00915FF3"/>
    <w:rsid w:val="009161EE"/>
    <w:rsid w:val="00916601"/>
    <w:rsid w:val="009166BC"/>
    <w:rsid w:val="0091671E"/>
    <w:rsid w:val="00916737"/>
    <w:rsid w:val="00916829"/>
    <w:rsid w:val="0091687A"/>
    <w:rsid w:val="00916903"/>
    <w:rsid w:val="00916916"/>
    <w:rsid w:val="00916A11"/>
    <w:rsid w:val="00916B46"/>
    <w:rsid w:val="00916B98"/>
    <w:rsid w:val="00916C1D"/>
    <w:rsid w:val="00916C48"/>
    <w:rsid w:val="00916D2D"/>
    <w:rsid w:val="00916EDE"/>
    <w:rsid w:val="00916F93"/>
    <w:rsid w:val="00917087"/>
    <w:rsid w:val="009170A5"/>
    <w:rsid w:val="0091710E"/>
    <w:rsid w:val="0091722B"/>
    <w:rsid w:val="009172EB"/>
    <w:rsid w:val="0091749A"/>
    <w:rsid w:val="00917697"/>
    <w:rsid w:val="00917698"/>
    <w:rsid w:val="0091775D"/>
    <w:rsid w:val="009177B2"/>
    <w:rsid w:val="00917A25"/>
    <w:rsid w:val="00917A5B"/>
    <w:rsid w:val="00917A74"/>
    <w:rsid w:val="00917AFE"/>
    <w:rsid w:val="00917B95"/>
    <w:rsid w:val="00917C88"/>
    <w:rsid w:val="00917D0D"/>
    <w:rsid w:val="00917D76"/>
    <w:rsid w:val="00917D83"/>
    <w:rsid w:val="00917F27"/>
    <w:rsid w:val="00917F79"/>
    <w:rsid w:val="009201D7"/>
    <w:rsid w:val="00920206"/>
    <w:rsid w:val="009203C7"/>
    <w:rsid w:val="009203D6"/>
    <w:rsid w:val="009203FC"/>
    <w:rsid w:val="009205AA"/>
    <w:rsid w:val="009206AE"/>
    <w:rsid w:val="0092097C"/>
    <w:rsid w:val="00920A8C"/>
    <w:rsid w:val="00920A8F"/>
    <w:rsid w:val="00920B23"/>
    <w:rsid w:val="00920D3B"/>
    <w:rsid w:val="00920E0B"/>
    <w:rsid w:val="00920E9C"/>
    <w:rsid w:val="00920EC5"/>
    <w:rsid w:val="00920F44"/>
    <w:rsid w:val="00920FE3"/>
    <w:rsid w:val="00921040"/>
    <w:rsid w:val="009211AF"/>
    <w:rsid w:val="00921423"/>
    <w:rsid w:val="00921485"/>
    <w:rsid w:val="00921573"/>
    <w:rsid w:val="009216BE"/>
    <w:rsid w:val="009216E7"/>
    <w:rsid w:val="009218A4"/>
    <w:rsid w:val="00921982"/>
    <w:rsid w:val="00921E67"/>
    <w:rsid w:val="00921F44"/>
    <w:rsid w:val="00921FBE"/>
    <w:rsid w:val="00922176"/>
    <w:rsid w:val="0092244F"/>
    <w:rsid w:val="009225AD"/>
    <w:rsid w:val="0092279F"/>
    <w:rsid w:val="0092282C"/>
    <w:rsid w:val="00922A55"/>
    <w:rsid w:val="00922AE4"/>
    <w:rsid w:val="00922BBA"/>
    <w:rsid w:val="00922CC5"/>
    <w:rsid w:val="00922EF5"/>
    <w:rsid w:val="00922FB2"/>
    <w:rsid w:val="0092304F"/>
    <w:rsid w:val="009230DB"/>
    <w:rsid w:val="009231BA"/>
    <w:rsid w:val="009231EB"/>
    <w:rsid w:val="009234E8"/>
    <w:rsid w:val="00923540"/>
    <w:rsid w:val="0092355F"/>
    <w:rsid w:val="00923736"/>
    <w:rsid w:val="00923908"/>
    <w:rsid w:val="00923B79"/>
    <w:rsid w:val="00923BAF"/>
    <w:rsid w:val="00923CAD"/>
    <w:rsid w:val="00923CCE"/>
    <w:rsid w:val="0092409F"/>
    <w:rsid w:val="009241BB"/>
    <w:rsid w:val="00924361"/>
    <w:rsid w:val="009243BE"/>
    <w:rsid w:val="009243D2"/>
    <w:rsid w:val="0092443C"/>
    <w:rsid w:val="00924504"/>
    <w:rsid w:val="00924732"/>
    <w:rsid w:val="0092478B"/>
    <w:rsid w:val="009249E6"/>
    <w:rsid w:val="00924CE9"/>
    <w:rsid w:val="00924ED3"/>
    <w:rsid w:val="00925177"/>
    <w:rsid w:val="00925541"/>
    <w:rsid w:val="00925558"/>
    <w:rsid w:val="009256D4"/>
    <w:rsid w:val="0092576A"/>
    <w:rsid w:val="0092576F"/>
    <w:rsid w:val="00925826"/>
    <w:rsid w:val="009259E6"/>
    <w:rsid w:val="00925CD2"/>
    <w:rsid w:val="00925D03"/>
    <w:rsid w:val="00925FDF"/>
    <w:rsid w:val="00926026"/>
    <w:rsid w:val="00926035"/>
    <w:rsid w:val="009260E0"/>
    <w:rsid w:val="009261AA"/>
    <w:rsid w:val="00926284"/>
    <w:rsid w:val="0092637F"/>
    <w:rsid w:val="009263B3"/>
    <w:rsid w:val="009263B4"/>
    <w:rsid w:val="00926456"/>
    <w:rsid w:val="009264A3"/>
    <w:rsid w:val="009265D6"/>
    <w:rsid w:val="00926648"/>
    <w:rsid w:val="009266C4"/>
    <w:rsid w:val="009267FF"/>
    <w:rsid w:val="00926847"/>
    <w:rsid w:val="00926888"/>
    <w:rsid w:val="00926898"/>
    <w:rsid w:val="009268D6"/>
    <w:rsid w:val="00926A6D"/>
    <w:rsid w:val="00926B2C"/>
    <w:rsid w:val="00926B4D"/>
    <w:rsid w:val="00926CC5"/>
    <w:rsid w:val="00926E30"/>
    <w:rsid w:val="00926F26"/>
    <w:rsid w:val="0092701B"/>
    <w:rsid w:val="00927185"/>
    <w:rsid w:val="00927546"/>
    <w:rsid w:val="00927636"/>
    <w:rsid w:val="009278E5"/>
    <w:rsid w:val="00927A16"/>
    <w:rsid w:val="00927B35"/>
    <w:rsid w:val="00927D36"/>
    <w:rsid w:val="00927D4E"/>
    <w:rsid w:val="00927D58"/>
    <w:rsid w:val="00927DF9"/>
    <w:rsid w:val="00927F05"/>
    <w:rsid w:val="00927F1E"/>
    <w:rsid w:val="00927FFC"/>
    <w:rsid w:val="00930001"/>
    <w:rsid w:val="00930042"/>
    <w:rsid w:val="009300FB"/>
    <w:rsid w:val="00930473"/>
    <w:rsid w:val="009305FE"/>
    <w:rsid w:val="00930741"/>
    <w:rsid w:val="00930782"/>
    <w:rsid w:val="00930915"/>
    <w:rsid w:val="0093091D"/>
    <w:rsid w:val="00930921"/>
    <w:rsid w:val="00930991"/>
    <w:rsid w:val="009309B8"/>
    <w:rsid w:val="009309BD"/>
    <w:rsid w:val="00930A76"/>
    <w:rsid w:val="00930A98"/>
    <w:rsid w:val="00930B1D"/>
    <w:rsid w:val="00930BE4"/>
    <w:rsid w:val="00930BEB"/>
    <w:rsid w:val="00930C87"/>
    <w:rsid w:val="00930E3A"/>
    <w:rsid w:val="00930EDB"/>
    <w:rsid w:val="00930F38"/>
    <w:rsid w:val="00930FB4"/>
    <w:rsid w:val="009313A7"/>
    <w:rsid w:val="009313F8"/>
    <w:rsid w:val="00931482"/>
    <w:rsid w:val="009315ED"/>
    <w:rsid w:val="009317F4"/>
    <w:rsid w:val="00931820"/>
    <w:rsid w:val="0093187E"/>
    <w:rsid w:val="009318CE"/>
    <w:rsid w:val="00931A14"/>
    <w:rsid w:val="00931A7A"/>
    <w:rsid w:val="00931B63"/>
    <w:rsid w:val="00931BBC"/>
    <w:rsid w:val="00931BC0"/>
    <w:rsid w:val="00931D7C"/>
    <w:rsid w:val="0093200B"/>
    <w:rsid w:val="00932194"/>
    <w:rsid w:val="0093221F"/>
    <w:rsid w:val="009323FB"/>
    <w:rsid w:val="00932629"/>
    <w:rsid w:val="00932813"/>
    <w:rsid w:val="009328C8"/>
    <w:rsid w:val="00932ABB"/>
    <w:rsid w:val="00932B95"/>
    <w:rsid w:val="00932BE0"/>
    <w:rsid w:val="00932D51"/>
    <w:rsid w:val="00932DDE"/>
    <w:rsid w:val="00932E7F"/>
    <w:rsid w:val="00932EFD"/>
    <w:rsid w:val="00932F70"/>
    <w:rsid w:val="0093307C"/>
    <w:rsid w:val="009330FE"/>
    <w:rsid w:val="009331A9"/>
    <w:rsid w:val="00933278"/>
    <w:rsid w:val="0093379D"/>
    <w:rsid w:val="0093380B"/>
    <w:rsid w:val="009339A4"/>
    <w:rsid w:val="009339A5"/>
    <w:rsid w:val="00933A06"/>
    <w:rsid w:val="00933A7D"/>
    <w:rsid w:val="00933BC7"/>
    <w:rsid w:val="00933C38"/>
    <w:rsid w:val="00933C90"/>
    <w:rsid w:val="00933D69"/>
    <w:rsid w:val="00933DE8"/>
    <w:rsid w:val="00933E74"/>
    <w:rsid w:val="00933F17"/>
    <w:rsid w:val="00933F9B"/>
    <w:rsid w:val="00934018"/>
    <w:rsid w:val="009342AB"/>
    <w:rsid w:val="00934393"/>
    <w:rsid w:val="00934472"/>
    <w:rsid w:val="009344C3"/>
    <w:rsid w:val="0093454D"/>
    <w:rsid w:val="00934912"/>
    <w:rsid w:val="00934A72"/>
    <w:rsid w:val="00934C11"/>
    <w:rsid w:val="00934DE7"/>
    <w:rsid w:val="00934FAF"/>
    <w:rsid w:val="0093542C"/>
    <w:rsid w:val="0093565D"/>
    <w:rsid w:val="009356DC"/>
    <w:rsid w:val="0093572C"/>
    <w:rsid w:val="00935AEA"/>
    <w:rsid w:val="00935B33"/>
    <w:rsid w:val="00935B71"/>
    <w:rsid w:val="00935BCE"/>
    <w:rsid w:val="00935DD8"/>
    <w:rsid w:val="00935ED6"/>
    <w:rsid w:val="00935F10"/>
    <w:rsid w:val="00935F8D"/>
    <w:rsid w:val="00936093"/>
    <w:rsid w:val="00936128"/>
    <w:rsid w:val="009361BD"/>
    <w:rsid w:val="0093633E"/>
    <w:rsid w:val="0093643D"/>
    <w:rsid w:val="0093653F"/>
    <w:rsid w:val="00936623"/>
    <w:rsid w:val="00936C57"/>
    <w:rsid w:val="00936DA1"/>
    <w:rsid w:val="00936E70"/>
    <w:rsid w:val="00936F0E"/>
    <w:rsid w:val="0093700D"/>
    <w:rsid w:val="0093720B"/>
    <w:rsid w:val="0093737F"/>
    <w:rsid w:val="00937452"/>
    <w:rsid w:val="009374A0"/>
    <w:rsid w:val="00937651"/>
    <w:rsid w:val="009376B4"/>
    <w:rsid w:val="00937723"/>
    <w:rsid w:val="009377F6"/>
    <w:rsid w:val="0093780A"/>
    <w:rsid w:val="0093786D"/>
    <w:rsid w:val="00937886"/>
    <w:rsid w:val="0093789C"/>
    <w:rsid w:val="009379FB"/>
    <w:rsid w:val="00937ABA"/>
    <w:rsid w:val="00937ADD"/>
    <w:rsid w:val="00937BD7"/>
    <w:rsid w:val="00937DB4"/>
    <w:rsid w:val="00937ED5"/>
    <w:rsid w:val="0093CA1D"/>
    <w:rsid w:val="0094026A"/>
    <w:rsid w:val="009402D7"/>
    <w:rsid w:val="009404B9"/>
    <w:rsid w:val="00940526"/>
    <w:rsid w:val="009405EF"/>
    <w:rsid w:val="0094074F"/>
    <w:rsid w:val="009407C4"/>
    <w:rsid w:val="00940A71"/>
    <w:rsid w:val="00940BE5"/>
    <w:rsid w:val="00940C4D"/>
    <w:rsid w:val="00940D20"/>
    <w:rsid w:val="00940EF8"/>
    <w:rsid w:val="00940F1C"/>
    <w:rsid w:val="00941032"/>
    <w:rsid w:val="00941132"/>
    <w:rsid w:val="0094120C"/>
    <w:rsid w:val="00941299"/>
    <w:rsid w:val="009412AE"/>
    <w:rsid w:val="0094142D"/>
    <w:rsid w:val="009414D8"/>
    <w:rsid w:val="009414DF"/>
    <w:rsid w:val="009415B0"/>
    <w:rsid w:val="0094161A"/>
    <w:rsid w:val="009416BB"/>
    <w:rsid w:val="009418E6"/>
    <w:rsid w:val="00941B5B"/>
    <w:rsid w:val="00941C6D"/>
    <w:rsid w:val="00941CC1"/>
    <w:rsid w:val="00941D07"/>
    <w:rsid w:val="00941D78"/>
    <w:rsid w:val="00941E33"/>
    <w:rsid w:val="00941E38"/>
    <w:rsid w:val="00941F2A"/>
    <w:rsid w:val="00941FB9"/>
    <w:rsid w:val="009420DB"/>
    <w:rsid w:val="00942429"/>
    <w:rsid w:val="00942448"/>
    <w:rsid w:val="0094245F"/>
    <w:rsid w:val="009424B1"/>
    <w:rsid w:val="0094253C"/>
    <w:rsid w:val="0094265E"/>
    <w:rsid w:val="009426AB"/>
    <w:rsid w:val="00942872"/>
    <w:rsid w:val="00942904"/>
    <w:rsid w:val="00942C39"/>
    <w:rsid w:val="00942CEE"/>
    <w:rsid w:val="00942F28"/>
    <w:rsid w:val="00943223"/>
    <w:rsid w:val="00943297"/>
    <w:rsid w:val="00943333"/>
    <w:rsid w:val="0094333E"/>
    <w:rsid w:val="00943346"/>
    <w:rsid w:val="0094334A"/>
    <w:rsid w:val="0094342B"/>
    <w:rsid w:val="0094349F"/>
    <w:rsid w:val="009435F1"/>
    <w:rsid w:val="00943691"/>
    <w:rsid w:val="00943693"/>
    <w:rsid w:val="00943789"/>
    <w:rsid w:val="009437B4"/>
    <w:rsid w:val="009439BF"/>
    <w:rsid w:val="00943CAD"/>
    <w:rsid w:val="00943D75"/>
    <w:rsid w:val="00943E3D"/>
    <w:rsid w:val="00943E4F"/>
    <w:rsid w:val="00943F6B"/>
    <w:rsid w:val="00943FE7"/>
    <w:rsid w:val="00944041"/>
    <w:rsid w:val="009440B2"/>
    <w:rsid w:val="0094431B"/>
    <w:rsid w:val="00944400"/>
    <w:rsid w:val="00944575"/>
    <w:rsid w:val="009445B5"/>
    <w:rsid w:val="00944698"/>
    <w:rsid w:val="009447A0"/>
    <w:rsid w:val="00944AA5"/>
    <w:rsid w:val="00944B49"/>
    <w:rsid w:val="00944BA0"/>
    <w:rsid w:val="00944BCA"/>
    <w:rsid w:val="00944BF4"/>
    <w:rsid w:val="00944CDB"/>
    <w:rsid w:val="00944EF9"/>
    <w:rsid w:val="00944F1B"/>
    <w:rsid w:val="00944FDC"/>
    <w:rsid w:val="00945025"/>
    <w:rsid w:val="0094514C"/>
    <w:rsid w:val="00945165"/>
    <w:rsid w:val="00945193"/>
    <w:rsid w:val="009451E0"/>
    <w:rsid w:val="00945256"/>
    <w:rsid w:val="009452F9"/>
    <w:rsid w:val="009452FE"/>
    <w:rsid w:val="009453EC"/>
    <w:rsid w:val="0094573A"/>
    <w:rsid w:val="00945775"/>
    <w:rsid w:val="00945899"/>
    <w:rsid w:val="009458AD"/>
    <w:rsid w:val="00945A39"/>
    <w:rsid w:val="00945CE8"/>
    <w:rsid w:val="00945FD8"/>
    <w:rsid w:val="00945FE5"/>
    <w:rsid w:val="0094601B"/>
    <w:rsid w:val="009460BB"/>
    <w:rsid w:val="0094614F"/>
    <w:rsid w:val="00946227"/>
    <w:rsid w:val="009463CA"/>
    <w:rsid w:val="00946466"/>
    <w:rsid w:val="009464FF"/>
    <w:rsid w:val="00946604"/>
    <w:rsid w:val="0094661D"/>
    <w:rsid w:val="00946845"/>
    <w:rsid w:val="0094686D"/>
    <w:rsid w:val="0094691F"/>
    <w:rsid w:val="00946AEA"/>
    <w:rsid w:val="00946C2B"/>
    <w:rsid w:val="00946CA3"/>
    <w:rsid w:val="00946D01"/>
    <w:rsid w:val="00946D94"/>
    <w:rsid w:val="00946E3E"/>
    <w:rsid w:val="00947115"/>
    <w:rsid w:val="00947406"/>
    <w:rsid w:val="00947476"/>
    <w:rsid w:val="00947848"/>
    <w:rsid w:val="00947A51"/>
    <w:rsid w:val="00947BA4"/>
    <w:rsid w:val="00950248"/>
    <w:rsid w:val="009502D1"/>
    <w:rsid w:val="009503A1"/>
    <w:rsid w:val="00950556"/>
    <w:rsid w:val="009506A4"/>
    <w:rsid w:val="00950950"/>
    <w:rsid w:val="00950AB6"/>
    <w:rsid w:val="00950AD9"/>
    <w:rsid w:val="00950C0F"/>
    <w:rsid w:val="00950DFB"/>
    <w:rsid w:val="00950EC7"/>
    <w:rsid w:val="00951018"/>
    <w:rsid w:val="00951021"/>
    <w:rsid w:val="00951110"/>
    <w:rsid w:val="00951210"/>
    <w:rsid w:val="00951372"/>
    <w:rsid w:val="009513F7"/>
    <w:rsid w:val="009515DE"/>
    <w:rsid w:val="00951656"/>
    <w:rsid w:val="009516C3"/>
    <w:rsid w:val="009517FC"/>
    <w:rsid w:val="00951894"/>
    <w:rsid w:val="009518D3"/>
    <w:rsid w:val="00951D66"/>
    <w:rsid w:val="00951D88"/>
    <w:rsid w:val="00951F07"/>
    <w:rsid w:val="00952075"/>
    <w:rsid w:val="0095213E"/>
    <w:rsid w:val="0095215E"/>
    <w:rsid w:val="0095216E"/>
    <w:rsid w:val="009521E4"/>
    <w:rsid w:val="00952263"/>
    <w:rsid w:val="00952344"/>
    <w:rsid w:val="00952465"/>
    <w:rsid w:val="009524F5"/>
    <w:rsid w:val="009525FA"/>
    <w:rsid w:val="00952699"/>
    <w:rsid w:val="009526D3"/>
    <w:rsid w:val="0095279B"/>
    <w:rsid w:val="00952902"/>
    <w:rsid w:val="00952B1A"/>
    <w:rsid w:val="00952D0B"/>
    <w:rsid w:val="00952DDC"/>
    <w:rsid w:val="00952E3C"/>
    <w:rsid w:val="00952E84"/>
    <w:rsid w:val="00952E92"/>
    <w:rsid w:val="00952E98"/>
    <w:rsid w:val="00952F60"/>
    <w:rsid w:val="00952F78"/>
    <w:rsid w:val="00953058"/>
    <w:rsid w:val="0095311F"/>
    <w:rsid w:val="009533A7"/>
    <w:rsid w:val="00953570"/>
    <w:rsid w:val="0095369C"/>
    <w:rsid w:val="009538BF"/>
    <w:rsid w:val="00953B28"/>
    <w:rsid w:val="00953BCC"/>
    <w:rsid w:val="00953C3F"/>
    <w:rsid w:val="00953CF2"/>
    <w:rsid w:val="00953EA1"/>
    <w:rsid w:val="00953EF1"/>
    <w:rsid w:val="009540BC"/>
    <w:rsid w:val="0095422D"/>
    <w:rsid w:val="00954379"/>
    <w:rsid w:val="00954438"/>
    <w:rsid w:val="0095447D"/>
    <w:rsid w:val="00954624"/>
    <w:rsid w:val="00954676"/>
    <w:rsid w:val="009548B7"/>
    <w:rsid w:val="00954A15"/>
    <w:rsid w:val="00954BF5"/>
    <w:rsid w:val="00954E41"/>
    <w:rsid w:val="00954F10"/>
    <w:rsid w:val="00955004"/>
    <w:rsid w:val="0095500C"/>
    <w:rsid w:val="0095501E"/>
    <w:rsid w:val="009551DC"/>
    <w:rsid w:val="00955223"/>
    <w:rsid w:val="00955260"/>
    <w:rsid w:val="0095559F"/>
    <w:rsid w:val="009556BF"/>
    <w:rsid w:val="00955714"/>
    <w:rsid w:val="009557FC"/>
    <w:rsid w:val="0095581E"/>
    <w:rsid w:val="0095582C"/>
    <w:rsid w:val="009558C9"/>
    <w:rsid w:val="00955AAC"/>
    <w:rsid w:val="00955B57"/>
    <w:rsid w:val="00955CF3"/>
    <w:rsid w:val="00955D9C"/>
    <w:rsid w:val="00955E49"/>
    <w:rsid w:val="00955E9F"/>
    <w:rsid w:val="00955EB9"/>
    <w:rsid w:val="00955F9D"/>
    <w:rsid w:val="00955FE0"/>
    <w:rsid w:val="0095600D"/>
    <w:rsid w:val="0095600F"/>
    <w:rsid w:val="009561E0"/>
    <w:rsid w:val="00956285"/>
    <w:rsid w:val="0095632B"/>
    <w:rsid w:val="009563A0"/>
    <w:rsid w:val="0095663D"/>
    <w:rsid w:val="00956746"/>
    <w:rsid w:val="0095686F"/>
    <w:rsid w:val="009568EC"/>
    <w:rsid w:val="00956A29"/>
    <w:rsid w:val="00956AEB"/>
    <w:rsid w:val="00956B58"/>
    <w:rsid w:val="00956B73"/>
    <w:rsid w:val="00956D40"/>
    <w:rsid w:val="00956EA7"/>
    <w:rsid w:val="00956FC7"/>
    <w:rsid w:val="00957041"/>
    <w:rsid w:val="0095714A"/>
    <w:rsid w:val="0095716E"/>
    <w:rsid w:val="00957199"/>
    <w:rsid w:val="009571AD"/>
    <w:rsid w:val="009571FF"/>
    <w:rsid w:val="00957255"/>
    <w:rsid w:val="00957453"/>
    <w:rsid w:val="009574FB"/>
    <w:rsid w:val="0095757A"/>
    <w:rsid w:val="009576B3"/>
    <w:rsid w:val="009577E4"/>
    <w:rsid w:val="00957943"/>
    <w:rsid w:val="009579AA"/>
    <w:rsid w:val="00957E58"/>
    <w:rsid w:val="00957EEB"/>
    <w:rsid w:val="00960139"/>
    <w:rsid w:val="009601CE"/>
    <w:rsid w:val="009602CC"/>
    <w:rsid w:val="009602FB"/>
    <w:rsid w:val="00960448"/>
    <w:rsid w:val="00960458"/>
    <w:rsid w:val="009604A0"/>
    <w:rsid w:val="009604FB"/>
    <w:rsid w:val="00960646"/>
    <w:rsid w:val="0096075A"/>
    <w:rsid w:val="00960812"/>
    <w:rsid w:val="00960870"/>
    <w:rsid w:val="00960ABB"/>
    <w:rsid w:val="00960B12"/>
    <w:rsid w:val="00960B25"/>
    <w:rsid w:val="00960C4D"/>
    <w:rsid w:val="00960C81"/>
    <w:rsid w:val="00960D40"/>
    <w:rsid w:val="00960D5C"/>
    <w:rsid w:val="0096103C"/>
    <w:rsid w:val="00961160"/>
    <w:rsid w:val="00961231"/>
    <w:rsid w:val="0096127D"/>
    <w:rsid w:val="00961405"/>
    <w:rsid w:val="0096149A"/>
    <w:rsid w:val="009614BB"/>
    <w:rsid w:val="009614D8"/>
    <w:rsid w:val="009615EC"/>
    <w:rsid w:val="0096160B"/>
    <w:rsid w:val="00961646"/>
    <w:rsid w:val="00961653"/>
    <w:rsid w:val="00961692"/>
    <w:rsid w:val="0096179F"/>
    <w:rsid w:val="009617F6"/>
    <w:rsid w:val="009619A9"/>
    <w:rsid w:val="00961C2D"/>
    <w:rsid w:val="00961CAA"/>
    <w:rsid w:val="00961E0C"/>
    <w:rsid w:val="00961F53"/>
    <w:rsid w:val="00961F8F"/>
    <w:rsid w:val="009620EC"/>
    <w:rsid w:val="009620F9"/>
    <w:rsid w:val="00962397"/>
    <w:rsid w:val="009623F4"/>
    <w:rsid w:val="009624FB"/>
    <w:rsid w:val="009624FF"/>
    <w:rsid w:val="00962702"/>
    <w:rsid w:val="009627BC"/>
    <w:rsid w:val="009627BE"/>
    <w:rsid w:val="0096288F"/>
    <w:rsid w:val="00962A5E"/>
    <w:rsid w:val="00962A64"/>
    <w:rsid w:val="00962AD8"/>
    <w:rsid w:val="00962AFA"/>
    <w:rsid w:val="00962B3F"/>
    <w:rsid w:val="00962BE2"/>
    <w:rsid w:val="00962C19"/>
    <w:rsid w:val="00962D13"/>
    <w:rsid w:val="00962D56"/>
    <w:rsid w:val="00962DF8"/>
    <w:rsid w:val="00962FBB"/>
    <w:rsid w:val="0096308F"/>
    <w:rsid w:val="0096318C"/>
    <w:rsid w:val="009631BF"/>
    <w:rsid w:val="009631C8"/>
    <w:rsid w:val="00963295"/>
    <w:rsid w:val="009632B4"/>
    <w:rsid w:val="00963330"/>
    <w:rsid w:val="00963385"/>
    <w:rsid w:val="0096338D"/>
    <w:rsid w:val="0096348C"/>
    <w:rsid w:val="00963537"/>
    <w:rsid w:val="00963582"/>
    <w:rsid w:val="009635A7"/>
    <w:rsid w:val="00963731"/>
    <w:rsid w:val="0096379D"/>
    <w:rsid w:val="00963A50"/>
    <w:rsid w:val="00963B69"/>
    <w:rsid w:val="00963CFD"/>
    <w:rsid w:val="00963E97"/>
    <w:rsid w:val="00963F17"/>
    <w:rsid w:val="00964098"/>
    <w:rsid w:val="009640A7"/>
    <w:rsid w:val="009640E7"/>
    <w:rsid w:val="009642CD"/>
    <w:rsid w:val="009642ED"/>
    <w:rsid w:val="0096435E"/>
    <w:rsid w:val="0096466C"/>
    <w:rsid w:val="0096469A"/>
    <w:rsid w:val="009647D5"/>
    <w:rsid w:val="009647EB"/>
    <w:rsid w:val="009648A1"/>
    <w:rsid w:val="00964AF3"/>
    <w:rsid w:val="00964C1B"/>
    <w:rsid w:val="00964F26"/>
    <w:rsid w:val="009651EC"/>
    <w:rsid w:val="00965340"/>
    <w:rsid w:val="00965398"/>
    <w:rsid w:val="00965669"/>
    <w:rsid w:val="009658C6"/>
    <w:rsid w:val="00965A7D"/>
    <w:rsid w:val="00965D13"/>
    <w:rsid w:val="00965E4E"/>
    <w:rsid w:val="00965F05"/>
    <w:rsid w:val="00966009"/>
    <w:rsid w:val="009661E8"/>
    <w:rsid w:val="00966206"/>
    <w:rsid w:val="00966255"/>
    <w:rsid w:val="0096637B"/>
    <w:rsid w:val="00966465"/>
    <w:rsid w:val="009666BD"/>
    <w:rsid w:val="00966821"/>
    <w:rsid w:val="00966A0D"/>
    <w:rsid w:val="00966A5B"/>
    <w:rsid w:val="00966AA9"/>
    <w:rsid w:val="00966BD2"/>
    <w:rsid w:val="00966BEC"/>
    <w:rsid w:val="00966C68"/>
    <w:rsid w:val="00966C83"/>
    <w:rsid w:val="00966CC8"/>
    <w:rsid w:val="00966FCC"/>
    <w:rsid w:val="00966FE9"/>
    <w:rsid w:val="009670FF"/>
    <w:rsid w:val="00967147"/>
    <w:rsid w:val="009671F4"/>
    <w:rsid w:val="00967260"/>
    <w:rsid w:val="009672C2"/>
    <w:rsid w:val="00967392"/>
    <w:rsid w:val="009674CC"/>
    <w:rsid w:val="00967592"/>
    <w:rsid w:val="0096762E"/>
    <w:rsid w:val="00967641"/>
    <w:rsid w:val="009677CC"/>
    <w:rsid w:val="00967927"/>
    <w:rsid w:val="009679AB"/>
    <w:rsid w:val="00967AAF"/>
    <w:rsid w:val="00967B1F"/>
    <w:rsid w:val="00967C0A"/>
    <w:rsid w:val="00967DDC"/>
    <w:rsid w:val="009703D6"/>
    <w:rsid w:val="009705E5"/>
    <w:rsid w:val="009706A9"/>
    <w:rsid w:val="0097076F"/>
    <w:rsid w:val="009708DD"/>
    <w:rsid w:val="00970A18"/>
    <w:rsid w:val="00970C63"/>
    <w:rsid w:val="00970D2F"/>
    <w:rsid w:val="00970D58"/>
    <w:rsid w:val="00970D8F"/>
    <w:rsid w:val="00970E70"/>
    <w:rsid w:val="00970EE3"/>
    <w:rsid w:val="00971031"/>
    <w:rsid w:val="00971086"/>
    <w:rsid w:val="009711E2"/>
    <w:rsid w:val="00971463"/>
    <w:rsid w:val="00971480"/>
    <w:rsid w:val="00971560"/>
    <w:rsid w:val="009715B7"/>
    <w:rsid w:val="00971614"/>
    <w:rsid w:val="009716A4"/>
    <w:rsid w:val="009719BA"/>
    <w:rsid w:val="00971C07"/>
    <w:rsid w:val="00971D95"/>
    <w:rsid w:val="00971F30"/>
    <w:rsid w:val="0097222E"/>
    <w:rsid w:val="0097223B"/>
    <w:rsid w:val="0097242E"/>
    <w:rsid w:val="00972750"/>
    <w:rsid w:val="009728B8"/>
    <w:rsid w:val="009729AC"/>
    <w:rsid w:val="00972A55"/>
    <w:rsid w:val="00972A5A"/>
    <w:rsid w:val="00972E6D"/>
    <w:rsid w:val="00972FBD"/>
    <w:rsid w:val="009730E7"/>
    <w:rsid w:val="009730EC"/>
    <w:rsid w:val="009731C8"/>
    <w:rsid w:val="00973277"/>
    <w:rsid w:val="0097329A"/>
    <w:rsid w:val="0097331D"/>
    <w:rsid w:val="009733D3"/>
    <w:rsid w:val="00973481"/>
    <w:rsid w:val="00973538"/>
    <w:rsid w:val="009735A3"/>
    <w:rsid w:val="00973774"/>
    <w:rsid w:val="009737B9"/>
    <w:rsid w:val="00973802"/>
    <w:rsid w:val="009739DB"/>
    <w:rsid w:val="00973B30"/>
    <w:rsid w:val="00973B48"/>
    <w:rsid w:val="00973B94"/>
    <w:rsid w:val="00973D50"/>
    <w:rsid w:val="00973FC5"/>
    <w:rsid w:val="00974171"/>
    <w:rsid w:val="009741BB"/>
    <w:rsid w:val="00974251"/>
    <w:rsid w:val="009742BE"/>
    <w:rsid w:val="009743E2"/>
    <w:rsid w:val="00974432"/>
    <w:rsid w:val="00974788"/>
    <w:rsid w:val="00974789"/>
    <w:rsid w:val="009747B4"/>
    <w:rsid w:val="0097486A"/>
    <w:rsid w:val="00974A1B"/>
    <w:rsid w:val="00974A79"/>
    <w:rsid w:val="00974ADF"/>
    <w:rsid w:val="00974EC6"/>
    <w:rsid w:val="00974EE8"/>
    <w:rsid w:val="00974F95"/>
    <w:rsid w:val="00975033"/>
    <w:rsid w:val="009750A1"/>
    <w:rsid w:val="0097514C"/>
    <w:rsid w:val="00975300"/>
    <w:rsid w:val="009753A6"/>
    <w:rsid w:val="009753C6"/>
    <w:rsid w:val="009753ED"/>
    <w:rsid w:val="00975440"/>
    <w:rsid w:val="009754E3"/>
    <w:rsid w:val="009754E6"/>
    <w:rsid w:val="0097583D"/>
    <w:rsid w:val="0097594B"/>
    <w:rsid w:val="009759D8"/>
    <w:rsid w:val="00975A84"/>
    <w:rsid w:val="00975DD7"/>
    <w:rsid w:val="00975EC7"/>
    <w:rsid w:val="00975F02"/>
    <w:rsid w:val="0097600D"/>
    <w:rsid w:val="0097610C"/>
    <w:rsid w:val="0097615F"/>
    <w:rsid w:val="009761A9"/>
    <w:rsid w:val="009762C9"/>
    <w:rsid w:val="009763FD"/>
    <w:rsid w:val="00976916"/>
    <w:rsid w:val="0097699F"/>
    <w:rsid w:val="00976C5C"/>
    <w:rsid w:val="00976D9C"/>
    <w:rsid w:val="009770A0"/>
    <w:rsid w:val="009771DF"/>
    <w:rsid w:val="0097727F"/>
    <w:rsid w:val="009772F5"/>
    <w:rsid w:val="00977358"/>
    <w:rsid w:val="009774D5"/>
    <w:rsid w:val="009776B1"/>
    <w:rsid w:val="0097782A"/>
    <w:rsid w:val="00977842"/>
    <w:rsid w:val="00977890"/>
    <w:rsid w:val="0097792B"/>
    <w:rsid w:val="0097793E"/>
    <w:rsid w:val="00977976"/>
    <w:rsid w:val="009779FE"/>
    <w:rsid w:val="00977AE1"/>
    <w:rsid w:val="00977B04"/>
    <w:rsid w:val="00977C05"/>
    <w:rsid w:val="00977E69"/>
    <w:rsid w:val="00977E6C"/>
    <w:rsid w:val="00977F1E"/>
    <w:rsid w:val="00977FF2"/>
    <w:rsid w:val="009801D1"/>
    <w:rsid w:val="0098020F"/>
    <w:rsid w:val="0098038F"/>
    <w:rsid w:val="00980415"/>
    <w:rsid w:val="00980420"/>
    <w:rsid w:val="00980451"/>
    <w:rsid w:val="0098054D"/>
    <w:rsid w:val="00980744"/>
    <w:rsid w:val="00980799"/>
    <w:rsid w:val="0098095A"/>
    <w:rsid w:val="009809F6"/>
    <w:rsid w:val="00980A30"/>
    <w:rsid w:val="00980DEA"/>
    <w:rsid w:val="00980DEF"/>
    <w:rsid w:val="00980F5C"/>
    <w:rsid w:val="0098117A"/>
    <w:rsid w:val="009811E8"/>
    <w:rsid w:val="00981327"/>
    <w:rsid w:val="00981361"/>
    <w:rsid w:val="0098139C"/>
    <w:rsid w:val="00981479"/>
    <w:rsid w:val="00981596"/>
    <w:rsid w:val="009815E4"/>
    <w:rsid w:val="0098169F"/>
    <w:rsid w:val="009816AE"/>
    <w:rsid w:val="0098172D"/>
    <w:rsid w:val="00981739"/>
    <w:rsid w:val="009817BC"/>
    <w:rsid w:val="00981A11"/>
    <w:rsid w:val="00981A22"/>
    <w:rsid w:val="00981B29"/>
    <w:rsid w:val="00981C06"/>
    <w:rsid w:val="00981D42"/>
    <w:rsid w:val="00981D5A"/>
    <w:rsid w:val="00981E2F"/>
    <w:rsid w:val="00982078"/>
    <w:rsid w:val="009820CD"/>
    <w:rsid w:val="00982405"/>
    <w:rsid w:val="009824F3"/>
    <w:rsid w:val="0098274E"/>
    <w:rsid w:val="00982862"/>
    <w:rsid w:val="00982A37"/>
    <w:rsid w:val="00982C53"/>
    <w:rsid w:val="00982CCE"/>
    <w:rsid w:val="00982E31"/>
    <w:rsid w:val="00982F23"/>
    <w:rsid w:val="00982F78"/>
    <w:rsid w:val="00982F94"/>
    <w:rsid w:val="00983051"/>
    <w:rsid w:val="00983387"/>
    <w:rsid w:val="00983524"/>
    <w:rsid w:val="00983587"/>
    <w:rsid w:val="00983750"/>
    <w:rsid w:val="0098383D"/>
    <w:rsid w:val="0098387E"/>
    <w:rsid w:val="00983A22"/>
    <w:rsid w:val="00983A34"/>
    <w:rsid w:val="00983A76"/>
    <w:rsid w:val="00983B5D"/>
    <w:rsid w:val="00983B6E"/>
    <w:rsid w:val="00983BE7"/>
    <w:rsid w:val="00983C76"/>
    <w:rsid w:val="00983D5A"/>
    <w:rsid w:val="00983D61"/>
    <w:rsid w:val="00983D8A"/>
    <w:rsid w:val="00983E9D"/>
    <w:rsid w:val="0098404A"/>
    <w:rsid w:val="0098414D"/>
    <w:rsid w:val="00984177"/>
    <w:rsid w:val="009842B1"/>
    <w:rsid w:val="00984357"/>
    <w:rsid w:val="009843EC"/>
    <w:rsid w:val="00984506"/>
    <w:rsid w:val="00984541"/>
    <w:rsid w:val="009845BF"/>
    <w:rsid w:val="009845F8"/>
    <w:rsid w:val="0098464C"/>
    <w:rsid w:val="009849DB"/>
    <w:rsid w:val="00984A02"/>
    <w:rsid w:val="00984A59"/>
    <w:rsid w:val="00984AE1"/>
    <w:rsid w:val="00984B2E"/>
    <w:rsid w:val="00984BC9"/>
    <w:rsid w:val="00984D50"/>
    <w:rsid w:val="00984EBF"/>
    <w:rsid w:val="009850A2"/>
    <w:rsid w:val="0098517C"/>
    <w:rsid w:val="00985506"/>
    <w:rsid w:val="009856E4"/>
    <w:rsid w:val="00985ABC"/>
    <w:rsid w:val="00985AFD"/>
    <w:rsid w:val="00985C7D"/>
    <w:rsid w:val="00985D6C"/>
    <w:rsid w:val="00985DF4"/>
    <w:rsid w:val="00985F93"/>
    <w:rsid w:val="009861A2"/>
    <w:rsid w:val="00986256"/>
    <w:rsid w:val="00986752"/>
    <w:rsid w:val="00986908"/>
    <w:rsid w:val="00986AB3"/>
    <w:rsid w:val="00986BCE"/>
    <w:rsid w:val="00986BEC"/>
    <w:rsid w:val="00986CA5"/>
    <w:rsid w:val="00986D64"/>
    <w:rsid w:val="00986F0B"/>
    <w:rsid w:val="009873E1"/>
    <w:rsid w:val="00987580"/>
    <w:rsid w:val="00987761"/>
    <w:rsid w:val="0098778B"/>
    <w:rsid w:val="0098784E"/>
    <w:rsid w:val="0098786F"/>
    <w:rsid w:val="00987919"/>
    <w:rsid w:val="00987A7B"/>
    <w:rsid w:val="00987BDD"/>
    <w:rsid w:val="00987E7F"/>
    <w:rsid w:val="0099010C"/>
    <w:rsid w:val="0099016B"/>
    <w:rsid w:val="00990318"/>
    <w:rsid w:val="009904E7"/>
    <w:rsid w:val="009905A8"/>
    <w:rsid w:val="009905AB"/>
    <w:rsid w:val="009905C6"/>
    <w:rsid w:val="00990710"/>
    <w:rsid w:val="00990809"/>
    <w:rsid w:val="00990812"/>
    <w:rsid w:val="0099082E"/>
    <w:rsid w:val="009908C8"/>
    <w:rsid w:val="00990B03"/>
    <w:rsid w:val="00990BB0"/>
    <w:rsid w:val="00990BCE"/>
    <w:rsid w:val="00990CE1"/>
    <w:rsid w:val="00990D06"/>
    <w:rsid w:val="00990ED7"/>
    <w:rsid w:val="00990FA5"/>
    <w:rsid w:val="00991047"/>
    <w:rsid w:val="009910A6"/>
    <w:rsid w:val="00991288"/>
    <w:rsid w:val="00991505"/>
    <w:rsid w:val="00991656"/>
    <w:rsid w:val="00991695"/>
    <w:rsid w:val="009916D8"/>
    <w:rsid w:val="009916D9"/>
    <w:rsid w:val="0099186D"/>
    <w:rsid w:val="00991972"/>
    <w:rsid w:val="00991A57"/>
    <w:rsid w:val="00991BE2"/>
    <w:rsid w:val="00991CBC"/>
    <w:rsid w:val="00991D48"/>
    <w:rsid w:val="00991D5E"/>
    <w:rsid w:val="00991DBA"/>
    <w:rsid w:val="00991EFB"/>
    <w:rsid w:val="00991FC7"/>
    <w:rsid w:val="0099203D"/>
    <w:rsid w:val="009920AC"/>
    <w:rsid w:val="009920FC"/>
    <w:rsid w:val="00992214"/>
    <w:rsid w:val="00992347"/>
    <w:rsid w:val="0099238A"/>
    <w:rsid w:val="00992395"/>
    <w:rsid w:val="009923C3"/>
    <w:rsid w:val="009924D5"/>
    <w:rsid w:val="0099257C"/>
    <w:rsid w:val="009926DA"/>
    <w:rsid w:val="00992712"/>
    <w:rsid w:val="0099299B"/>
    <w:rsid w:val="00992A82"/>
    <w:rsid w:val="00992B6D"/>
    <w:rsid w:val="00992B73"/>
    <w:rsid w:val="00992C55"/>
    <w:rsid w:val="00992EC6"/>
    <w:rsid w:val="00992EEF"/>
    <w:rsid w:val="00992FDF"/>
    <w:rsid w:val="00993167"/>
    <w:rsid w:val="009936AB"/>
    <w:rsid w:val="00993730"/>
    <w:rsid w:val="009937CD"/>
    <w:rsid w:val="0099388C"/>
    <w:rsid w:val="00993A6B"/>
    <w:rsid w:val="00993A86"/>
    <w:rsid w:val="00993B00"/>
    <w:rsid w:val="00993BA8"/>
    <w:rsid w:val="00993BE0"/>
    <w:rsid w:val="00993DE4"/>
    <w:rsid w:val="00993E7C"/>
    <w:rsid w:val="00993EAE"/>
    <w:rsid w:val="00993F05"/>
    <w:rsid w:val="00993FF2"/>
    <w:rsid w:val="0099414C"/>
    <w:rsid w:val="009943E6"/>
    <w:rsid w:val="0099455A"/>
    <w:rsid w:val="00994719"/>
    <w:rsid w:val="0099484E"/>
    <w:rsid w:val="00994AB6"/>
    <w:rsid w:val="00994AC0"/>
    <w:rsid w:val="00994D93"/>
    <w:rsid w:val="00994E6A"/>
    <w:rsid w:val="00994F64"/>
    <w:rsid w:val="009952D1"/>
    <w:rsid w:val="009953D1"/>
    <w:rsid w:val="00995557"/>
    <w:rsid w:val="009955B3"/>
    <w:rsid w:val="00995932"/>
    <w:rsid w:val="009959B5"/>
    <w:rsid w:val="00995A57"/>
    <w:rsid w:val="00995A7A"/>
    <w:rsid w:val="00995B30"/>
    <w:rsid w:val="00995C9D"/>
    <w:rsid w:val="00995DCC"/>
    <w:rsid w:val="00995E6A"/>
    <w:rsid w:val="00995EA0"/>
    <w:rsid w:val="00995EA7"/>
    <w:rsid w:val="0099609A"/>
    <w:rsid w:val="00996355"/>
    <w:rsid w:val="009965CF"/>
    <w:rsid w:val="009966E4"/>
    <w:rsid w:val="0099686E"/>
    <w:rsid w:val="00996B5F"/>
    <w:rsid w:val="00996BE8"/>
    <w:rsid w:val="00996C5E"/>
    <w:rsid w:val="00996CE0"/>
    <w:rsid w:val="00996DA7"/>
    <w:rsid w:val="00997005"/>
    <w:rsid w:val="00997089"/>
    <w:rsid w:val="009970A8"/>
    <w:rsid w:val="009972AA"/>
    <w:rsid w:val="00997393"/>
    <w:rsid w:val="00997465"/>
    <w:rsid w:val="009974EC"/>
    <w:rsid w:val="00997502"/>
    <w:rsid w:val="0099754E"/>
    <w:rsid w:val="00997744"/>
    <w:rsid w:val="00997766"/>
    <w:rsid w:val="0099778B"/>
    <w:rsid w:val="009977BE"/>
    <w:rsid w:val="00997885"/>
    <w:rsid w:val="009978FD"/>
    <w:rsid w:val="00997A76"/>
    <w:rsid w:val="00997C80"/>
    <w:rsid w:val="00997D4E"/>
    <w:rsid w:val="00997D9D"/>
    <w:rsid w:val="00997F10"/>
    <w:rsid w:val="00997FBD"/>
    <w:rsid w:val="009A021D"/>
    <w:rsid w:val="009A02F3"/>
    <w:rsid w:val="009A05BD"/>
    <w:rsid w:val="009A05F2"/>
    <w:rsid w:val="009A0658"/>
    <w:rsid w:val="009A06B9"/>
    <w:rsid w:val="009A07DB"/>
    <w:rsid w:val="009A0C42"/>
    <w:rsid w:val="009A0CC1"/>
    <w:rsid w:val="009A0D1C"/>
    <w:rsid w:val="009A0DC5"/>
    <w:rsid w:val="009A0DD1"/>
    <w:rsid w:val="009A0DDD"/>
    <w:rsid w:val="009A0E81"/>
    <w:rsid w:val="009A1046"/>
    <w:rsid w:val="009A12C0"/>
    <w:rsid w:val="009A1370"/>
    <w:rsid w:val="009A1607"/>
    <w:rsid w:val="009A1676"/>
    <w:rsid w:val="009A198C"/>
    <w:rsid w:val="009A19B4"/>
    <w:rsid w:val="009A1DA9"/>
    <w:rsid w:val="009A1E03"/>
    <w:rsid w:val="009A1F02"/>
    <w:rsid w:val="009A1F55"/>
    <w:rsid w:val="009A1F92"/>
    <w:rsid w:val="009A2044"/>
    <w:rsid w:val="009A228B"/>
    <w:rsid w:val="009A232C"/>
    <w:rsid w:val="009A251D"/>
    <w:rsid w:val="009A25AE"/>
    <w:rsid w:val="009A2625"/>
    <w:rsid w:val="009A26FD"/>
    <w:rsid w:val="009A2A7E"/>
    <w:rsid w:val="009A2C99"/>
    <w:rsid w:val="009A2E52"/>
    <w:rsid w:val="009A3188"/>
    <w:rsid w:val="009A3191"/>
    <w:rsid w:val="009A330D"/>
    <w:rsid w:val="009A346F"/>
    <w:rsid w:val="009A3509"/>
    <w:rsid w:val="009A35A7"/>
    <w:rsid w:val="009A3844"/>
    <w:rsid w:val="009A3873"/>
    <w:rsid w:val="009A391E"/>
    <w:rsid w:val="009A39D8"/>
    <w:rsid w:val="009A3D40"/>
    <w:rsid w:val="009A3DFD"/>
    <w:rsid w:val="009A3EB0"/>
    <w:rsid w:val="009A3F19"/>
    <w:rsid w:val="009A4022"/>
    <w:rsid w:val="009A4072"/>
    <w:rsid w:val="009A4143"/>
    <w:rsid w:val="009A4183"/>
    <w:rsid w:val="009A41BB"/>
    <w:rsid w:val="009A4217"/>
    <w:rsid w:val="009A4435"/>
    <w:rsid w:val="009A4461"/>
    <w:rsid w:val="009A44FB"/>
    <w:rsid w:val="009A4543"/>
    <w:rsid w:val="009A470B"/>
    <w:rsid w:val="009A4722"/>
    <w:rsid w:val="009A4760"/>
    <w:rsid w:val="009A4814"/>
    <w:rsid w:val="009A489A"/>
    <w:rsid w:val="009A48BF"/>
    <w:rsid w:val="009A48C7"/>
    <w:rsid w:val="009A49A5"/>
    <w:rsid w:val="009A49CC"/>
    <w:rsid w:val="009A4B40"/>
    <w:rsid w:val="009A4C64"/>
    <w:rsid w:val="009A4CE0"/>
    <w:rsid w:val="009A4D01"/>
    <w:rsid w:val="009A4E01"/>
    <w:rsid w:val="009A4ECB"/>
    <w:rsid w:val="009A510D"/>
    <w:rsid w:val="009A512F"/>
    <w:rsid w:val="009A5136"/>
    <w:rsid w:val="009A53E9"/>
    <w:rsid w:val="009A549B"/>
    <w:rsid w:val="009A56AB"/>
    <w:rsid w:val="009A56F6"/>
    <w:rsid w:val="009A5827"/>
    <w:rsid w:val="009A59DE"/>
    <w:rsid w:val="009A629F"/>
    <w:rsid w:val="009A62DC"/>
    <w:rsid w:val="009A62F3"/>
    <w:rsid w:val="009A663E"/>
    <w:rsid w:val="009A6686"/>
    <w:rsid w:val="009A66B7"/>
    <w:rsid w:val="009A67DD"/>
    <w:rsid w:val="009A6880"/>
    <w:rsid w:val="009A68C6"/>
    <w:rsid w:val="009A69AE"/>
    <w:rsid w:val="009A69AF"/>
    <w:rsid w:val="009A69C8"/>
    <w:rsid w:val="009A6A91"/>
    <w:rsid w:val="009A6B76"/>
    <w:rsid w:val="009A6DA9"/>
    <w:rsid w:val="009A6F2C"/>
    <w:rsid w:val="009A6F60"/>
    <w:rsid w:val="009A7016"/>
    <w:rsid w:val="009A71BC"/>
    <w:rsid w:val="009A7237"/>
    <w:rsid w:val="009A7717"/>
    <w:rsid w:val="009A77CB"/>
    <w:rsid w:val="009A77F7"/>
    <w:rsid w:val="009A78BF"/>
    <w:rsid w:val="009A7A77"/>
    <w:rsid w:val="009A7CE7"/>
    <w:rsid w:val="009A7D7E"/>
    <w:rsid w:val="009A7FE4"/>
    <w:rsid w:val="009B009F"/>
    <w:rsid w:val="009B0121"/>
    <w:rsid w:val="009B013E"/>
    <w:rsid w:val="009B01A5"/>
    <w:rsid w:val="009B0339"/>
    <w:rsid w:val="009B0411"/>
    <w:rsid w:val="009B0731"/>
    <w:rsid w:val="009B073C"/>
    <w:rsid w:val="009B0787"/>
    <w:rsid w:val="009B0975"/>
    <w:rsid w:val="009B0A06"/>
    <w:rsid w:val="009B0AB1"/>
    <w:rsid w:val="009B0C22"/>
    <w:rsid w:val="009B0D42"/>
    <w:rsid w:val="009B0FA5"/>
    <w:rsid w:val="009B104F"/>
    <w:rsid w:val="009B117D"/>
    <w:rsid w:val="009B169B"/>
    <w:rsid w:val="009B17EB"/>
    <w:rsid w:val="009B1814"/>
    <w:rsid w:val="009B1BAE"/>
    <w:rsid w:val="009B1C97"/>
    <w:rsid w:val="009B1CFD"/>
    <w:rsid w:val="009B1E6F"/>
    <w:rsid w:val="009B1F52"/>
    <w:rsid w:val="009B1FC2"/>
    <w:rsid w:val="009B216D"/>
    <w:rsid w:val="009B217D"/>
    <w:rsid w:val="009B2227"/>
    <w:rsid w:val="009B229C"/>
    <w:rsid w:val="009B22E9"/>
    <w:rsid w:val="009B23D7"/>
    <w:rsid w:val="009B25CC"/>
    <w:rsid w:val="009B2687"/>
    <w:rsid w:val="009B29BC"/>
    <w:rsid w:val="009B2BE3"/>
    <w:rsid w:val="009B2BE8"/>
    <w:rsid w:val="009B2EFE"/>
    <w:rsid w:val="009B3172"/>
    <w:rsid w:val="009B31B0"/>
    <w:rsid w:val="009B3262"/>
    <w:rsid w:val="009B32A1"/>
    <w:rsid w:val="009B32B4"/>
    <w:rsid w:val="009B32FA"/>
    <w:rsid w:val="009B3318"/>
    <w:rsid w:val="009B3341"/>
    <w:rsid w:val="009B3344"/>
    <w:rsid w:val="009B3403"/>
    <w:rsid w:val="009B366B"/>
    <w:rsid w:val="009B3712"/>
    <w:rsid w:val="009B3807"/>
    <w:rsid w:val="009B3B09"/>
    <w:rsid w:val="009B3B53"/>
    <w:rsid w:val="009B3C48"/>
    <w:rsid w:val="009B3CAD"/>
    <w:rsid w:val="009B3F76"/>
    <w:rsid w:val="009B3F8F"/>
    <w:rsid w:val="009B41A5"/>
    <w:rsid w:val="009B4351"/>
    <w:rsid w:val="009B4412"/>
    <w:rsid w:val="009B44A7"/>
    <w:rsid w:val="009B46BE"/>
    <w:rsid w:val="009B4714"/>
    <w:rsid w:val="009B492A"/>
    <w:rsid w:val="009B4A1E"/>
    <w:rsid w:val="009B4B25"/>
    <w:rsid w:val="009B4B54"/>
    <w:rsid w:val="009B4BAB"/>
    <w:rsid w:val="009B4BD1"/>
    <w:rsid w:val="009B4C7F"/>
    <w:rsid w:val="009B4C9E"/>
    <w:rsid w:val="009B4DCE"/>
    <w:rsid w:val="009B4F1D"/>
    <w:rsid w:val="009B4FC8"/>
    <w:rsid w:val="009B50DF"/>
    <w:rsid w:val="009B5220"/>
    <w:rsid w:val="009B5308"/>
    <w:rsid w:val="009B53DA"/>
    <w:rsid w:val="009B53F3"/>
    <w:rsid w:val="009B5475"/>
    <w:rsid w:val="009B55F6"/>
    <w:rsid w:val="009B5722"/>
    <w:rsid w:val="009B5775"/>
    <w:rsid w:val="009B5832"/>
    <w:rsid w:val="009B58B4"/>
    <w:rsid w:val="009B59FF"/>
    <w:rsid w:val="009B5B1D"/>
    <w:rsid w:val="009B5B2B"/>
    <w:rsid w:val="009B5C20"/>
    <w:rsid w:val="009B5CA7"/>
    <w:rsid w:val="009B5D46"/>
    <w:rsid w:val="009B5D98"/>
    <w:rsid w:val="009B5E5A"/>
    <w:rsid w:val="009B5E84"/>
    <w:rsid w:val="009B5FDA"/>
    <w:rsid w:val="009B6145"/>
    <w:rsid w:val="009B642C"/>
    <w:rsid w:val="009B64FB"/>
    <w:rsid w:val="009B6586"/>
    <w:rsid w:val="009B65FA"/>
    <w:rsid w:val="009B6777"/>
    <w:rsid w:val="009B6AB0"/>
    <w:rsid w:val="009B6B2D"/>
    <w:rsid w:val="009B6EA7"/>
    <w:rsid w:val="009B6F9E"/>
    <w:rsid w:val="009B701B"/>
    <w:rsid w:val="009B70DF"/>
    <w:rsid w:val="009B70E0"/>
    <w:rsid w:val="009B729A"/>
    <w:rsid w:val="009B7530"/>
    <w:rsid w:val="009B75A8"/>
    <w:rsid w:val="009B76A6"/>
    <w:rsid w:val="009B76A7"/>
    <w:rsid w:val="009B782A"/>
    <w:rsid w:val="009B7883"/>
    <w:rsid w:val="009B78B8"/>
    <w:rsid w:val="009B7933"/>
    <w:rsid w:val="009B7A33"/>
    <w:rsid w:val="009B7A3B"/>
    <w:rsid w:val="009B7A3D"/>
    <w:rsid w:val="009B7C5F"/>
    <w:rsid w:val="009B7E13"/>
    <w:rsid w:val="009B7EC7"/>
    <w:rsid w:val="009B7ED6"/>
    <w:rsid w:val="009B7F91"/>
    <w:rsid w:val="009C0131"/>
    <w:rsid w:val="009C02B2"/>
    <w:rsid w:val="009C02C5"/>
    <w:rsid w:val="009C037E"/>
    <w:rsid w:val="009C05B4"/>
    <w:rsid w:val="009C05E6"/>
    <w:rsid w:val="009C075A"/>
    <w:rsid w:val="009C084F"/>
    <w:rsid w:val="009C0A64"/>
    <w:rsid w:val="009C0C0C"/>
    <w:rsid w:val="009C0C8C"/>
    <w:rsid w:val="009C0CE3"/>
    <w:rsid w:val="009C0CE6"/>
    <w:rsid w:val="009C0DCF"/>
    <w:rsid w:val="009C10C1"/>
    <w:rsid w:val="009C10E0"/>
    <w:rsid w:val="009C10F7"/>
    <w:rsid w:val="009C114D"/>
    <w:rsid w:val="009C138D"/>
    <w:rsid w:val="009C142E"/>
    <w:rsid w:val="009C14A0"/>
    <w:rsid w:val="009C14FB"/>
    <w:rsid w:val="009C1836"/>
    <w:rsid w:val="009C1A05"/>
    <w:rsid w:val="009C1AC1"/>
    <w:rsid w:val="009C1AE0"/>
    <w:rsid w:val="009C1B38"/>
    <w:rsid w:val="009C1B80"/>
    <w:rsid w:val="009C1DD4"/>
    <w:rsid w:val="009C1DEC"/>
    <w:rsid w:val="009C1DF7"/>
    <w:rsid w:val="009C1E5A"/>
    <w:rsid w:val="009C1EA1"/>
    <w:rsid w:val="009C2041"/>
    <w:rsid w:val="009C219A"/>
    <w:rsid w:val="009C22C0"/>
    <w:rsid w:val="009C2391"/>
    <w:rsid w:val="009C24DB"/>
    <w:rsid w:val="009C2515"/>
    <w:rsid w:val="009C2546"/>
    <w:rsid w:val="009C255A"/>
    <w:rsid w:val="009C2768"/>
    <w:rsid w:val="009C2867"/>
    <w:rsid w:val="009C29C1"/>
    <w:rsid w:val="009C29CE"/>
    <w:rsid w:val="009C29F7"/>
    <w:rsid w:val="009C2A0A"/>
    <w:rsid w:val="009C2ADE"/>
    <w:rsid w:val="009C2C43"/>
    <w:rsid w:val="009C2E2F"/>
    <w:rsid w:val="009C3087"/>
    <w:rsid w:val="009C30A9"/>
    <w:rsid w:val="009C33E9"/>
    <w:rsid w:val="009C3409"/>
    <w:rsid w:val="009C34E7"/>
    <w:rsid w:val="009C351C"/>
    <w:rsid w:val="009C358D"/>
    <w:rsid w:val="009C35D3"/>
    <w:rsid w:val="009C3612"/>
    <w:rsid w:val="009C381E"/>
    <w:rsid w:val="009C39FB"/>
    <w:rsid w:val="009C3A2B"/>
    <w:rsid w:val="009C3A6D"/>
    <w:rsid w:val="009C3B4B"/>
    <w:rsid w:val="009C3B63"/>
    <w:rsid w:val="009C3D19"/>
    <w:rsid w:val="009C3E7B"/>
    <w:rsid w:val="009C3ECE"/>
    <w:rsid w:val="009C3F7C"/>
    <w:rsid w:val="009C3FDF"/>
    <w:rsid w:val="009C40CB"/>
    <w:rsid w:val="009C4136"/>
    <w:rsid w:val="009C420D"/>
    <w:rsid w:val="009C4273"/>
    <w:rsid w:val="009C42A1"/>
    <w:rsid w:val="009C441F"/>
    <w:rsid w:val="009C44FC"/>
    <w:rsid w:val="009C45AA"/>
    <w:rsid w:val="009C464D"/>
    <w:rsid w:val="009C4676"/>
    <w:rsid w:val="009C46E7"/>
    <w:rsid w:val="009C482C"/>
    <w:rsid w:val="009C48B5"/>
    <w:rsid w:val="009C4C5C"/>
    <w:rsid w:val="009C4CFE"/>
    <w:rsid w:val="009C4EA4"/>
    <w:rsid w:val="009C4ED6"/>
    <w:rsid w:val="009C4F4A"/>
    <w:rsid w:val="009C4F8A"/>
    <w:rsid w:val="009C4FFD"/>
    <w:rsid w:val="009C504A"/>
    <w:rsid w:val="009C5068"/>
    <w:rsid w:val="009C5087"/>
    <w:rsid w:val="009C50E9"/>
    <w:rsid w:val="009C510E"/>
    <w:rsid w:val="009C5154"/>
    <w:rsid w:val="009C517B"/>
    <w:rsid w:val="009C51CD"/>
    <w:rsid w:val="009C5346"/>
    <w:rsid w:val="009C5373"/>
    <w:rsid w:val="009C5448"/>
    <w:rsid w:val="009C5A56"/>
    <w:rsid w:val="009C5B29"/>
    <w:rsid w:val="009C5BAA"/>
    <w:rsid w:val="009C5BFD"/>
    <w:rsid w:val="009C5C76"/>
    <w:rsid w:val="009C5D8C"/>
    <w:rsid w:val="009C5DB9"/>
    <w:rsid w:val="009C5DEF"/>
    <w:rsid w:val="009C5E27"/>
    <w:rsid w:val="009C5EFA"/>
    <w:rsid w:val="009C5FDC"/>
    <w:rsid w:val="009C60B6"/>
    <w:rsid w:val="009C60BE"/>
    <w:rsid w:val="009C60F4"/>
    <w:rsid w:val="009C63F8"/>
    <w:rsid w:val="009C665B"/>
    <w:rsid w:val="009C674F"/>
    <w:rsid w:val="009C68D5"/>
    <w:rsid w:val="009C692C"/>
    <w:rsid w:val="009C6945"/>
    <w:rsid w:val="009C6AC9"/>
    <w:rsid w:val="009C6E1A"/>
    <w:rsid w:val="009C7005"/>
    <w:rsid w:val="009C704A"/>
    <w:rsid w:val="009C71F4"/>
    <w:rsid w:val="009C7229"/>
    <w:rsid w:val="009C7339"/>
    <w:rsid w:val="009C752D"/>
    <w:rsid w:val="009C7683"/>
    <w:rsid w:val="009C774B"/>
    <w:rsid w:val="009C774E"/>
    <w:rsid w:val="009C7825"/>
    <w:rsid w:val="009C782E"/>
    <w:rsid w:val="009C7902"/>
    <w:rsid w:val="009C7A22"/>
    <w:rsid w:val="009C7D74"/>
    <w:rsid w:val="009C7E5C"/>
    <w:rsid w:val="009D008B"/>
    <w:rsid w:val="009D01BA"/>
    <w:rsid w:val="009D023E"/>
    <w:rsid w:val="009D02DC"/>
    <w:rsid w:val="009D0418"/>
    <w:rsid w:val="009D05DE"/>
    <w:rsid w:val="009D06AE"/>
    <w:rsid w:val="009D081E"/>
    <w:rsid w:val="009D0827"/>
    <w:rsid w:val="009D0A4B"/>
    <w:rsid w:val="009D0BE6"/>
    <w:rsid w:val="009D0CB6"/>
    <w:rsid w:val="009D0CD4"/>
    <w:rsid w:val="009D0CFD"/>
    <w:rsid w:val="009D0EF8"/>
    <w:rsid w:val="009D107A"/>
    <w:rsid w:val="009D111D"/>
    <w:rsid w:val="009D1216"/>
    <w:rsid w:val="009D12BD"/>
    <w:rsid w:val="009D13C8"/>
    <w:rsid w:val="009D1644"/>
    <w:rsid w:val="009D170A"/>
    <w:rsid w:val="009D195F"/>
    <w:rsid w:val="009D1999"/>
    <w:rsid w:val="009D1A97"/>
    <w:rsid w:val="009D1B3B"/>
    <w:rsid w:val="009D1F1E"/>
    <w:rsid w:val="009D1F58"/>
    <w:rsid w:val="009D21C0"/>
    <w:rsid w:val="009D23A6"/>
    <w:rsid w:val="009D2417"/>
    <w:rsid w:val="009D2460"/>
    <w:rsid w:val="009D24D4"/>
    <w:rsid w:val="009D2770"/>
    <w:rsid w:val="009D2A4F"/>
    <w:rsid w:val="009D2B9F"/>
    <w:rsid w:val="009D2BD6"/>
    <w:rsid w:val="009D2C00"/>
    <w:rsid w:val="009D2E1A"/>
    <w:rsid w:val="009D2F0A"/>
    <w:rsid w:val="009D3012"/>
    <w:rsid w:val="009D3063"/>
    <w:rsid w:val="009D31B4"/>
    <w:rsid w:val="009D31BB"/>
    <w:rsid w:val="009D31D4"/>
    <w:rsid w:val="009D330F"/>
    <w:rsid w:val="009D33ED"/>
    <w:rsid w:val="009D3432"/>
    <w:rsid w:val="009D3439"/>
    <w:rsid w:val="009D3480"/>
    <w:rsid w:val="009D35D3"/>
    <w:rsid w:val="009D364F"/>
    <w:rsid w:val="009D38A5"/>
    <w:rsid w:val="009D39A4"/>
    <w:rsid w:val="009D39E0"/>
    <w:rsid w:val="009D3AE0"/>
    <w:rsid w:val="009D3C6E"/>
    <w:rsid w:val="009D3E21"/>
    <w:rsid w:val="009D3EB8"/>
    <w:rsid w:val="009D4140"/>
    <w:rsid w:val="009D421E"/>
    <w:rsid w:val="009D4242"/>
    <w:rsid w:val="009D43D4"/>
    <w:rsid w:val="009D44A8"/>
    <w:rsid w:val="009D4606"/>
    <w:rsid w:val="009D461A"/>
    <w:rsid w:val="009D4792"/>
    <w:rsid w:val="009D480E"/>
    <w:rsid w:val="009D4A77"/>
    <w:rsid w:val="009D4C24"/>
    <w:rsid w:val="009D4C61"/>
    <w:rsid w:val="009D4CFE"/>
    <w:rsid w:val="009D500B"/>
    <w:rsid w:val="009D509E"/>
    <w:rsid w:val="009D5189"/>
    <w:rsid w:val="009D51E0"/>
    <w:rsid w:val="009D5212"/>
    <w:rsid w:val="009D52DB"/>
    <w:rsid w:val="009D54BA"/>
    <w:rsid w:val="009D5699"/>
    <w:rsid w:val="009D57FC"/>
    <w:rsid w:val="009D581A"/>
    <w:rsid w:val="009D581B"/>
    <w:rsid w:val="009D5844"/>
    <w:rsid w:val="009D5AD4"/>
    <w:rsid w:val="009D5CEB"/>
    <w:rsid w:val="009D5DDE"/>
    <w:rsid w:val="009D5E89"/>
    <w:rsid w:val="009D5EFA"/>
    <w:rsid w:val="009D6010"/>
    <w:rsid w:val="009D602F"/>
    <w:rsid w:val="009D6097"/>
    <w:rsid w:val="009D60D2"/>
    <w:rsid w:val="009D61B6"/>
    <w:rsid w:val="009D64A8"/>
    <w:rsid w:val="009D64B6"/>
    <w:rsid w:val="009D64CD"/>
    <w:rsid w:val="009D64E7"/>
    <w:rsid w:val="009D6678"/>
    <w:rsid w:val="009D66CE"/>
    <w:rsid w:val="009D66E0"/>
    <w:rsid w:val="009D670D"/>
    <w:rsid w:val="009D678E"/>
    <w:rsid w:val="009D6813"/>
    <w:rsid w:val="009D683C"/>
    <w:rsid w:val="009D6A72"/>
    <w:rsid w:val="009D6D93"/>
    <w:rsid w:val="009D6E11"/>
    <w:rsid w:val="009D6E8C"/>
    <w:rsid w:val="009D7443"/>
    <w:rsid w:val="009D7501"/>
    <w:rsid w:val="009D75E7"/>
    <w:rsid w:val="009D75F8"/>
    <w:rsid w:val="009D7681"/>
    <w:rsid w:val="009D770E"/>
    <w:rsid w:val="009D77B3"/>
    <w:rsid w:val="009D787D"/>
    <w:rsid w:val="009D787E"/>
    <w:rsid w:val="009D7ABF"/>
    <w:rsid w:val="009D7EDC"/>
    <w:rsid w:val="009D7F31"/>
    <w:rsid w:val="009D7FCA"/>
    <w:rsid w:val="009D7FE4"/>
    <w:rsid w:val="009D7FED"/>
    <w:rsid w:val="009E0152"/>
    <w:rsid w:val="009E0226"/>
    <w:rsid w:val="009E03FE"/>
    <w:rsid w:val="009E0588"/>
    <w:rsid w:val="009E061E"/>
    <w:rsid w:val="009E0719"/>
    <w:rsid w:val="009E07C6"/>
    <w:rsid w:val="009E0A2E"/>
    <w:rsid w:val="009E0A4D"/>
    <w:rsid w:val="009E0ABC"/>
    <w:rsid w:val="009E0B17"/>
    <w:rsid w:val="009E0BA7"/>
    <w:rsid w:val="009E0CFC"/>
    <w:rsid w:val="009E0E49"/>
    <w:rsid w:val="009E0FDF"/>
    <w:rsid w:val="009E1009"/>
    <w:rsid w:val="009E10B8"/>
    <w:rsid w:val="009E1111"/>
    <w:rsid w:val="009E1200"/>
    <w:rsid w:val="009E1235"/>
    <w:rsid w:val="009E13CC"/>
    <w:rsid w:val="009E1504"/>
    <w:rsid w:val="009E15FF"/>
    <w:rsid w:val="009E1706"/>
    <w:rsid w:val="009E18C4"/>
    <w:rsid w:val="009E1940"/>
    <w:rsid w:val="009E1949"/>
    <w:rsid w:val="009E19AE"/>
    <w:rsid w:val="009E1BD9"/>
    <w:rsid w:val="009E1C8E"/>
    <w:rsid w:val="009E1D14"/>
    <w:rsid w:val="009E1F87"/>
    <w:rsid w:val="009E2113"/>
    <w:rsid w:val="009E21BD"/>
    <w:rsid w:val="009E232B"/>
    <w:rsid w:val="009E2401"/>
    <w:rsid w:val="009E2518"/>
    <w:rsid w:val="009E2735"/>
    <w:rsid w:val="009E2767"/>
    <w:rsid w:val="009E2838"/>
    <w:rsid w:val="009E2921"/>
    <w:rsid w:val="009E2926"/>
    <w:rsid w:val="009E29B2"/>
    <w:rsid w:val="009E2C23"/>
    <w:rsid w:val="009E3289"/>
    <w:rsid w:val="009E33C1"/>
    <w:rsid w:val="009E348A"/>
    <w:rsid w:val="009E35EF"/>
    <w:rsid w:val="009E3754"/>
    <w:rsid w:val="009E378E"/>
    <w:rsid w:val="009E38E2"/>
    <w:rsid w:val="009E390A"/>
    <w:rsid w:val="009E399D"/>
    <w:rsid w:val="009E3A03"/>
    <w:rsid w:val="009E3AB9"/>
    <w:rsid w:val="009E3AFB"/>
    <w:rsid w:val="009E3BE9"/>
    <w:rsid w:val="009E3C10"/>
    <w:rsid w:val="009E3C6F"/>
    <w:rsid w:val="009E3D7E"/>
    <w:rsid w:val="009E3DA5"/>
    <w:rsid w:val="009E3DFC"/>
    <w:rsid w:val="009E3EED"/>
    <w:rsid w:val="009E3F04"/>
    <w:rsid w:val="009E3F79"/>
    <w:rsid w:val="009E408B"/>
    <w:rsid w:val="009E41C5"/>
    <w:rsid w:val="009E443F"/>
    <w:rsid w:val="009E450A"/>
    <w:rsid w:val="009E453E"/>
    <w:rsid w:val="009E47E1"/>
    <w:rsid w:val="009E4816"/>
    <w:rsid w:val="009E49E8"/>
    <w:rsid w:val="009E4BB4"/>
    <w:rsid w:val="009E4C48"/>
    <w:rsid w:val="009E4CFB"/>
    <w:rsid w:val="009E4D79"/>
    <w:rsid w:val="009E4DB0"/>
    <w:rsid w:val="009E4EEC"/>
    <w:rsid w:val="009E4EFD"/>
    <w:rsid w:val="009E50A2"/>
    <w:rsid w:val="009E527C"/>
    <w:rsid w:val="009E5384"/>
    <w:rsid w:val="009E53F3"/>
    <w:rsid w:val="009E5540"/>
    <w:rsid w:val="009E5647"/>
    <w:rsid w:val="009E57AA"/>
    <w:rsid w:val="009E59BE"/>
    <w:rsid w:val="009E61C1"/>
    <w:rsid w:val="009E6237"/>
    <w:rsid w:val="009E6422"/>
    <w:rsid w:val="009E648C"/>
    <w:rsid w:val="009E64BE"/>
    <w:rsid w:val="009E64DB"/>
    <w:rsid w:val="009E64E4"/>
    <w:rsid w:val="009E6913"/>
    <w:rsid w:val="009E6A56"/>
    <w:rsid w:val="009E6A93"/>
    <w:rsid w:val="009E6BC9"/>
    <w:rsid w:val="009E6CD2"/>
    <w:rsid w:val="009E6DAD"/>
    <w:rsid w:val="009E6E60"/>
    <w:rsid w:val="009E6E88"/>
    <w:rsid w:val="009E6FFA"/>
    <w:rsid w:val="009E723D"/>
    <w:rsid w:val="009E7259"/>
    <w:rsid w:val="009E72BF"/>
    <w:rsid w:val="009E7310"/>
    <w:rsid w:val="009E74CD"/>
    <w:rsid w:val="009E7615"/>
    <w:rsid w:val="009E76C1"/>
    <w:rsid w:val="009E7730"/>
    <w:rsid w:val="009E77FD"/>
    <w:rsid w:val="009E7A9C"/>
    <w:rsid w:val="009E7C53"/>
    <w:rsid w:val="009E7D29"/>
    <w:rsid w:val="009E7F0C"/>
    <w:rsid w:val="009F0088"/>
    <w:rsid w:val="009F0431"/>
    <w:rsid w:val="009F0479"/>
    <w:rsid w:val="009F052E"/>
    <w:rsid w:val="009F0601"/>
    <w:rsid w:val="009F0874"/>
    <w:rsid w:val="009F0929"/>
    <w:rsid w:val="009F0941"/>
    <w:rsid w:val="009F096E"/>
    <w:rsid w:val="009F0A52"/>
    <w:rsid w:val="009F0AD3"/>
    <w:rsid w:val="009F0BA9"/>
    <w:rsid w:val="009F0BD8"/>
    <w:rsid w:val="009F0C2D"/>
    <w:rsid w:val="009F0EBF"/>
    <w:rsid w:val="009F0F0C"/>
    <w:rsid w:val="009F0FF3"/>
    <w:rsid w:val="009F101E"/>
    <w:rsid w:val="009F10CF"/>
    <w:rsid w:val="009F112F"/>
    <w:rsid w:val="009F11B3"/>
    <w:rsid w:val="009F11FA"/>
    <w:rsid w:val="009F12F7"/>
    <w:rsid w:val="009F13BD"/>
    <w:rsid w:val="009F194C"/>
    <w:rsid w:val="009F19D9"/>
    <w:rsid w:val="009F1ED5"/>
    <w:rsid w:val="009F1F4E"/>
    <w:rsid w:val="009F2427"/>
    <w:rsid w:val="009F2468"/>
    <w:rsid w:val="009F288C"/>
    <w:rsid w:val="009F2CDD"/>
    <w:rsid w:val="009F2CE0"/>
    <w:rsid w:val="009F2EE5"/>
    <w:rsid w:val="009F2F0C"/>
    <w:rsid w:val="009F31AB"/>
    <w:rsid w:val="009F31EB"/>
    <w:rsid w:val="009F32AB"/>
    <w:rsid w:val="009F331C"/>
    <w:rsid w:val="009F355A"/>
    <w:rsid w:val="009F3572"/>
    <w:rsid w:val="009F3672"/>
    <w:rsid w:val="009F3716"/>
    <w:rsid w:val="009F37B3"/>
    <w:rsid w:val="009F38DB"/>
    <w:rsid w:val="009F391A"/>
    <w:rsid w:val="009F3928"/>
    <w:rsid w:val="009F395B"/>
    <w:rsid w:val="009F3996"/>
    <w:rsid w:val="009F3A2B"/>
    <w:rsid w:val="009F3A70"/>
    <w:rsid w:val="009F3BAB"/>
    <w:rsid w:val="009F3C0F"/>
    <w:rsid w:val="009F3E12"/>
    <w:rsid w:val="009F3FD7"/>
    <w:rsid w:val="009F3FDE"/>
    <w:rsid w:val="009F4236"/>
    <w:rsid w:val="009F4423"/>
    <w:rsid w:val="009F4488"/>
    <w:rsid w:val="009F46C0"/>
    <w:rsid w:val="009F4737"/>
    <w:rsid w:val="009F47EF"/>
    <w:rsid w:val="009F47F7"/>
    <w:rsid w:val="009F485C"/>
    <w:rsid w:val="009F48F1"/>
    <w:rsid w:val="009F494A"/>
    <w:rsid w:val="009F4A8B"/>
    <w:rsid w:val="009F4B0E"/>
    <w:rsid w:val="009F4B7C"/>
    <w:rsid w:val="009F4C0C"/>
    <w:rsid w:val="009F4C18"/>
    <w:rsid w:val="009F4D4D"/>
    <w:rsid w:val="009F4E25"/>
    <w:rsid w:val="009F4E87"/>
    <w:rsid w:val="009F4F00"/>
    <w:rsid w:val="009F4F1A"/>
    <w:rsid w:val="009F500A"/>
    <w:rsid w:val="009F5046"/>
    <w:rsid w:val="009F5141"/>
    <w:rsid w:val="009F5356"/>
    <w:rsid w:val="009F54D9"/>
    <w:rsid w:val="009F552B"/>
    <w:rsid w:val="009F55BD"/>
    <w:rsid w:val="009F5639"/>
    <w:rsid w:val="009F59FA"/>
    <w:rsid w:val="009F5FBF"/>
    <w:rsid w:val="009F6075"/>
    <w:rsid w:val="009F61F6"/>
    <w:rsid w:val="009F6369"/>
    <w:rsid w:val="009F6389"/>
    <w:rsid w:val="009F6489"/>
    <w:rsid w:val="009F658D"/>
    <w:rsid w:val="009F6802"/>
    <w:rsid w:val="009F6848"/>
    <w:rsid w:val="009F6918"/>
    <w:rsid w:val="009F6958"/>
    <w:rsid w:val="009F696D"/>
    <w:rsid w:val="009F69F6"/>
    <w:rsid w:val="009F6A91"/>
    <w:rsid w:val="009F6ACE"/>
    <w:rsid w:val="009F6CCC"/>
    <w:rsid w:val="009F6CDC"/>
    <w:rsid w:val="009F6D99"/>
    <w:rsid w:val="009F6FFC"/>
    <w:rsid w:val="009F708B"/>
    <w:rsid w:val="009F738D"/>
    <w:rsid w:val="009F776D"/>
    <w:rsid w:val="009F78B5"/>
    <w:rsid w:val="009F78E5"/>
    <w:rsid w:val="00A00164"/>
    <w:rsid w:val="00A00288"/>
    <w:rsid w:val="00A002D5"/>
    <w:rsid w:val="00A00483"/>
    <w:rsid w:val="00A0086F"/>
    <w:rsid w:val="00A008AE"/>
    <w:rsid w:val="00A008F7"/>
    <w:rsid w:val="00A009B2"/>
    <w:rsid w:val="00A00AC2"/>
    <w:rsid w:val="00A00B3E"/>
    <w:rsid w:val="00A00BBD"/>
    <w:rsid w:val="00A00BEC"/>
    <w:rsid w:val="00A00C28"/>
    <w:rsid w:val="00A00E22"/>
    <w:rsid w:val="00A00E80"/>
    <w:rsid w:val="00A00ED0"/>
    <w:rsid w:val="00A0112C"/>
    <w:rsid w:val="00A013EA"/>
    <w:rsid w:val="00A01420"/>
    <w:rsid w:val="00A0149C"/>
    <w:rsid w:val="00A01588"/>
    <w:rsid w:val="00A015BC"/>
    <w:rsid w:val="00A016E4"/>
    <w:rsid w:val="00A0172C"/>
    <w:rsid w:val="00A01775"/>
    <w:rsid w:val="00A0178C"/>
    <w:rsid w:val="00A0190C"/>
    <w:rsid w:val="00A0197C"/>
    <w:rsid w:val="00A01B75"/>
    <w:rsid w:val="00A01C28"/>
    <w:rsid w:val="00A01C63"/>
    <w:rsid w:val="00A01CCA"/>
    <w:rsid w:val="00A02097"/>
    <w:rsid w:val="00A021B4"/>
    <w:rsid w:val="00A023C0"/>
    <w:rsid w:val="00A02443"/>
    <w:rsid w:val="00A02487"/>
    <w:rsid w:val="00A02687"/>
    <w:rsid w:val="00A0271D"/>
    <w:rsid w:val="00A02905"/>
    <w:rsid w:val="00A02A12"/>
    <w:rsid w:val="00A02A95"/>
    <w:rsid w:val="00A02C16"/>
    <w:rsid w:val="00A02C25"/>
    <w:rsid w:val="00A02E16"/>
    <w:rsid w:val="00A030AA"/>
    <w:rsid w:val="00A030C3"/>
    <w:rsid w:val="00A030DA"/>
    <w:rsid w:val="00A0317E"/>
    <w:rsid w:val="00A031CC"/>
    <w:rsid w:val="00A03251"/>
    <w:rsid w:val="00A03374"/>
    <w:rsid w:val="00A033F0"/>
    <w:rsid w:val="00A0343C"/>
    <w:rsid w:val="00A03447"/>
    <w:rsid w:val="00A03B60"/>
    <w:rsid w:val="00A03C9D"/>
    <w:rsid w:val="00A03DA7"/>
    <w:rsid w:val="00A03ED3"/>
    <w:rsid w:val="00A03F27"/>
    <w:rsid w:val="00A03F84"/>
    <w:rsid w:val="00A041B2"/>
    <w:rsid w:val="00A041CE"/>
    <w:rsid w:val="00A041F5"/>
    <w:rsid w:val="00A0426F"/>
    <w:rsid w:val="00A042F0"/>
    <w:rsid w:val="00A0451A"/>
    <w:rsid w:val="00A046B2"/>
    <w:rsid w:val="00A047EB"/>
    <w:rsid w:val="00A04913"/>
    <w:rsid w:val="00A04962"/>
    <w:rsid w:val="00A04AF6"/>
    <w:rsid w:val="00A04B31"/>
    <w:rsid w:val="00A04BB9"/>
    <w:rsid w:val="00A04BE4"/>
    <w:rsid w:val="00A04C0B"/>
    <w:rsid w:val="00A04D02"/>
    <w:rsid w:val="00A04D21"/>
    <w:rsid w:val="00A04D3C"/>
    <w:rsid w:val="00A04ED3"/>
    <w:rsid w:val="00A04F22"/>
    <w:rsid w:val="00A05067"/>
    <w:rsid w:val="00A05264"/>
    <w:rsid w:val="00A05266"/>
    <w:rsid w:val="00A05297"/>
    <w:rsid w:val="00A052BA"/>
    <w:rsid w:val="00A0530A"/>
    <w:rsid w:val="00A056A5"/>
    <w:rsid w:val="00A0570F"/>
    <w:rsid w:val="00A05910"/>
    <w:rsid w:val="00A05BDF"/>
    <w:rsid w:val="00A05D3B"/>
    <w:rsid w:val="00A06092"/>
    <w:rsid w:val="00A06103"/>
    <w:rsid w:val="00A06111"/>
    <w:rsid w:val="00A0615C"/>
    <w:rsid w:val="00A06162"/>
    <w:rsid w:val="00A062BD"/>
    <w:rsid w:val="00A06323"/>
    <w:rsid w:val="00A06397"/>
    <w:rsid w:val="00A06437"/>
    <w:rsid w:val="00A064DD"/>
    <w:rsid w:val="00A06583"/>
    <w:rsid w:val="00A065F9"/>
    <w:rsid w:val="00A06750"/>
    <w:rsid w:val="00A06778"/>
    <w:rsid w:val="00A0692C"/>
    <w:rsid w:val="00A06AAE"/>
    <w:rsid w:val="00A06B6B"/>
    <w:rsid w:val="00A06C5C"/>
    <w:rsid w:val="00A06C80"/>
    <w:rsid w:val="00A06D61"/>
    <w:rsid w:val="00A06DAD"/>
    <w:rsid w:val="00A06E51"/>
    <w:rsid w:val="00A06FF1"/>
    <w:rsid w:val="00A0702D"/>
    <w:rsid w:val="00A07253"/>
    <w:rsid w:val="00A072CD"/>
    <w:rsid w:val="00A07407"/>
    <w:rsid w:val="00A0755E"/>
    <w:rsid w:val="00A075D0"/>
    <w:rsid w:val="00A07798"/>
    <w:rsid w:val="00A078A7"/>
    <w:rsid w:val="00A07A29"/>
    <w:rsid w:val="00A07B50"/>
    <w:rsid w:val="00A07B81"/>
    <w:rsid w:val="00A07D13"/>
    <w:rsid w:val="00A07F52"/>
    <w:rsid w:val="00A1000E"/>
    <w:rsid w:val="00A1020C"/>
    <w:rsid w:val="00A1056A"/>
    <w:rsid w:val="00A10664"/>
    <w:rsid w:val="00A10727"/>
    <w:rsid w:val="00A1077F"/>
    <w:rsid w:val="00A10933"/>
    <w:rsid w:val="00A10950"/>
    <w:rsid w:val="00A10B38"/>
    <w:rsid w:val="00A10BB1"/>
    <w:rsid w:val="00A10C7D"/>
    <w:rsid w:val="00A10D28"/>
    <w:rsid w:val="00A10D8B"/>
    <w:rsid w:val="00A10F63"/>
    <w:rsid w:val="00A10FE4"/>
    <w:rsid w:val="00A11074"/>
    <w:rsid w:val="00A11178"/>
    <w:rsid w:val="00A11181"/>
    <w:rsid w:val="00A11194"/>
    <w:rsid w:val="00A1123B"/>
    <w:rsid w:val="00A1138A"/>
    <w:rsid w:val="00A11466"/>
    <w:rsid w:val="00A115C3"/>
    <w:rsid w:val="00A115CF"/>
    <w:rsid w:val="00A117E1"/>
    <w:rsid w:val="00A11849"/>
    <w:rsid w:val="00A11860"/>
    <w:rsid w:val="00A11961"/>
    <w:rsid w:val="00A11A38"/>
    <w:rsid w:val="00A11A98"/>
    <w:rsid w:val="00A11C03"/>
    <w:rsid w:val="00A11CFA"/>
    <w:rsid w:val="00A11D92"/>
    <w:rsid w:val="00A11DC8"/>
    <w:rsid w:val="00A11DF8"/>
    <w:rsid w:val="00A11E17"/>
    <w:rsid w:val="00A11F56"/>
    <w:rsid w:val="00A11F65"/>
    <w:rsid w:val="00A11F83"/>
    <w:rsid w:val="00A12048"/>
    <w:rsid w:val="00A12187"/>
    <w:rsid w:val="00A1242C"/>
    <w:rsid w:val="00A124D0"/>
    <w:rsid w:val="00A12521"/>
    <w:rsid w:val="00A12684"/>
    <w:rsid w:val="00A126C6"/>
    <w:rsid w:val="00A127D1"/>
    <w:rsid w:val="00A12807"/>
    <w:rsid w:val="00A128D0"/>
    <w:rsid w:val="00A1297B"/>
    <w:rsid w:val="00A12A1A"/>
    <w:rsid w:val="00A12F2A"/>
    <w:rsid w:val="00A13000"/>
    <w:rsid w:val="00A1300E"/>
    <w:rsid w:val="00A130DD"/>
    <w:rsid w:val="00A131AA"/>
    <w:rsid w:val="00A13221"/>
    <w:rsid w:val="00A13346"/>
    <w:rsid w:val="00A13615"/>
    <w:rsid w:val="00A1362F"/>
    <w:rsid w:val="00A136F6"/>
    <w:rsid w:val="00A13A61"/>
    <w:rsid w:val="00A13AB0"/>
    <w:rsid w:val="00A13C2A"/>
    <w:rsid w:val="00A13C3F"/>
    <w:rsid w:val="00A13EE2"/>
    <w:rsid w:val="00A14026"/>
    <w:rsid w:val="00A1407A"/>
    <w:rsid w:val="00A14109"/>
    <w:rsid w:val="00A141F5"/>
    <w:rsid w:val="00A14215"/>
    <w:rsid w:val="00A1425E"/>
    <w:rsid w:val="00A14308"/>
    <w:rsid w:val="00A14324"/>
    <w:rsid w:val="00A1434D"/>
    <w:rsid w:val="00A14438"/>
    <w:rsid w:val="00A14569"/>
    <w:rsid w:val="00A146BE"/>
    <w:rsid w:val="00A14BE1"/>
    <w:rsid w:val="00A14E58"/>
    <w:rsid w:val="00A14E5D"/>
    <w:rsid w:val="00A14F07"/>
    <w:rsid w:val="00A14F08"/>
    <w:rsid w:val="00A14FDD"/>
    <w:rsid w:val="00A150C8"/>
    <w:rsid w:val="00A15284"/>
    <w:rsid w:val="00A1535A"/>
    <w:rsid w:val="00A15379"/>
    <w:rsid w:val="00A153EE"/>
    <w:rsid w:val="00A154F4"/>
    <w:rsid w:val="00A1560F"/>
    <w:rsid w:val="00A15621"/>
    <w:rsid w:val="00A1585D"/>
    <w:rsid w:val="00A1586C"/>
    <w:rsid w:val="00A15913"/>
    <w:rsid w:val="00A15A29"/>
    <w:rsid w:val="00A15AB1"/>
    <w:rsid w:val="00A15B76"/>
    <w:rsid w:val="00A15C38"/>
    <w:rsid w:val="00A15CB3"/>
    <w:rsid w:val="00A15D4C"/>
    <w:rsid w:val="00A15F84"/>
    <w:rsid w:val="00A15F96"/>
    <w:rsid w:val="00A16032"/>
    <w:rsid w:val="00A16046"/>
    <w:rsid w:val="00A16084"/>
    <w:rsid w:val="00A162DF"/>
    <w:rsid w:val="00A1633F"/>
    <w:rsid w:val="00A16620"/>
    <w:rsid w:val="00A1666C"/>
    <w:rsid w:val="00A1670D"/>
    <w:rsid w:val="00A16911"/>
    <w:rsid w:val="00A1691D"/>
    <w:rsid w:val="00A16A87"/>
    <w:rsid w:val="00A16BA8"/>
    <w:rsid w:val="00A16D20"/>
    <w:rsid w:val="00A16D25"/>
    <w:rsid w:val="00A16DDB"/>
    <w:rsid w:val="00A16E8B"/>
    <w:rsid w:val="00A16F93"/>
    <w:rsid w:val="00A17142"/>
    <w:rsid w:val="00A17262"/>
    <w:rsid w:val="00A17288"/>
    <w:rsid w:val="00A174E2"/>
    <w:rsid w:val="00A176CF"/>
    <w:rsid w:val="00A176F5"/>
    <w:rsid w:val="00A1796A"/>
    <w:rsid w:val="00A17981"/>
    <w:rsid w:val="00A17BD6"/>
    <w:rsid w:val="00A17BEC"/>
    <w:rsid w:val="00A17BF4"/>
    <w:rsid w:val="00A17C2D"/>
    <w:rsid w:val="00A17CE3"/>
    <w:rsid w:val="00A17D75"/>
    <w:rsid w:val="00A17F91"/>
    <w:rsid w:val="00A17FE5"/>
    <w:rsid w:val="00A20010"/>
    <w:rsid w:val="00A20092"/>
    <w:rsid w:val="00A2010C"/>
    <w:rsid w:val="00A202B9"/>
    <w:rsid w:val="00A2036E"/>
    <w:rsid w:val="00A2053F"/>
    <w:rsid w:val="00A2066A"/>
    <w:rsid w:val="00A20789"/>
    <w:rsid w:val="00A20A64"/>
    <w:rsid w:val="00A20B1E"/>
    <w:rsid w:val="00A20D8F"/>
    <w:rsid w:val="00A20D9D"/>
    <w:rsid w:val="00A20E67"/>
    <w:rsid w:val="00A20EEF"/>
    <w:rsid w:val="00A20FA9"/>
    <w:rsid w:val="00A21005"/>
    <w:rsid w:val="00A21045"/>
    <w:rsid w:val="00A210E4"/>
    <w:rsid w:val="00A211F8"/>
    <w:rsid w:val="00A214E2"/>
    <w:rsid w:val="00A21520"/>
    <w:rsid w:val="00A215C9"/>
    <w:rsid w:val="00A2177D"/>
    <w:rsid w:val="00A21981"/>
    <w:rsid w:val="00A21A2D"/>
    <w:rsid w:val="00A21AA2"/>
    <w:rsid w:val="00A21ADA"/>
    <w:rsid w:val="00A21AFB"/>
    <w:rsid w:val="00A21CE9"/>
    <w:rsid w:val="00A21D63"/>
    <w:rsid w:val="00A21E44"/>
    <w:rsid w:val="00A2200F"/>
    <w:rsid w:val="00A22047"/>
    <w:rsid w:val="00A22127"/>
    <w:rsid w:val="00A22251"/>
    <w:rsid w:val="00A2239D"/>
    <w:rsid w:val="00A223DC"/>
    <w:rsid w:val="00A22485"/>
    <w:rsid w:val="00A22787"/>
    <w:rsid w:val="00A22A02"/>
    <w:rsid w:val="00A22C5E"/>
    <w:rsid w:val="00A22CA3"/>
    <w:rsid w:val="00A22E33"/>
    <w:rsid w:val="00A22FBA"/>
    <w:rsid w:val="00A2315E"/>
    <w:rsid w:val="00A231FA"/>
    <w:rsid w:val="00A232E9"/>
    <w:rsid w:val="00A23433"/>
    <w:rsid w:val="00A2379F"/>
    <w:rsid w:val="00A237E4"/>
    <w:rsid w:val="00A2394A"/>
    <w:rsid w:val="00A2398C"/>
    <w:rsid w:val="00A239EC"/>
    <w:rsid w:val="00A23BB5"/>
    <w:rsid w:val="00A23CBD"/>
    <w:rsid w:val="00A23E25"/>
    <w:rsid w:val="00A23E2B"/>
    <w:rsid w:val="00A23EE3"/>
    <w:rsid w:val="00A23FDC"/>
    <w:rsid w:val="00A24142"/>
    <w:rsid w:val="00A241B6"/>
    <w:rsid w:val="00A2445D"/>
    <w:rsid w:val="00A244B0"/>
    <w:rsid w:val="00A2469B"/>
    <w:rsid w:val="00A2499F"/>
    <w:rsid w:val="00A24A15"/>
    <w:rsid w:val="00A24AE1"/>
    <w:rsid w:val="00A24B0A"/>
    <w:rsid w:val="00A24F75"/>
    <w:rsid w:val="00A24F8D"/>
    <w:rsid w:val="00A2502C"/>
    <w:rsid w:val="00A250F7"/>
    <w:rsid w:val="00A2514A"/>
    <w:rsid w:val="00A25379"/>
    <w:rsid w:val="00A253A1"/>
    <w:rsid w:val="00A253AC"/>
    <w:rsid w:val="00A2542E"/>
    <w:rsid w:val="00A25655"/>
    <w:rsid w:val="00A2585C"/>
    <w:rsid w:val="00A258F4"/>
    <w:rsid w:val="00A259CE"/>
    <w:rsid w:val="00A25A2B"/>
    <w:rsid w:val="00A25C4E"/>
    <w:rsid w:val="00A25C95"/>
    <w:rsid w:val="00A25CA6"/>
    <w:rsid w:val="00A25E87"/>
    <w:rsid w:val="00A25F0D"/>
    <w:rsid w:val="00A25F59"/>
    <w:rsid w:val="00A25FA7"/>
    <w:rsid w:val="00A26021"/>
    <w:rsid w:val="00A26055"/>
    <w:rsid w:val="00A26187"/>
    <w:rsid w:val="00A261E0"/>
    <w:rsid w:val="00A262A5"/>
    <w:rsid w:val="00A262CC"/>
    <w:rsid w:val="00A26489"/>
    <w:rsid w:val="00A2668D"/>
    <w:rsid w:val="00A26794"/>
    <w:rsid w:val="00A26954"/>
    <w:rsid w:val="00A26ADE"/>
    <w:rsid w:val="00A26E1F"/>
    <w:rsid w:val="00A26EAB"/>
    <w:rsid w:val="00A27039"/>
    <w:rsid w:val="00A272E6"/>
    <w:rsid w:val="00A272EB"/>
    <w:rsid w:val="00A2746F"/>
    <w:rsid w:val="00A274B5"/>
    <w:rsid w:val="00A27509"/>
    <w:rsid w:val="00A2753D"/>
    <w:rsid w:val="00A2758E"/>
    <w:rsid w:val="00A27683"/>
    <w:rsid w:val="00A2787B"/>
    <w:rsid w:val="00A278C9"/>
    <w:rsid w:val="00A2791B"/>
    <w:rsid w:val="00A279C0"/>
    <w:rsid w:val="00A27A52"/>
    <w:rsid w:val="00A27BB9"/>
    <w:rsid w:val="00A27EFA"/>
    <w:rsid w:val="00A27FE0"/>
    <w:rsid w:val="00A300DE"/>
    <w:rsid w:val="00A30120"/>
    <w:rsid w:val="00A30382"/>
    <w:rsid w:val="00A306C2"/>
    <w:rsid w:val="00A307A3"/>
    <w:rsid w:val="00A30AB1"/>
    <w:rsid w:val="00A30B6C"/>
    <w:rsid w:val="00A30C2E"/>
    <w:rsid w:val="00A30DEB"/>
    <w:rsid w:val="00A30F63"/>
    <w:rsid w:val="00A31127"/>
    <w:rsid w:val="00A31253"/>
    <w:rsid w:val="00A31314"/>
    <w:rsid w:val="00A31784"/>
    <w:rsid w:val="00A31896"/>
    <w:rsid w:val="00A318A4"/>
    <w:rsid w:val="00A31AB3"/>
    <w:rsid w:val="00A31B7B"/>
    <w:rsid w:val="00A31C26"/>
    <w:rsid w:val="00A31C7B"/>
    <w:rsid w:val="00A31E12"/>
    <w:rsid w:val="00A31E6F"/>
    <w:rsid w:val="00A31EFE"/>
    <w:rsid w:val="00A31F43"/>
    <w:rsid w:val="00A32024"/>
    <w:rsid w:val="00A32067"/>
    <w:rsid w:val="00A32070"/>
    <w:rsid w:val="00A320D9"/>
    <w:rsid w:val="00A3224D"/>
    <w:rsid w:val="00A322D7"/>
    <w:rsid w:val="00A3233D"/>
    <w:rsid w:val="00A323FE"/>
    <w:rsid w:val="00A324AC"/>
    <w:rsid w:val="00A326A2"/>
    <w:rsid w:val="00A327D7"/>
    <w:rsid w:val="00A327FE"/>
    <w:rsid w:val="00A3285B"/>
    <w:rsid w:val="00A329B1"/>
    <w:rsid w:val="00A329BC"/>
    <w:rsid w:val="00A329F0"/>
    <w:rsid w:val="00A32A3C"/>
    <w:rsid w:val="00A32CB6"/>
    <w:rsid w:val="00A32E66"/>
    <w:rsid w:val="00A3313B"/>
    <w:rsid w:val="00A3330C"/>
    <w:rsid w:val="00A33354"/>
    <w:rsid w:val="00A3341E"/>
    <w:rsid w:val="00A33425"/>
    <w:rsid w:val="00A335E2"/>
    <w:rsid w:val="00A33A51"/>
    <w:rsid w:val="00A33B60"/>
    <w:rsid w:val="00A33B84"/>
    <w:rsid w:val="00A33BFC"/>
    <w:rsid w:val="00A33D4D"/>
    <w:rsid w:val="00A33E18"/>
    <w:rsid w:val="00A33E97"/>
    <w:rsid w:val="00A33EB7"/>
    <w:rsid w:val="00A33F1A"/>
    <w:rsid w:val="00A33FB9"/>
    <w:rsid w:val="00A3410E"/>
    <w:rsid w:val="00A34144"/>
    <w:rsid w:val="00A341A7"/>
    <w:rsid w:val="00A34283"/>
    <w:rsid w:val="00A342B4"/>
    <w:rsid w:val="00A3430B"/>
    <w:rsid w:val="00A347CD"/>
    <w:rsid w:val="00A34933"/>
    <w:rsid w:val="00A3497A"/>
    <w:rsid w:val="00A349CB"/>
    <w:rsid w:val="00A34A9B"/>
    <w:rsid w:val="00A34AFF"/>
    <w:rsid w:val="00A34CD9"/>
    <w:rsid w:val="00A34DFB"/>
    <w:rsid w:val="00A34E05"/>
    <w:rsid w:val="00A34E6C"/>
    <w:rsid w:val="00A34ECC"/>
    <w:rsid w:val="00A34F45"/>
    <w:rsid w:val="00A350B7"/>
    <w:rsid w:val="00A351EA"/>
    <w:rsid w:val="00A3522E"/>
    <w:rsid w:val="00A355B0"/>
    <w:rsid w:val="00A356A9"/>
    <w:rsid w:val="00A3571C"/>
    <w:rsid w:val="00A357E0"/>
    <w:rsid w:val="00A35905"/>
    <w:rsid w:val="00A35B96"/>
    <w:rsid w:val="00A35BDE"/>
    <w:rsid w:val="00A35D7E"/>
    <w:rsid w:val="00A35E20"/>
    <w:rsid w:val="00A35F70"/>
    <w:rsid w:val="00A35FFB"/>
    <w:rsid w:val="00A3602D"/>
    <w:rsid w:val="00A36061"/>
    <w:rsid w:val="00A36112"/>
    <w:rsid w:val="00A36205"/>
    <w:rsid w:val="00A36210"/>
    <w:rsid w:val="00A3622C"/>
    <w:rsid w:val="00A3661B"/>
    <w:rsid w:val="00A366BB"/>
    <w:rsid w:val="00A36BA1"/>
    <w:rsid w:val="00A36C52"/>
    <w:rsid w:val="00A36F1F"/>
    <w:rsid w:val="00A36F24"/>
    <w:rsid w:val="00A3715D"/>
    <w:rsid w:val="00A37433"/>
    <w:rsid w:val="00A37541"/>
    <w:rsid w:val="00A37564"/>
    <w:rsid w:val="00A3759B"/>
    <w:rsid w:val="00A37743"/>
    <w:rsid w:val="00A37787"/>
    <w:rsid w:val="00A3778E"/>
    <w:rsid w:val="00A377AB"/>
    <w:rsid w:val="00A377C1"/>
    <w:rsid w:val="00A37868"/>
    <w:rsid w:val="00A378B3"/>
    <w:rsid w:val="00A3798B"/>
    <w:rsid w:val="00A37992"/>
    <w:rsid w:val="00A379E5"/>
    <w:rsid w:val="00A37A22"/>
    <w:rsid w:val="00A37E6A"/>
    <w:rsid w:val="00A37EA7"/>
    <w:rsid w:val="00A400DE"/>
    <w:rsid w:val="00A4029D"/>
    <w:rsid w:val="00A4044E"/>
    <w:rsid w:val="00A4045E"/>
    <w:rsid w:val="00A404CC"/>
    <w:rsid w:val="00A407BE"/>
    <w:rsid w:val="00A4080D"/>
    <w:rsid w:val="00A4080E"/>
    <w:rsid w:val="00A409A5"/>
    <w:rsid w:val="00A409F1"/>
    <w:rsid w:val="00A409FA"/>
    <w:rsid w:val="00A40A25"/>
    <w:rsid w:val="00A40ADD"/>
    <w:rsid w:val="00A40BCD"/>
    <w:rsid w:val="00A40E98"/>
    <w:rsid w:val="00A41060"/>
    <w:rsid w:val="00A410D7"/>
    <w:rsid w:val="00A41156"/>
    <w:rsid w:val="00A41176"/>
    <w:rsid w:val="00A412B5"/>
    <w:rsid w:val="00A412CE"/>
    <w:rsid w:val="00A41339"/>
    <w:rsid w:val="00A413B1"/>
    <w:rsid w:val="00A41401"/>
    <w:rsid w:val="00A41424"/>
    <w:rsid w:val="00A415EE"/>
    <w:rsid w:val="00A4169B"/>
    <w:rsid w:val="00A41815"/>
    <w:rsid w:val="00A41A38"/>
    <w:rsid w:val="00A41D0C"/>
    <w:rsid w:val="00A41D93"/>
    <w:rsid w:val="00A41DD6"/>
    <w:rsid w:val="00A4204F"/>
    <w:rsid w:val="00A4205D"/>
    <w:rsid w:val="00A42094"/>
    <w:rsid w:val="00A42193"/>
    <w:rsid w:val="00A42264"/>
    <w:rsid w:val="00A4234F"/>
    <w:rsid w:val="00A423BE"/>
    <w:rsid w:val="00A424EE"/>
    <w:rsid w:val="00A42597"/>
    <w:rsid w:val="00A425D7"/>
    <w:rsid w:val="00A42739"/>
    <w:rsid w:val="00A4273B"/>
    <w:rsid w:val="00A427E4"/>
    <w:rsid w:val="00A42E25"/>
    <w:rsid w:val="00A42E44"/>
    <w:rsid w:val="00A42F9A"/>
    <w:rsid w:val="00A42FCB"/>
    <w:rsid w:val="00A430DF"/>
    <w:rsid w:val="00A43114"/>
    <w:rsid w:val="00A431D4"/>
    <w:rsid w:val="00A43303"/>
    <w:rsid w:val="00A433B9"/>
    <w:rsid w:val="00A43464"/>
    <w:rsid w:val="00A4350B"/>
    <w:rsid w:val="00A43579"/>
    <w:rsid w:val="00A4357F"/>
    <w:rsid w:val="00A4379C"/>
    <w:rsid w:val="00A437CA"/>
    <w:rsid w:val="00A43845"/>
    <w:rsid w:val="00A4396B"/>
    <w:rsid w:val="00A43A7E"/>
    <w:rsid w:val="00A4402D"/>
    <w:rsid w:val="00A44284"/>
    <w:rsid w:val="00A44302"/>
    <w:rsid w:val="00A4436C"/>
    <w:rsid w:val="00A44475"/>
    <w:rsid w:val="00A44579"/>
    <w:rsid w:val="00A445B8"/>
    <w:rsid w:val="00A445ED"/>
    <w:rsid w:val="00A4462C"/>
    <w:rsid w:val="00A44690"/>
    <w:rsid w:val="00A446F5"/>
    <w:rsid w:val="00A44713"/>
    <w:rsid w:val="00A447BD"/>
    <w:rsid w:val="00A4499D"/>
    <w:rsid w:val="00A44BEE"/>
    <w:rsid w:val="00A44D86"/>
    <w:rsid w:val="00A44FDD"/>
    <w:rsid w:val="00A44FF9"/>
    <w:rsid w:val="00A45032"/>
    <w:rsid w:val="00A45205"/>
    <w:rsid w:val="00A45456"/>
    <w:rsid w:val="00A454B6"/>
    <w:rsid w:val="00A454F3"/>
    <w:rsid w:val="00A456E5"/>
    <w:rsid w:val="00A45BF2"/>
    <w:rsid w:val="00A45C79"/>
    <w:rsid w:val="00A45D32"/>
    <w:rsid w:val="00A45D59"/>
    <w:rsid w:val="00A46678"/>
    <w:rsid w:val="00A46783"/>
    <w:rsid w:val="00A4678A"/>
    <w:rsid w:val="00A46805"/>
    <w:rsid w:val="00A46825"/>
    <w:rsid w:val="00A4692B"/>
    <w:rsid w:val="00A46D25"/>
    <w:rsid w:val="00A46EF8"/>
    <w:rsid w:val="00A47013"/>
    <w:rsid w:val="00A4710A"/>
    <w:rsid w:val="00A4726D"/>
    <w:rsid w:val="00A47318"/>
    <w:rsid w:val="00A47424"/>
    <w:rsid w:val="00A47624"/>
    <w:rsid w:val="00A476A6"/>
    <w:rsid w:val="00A476FB"/>
    <w:rsid w:val="00A47758"/>
    <w:rsid w:val="00A4779E"/>
    <w:rsid w:val="00A477FB"/>
    <w:rsid w:val="00A47852"/>
    <w:rsid w:val="00A478EB"/>
    <w:rsid w:val="00A47B28"/>
    <w:rsid w:val="00A47C09"/>
    <w:rsid w:val="00A47DD5"/>
    <w:rsid w:val="00A47F75"/>
    <w:rsid w:val="00A50032"/>
    <w:rsid w:val="00A5014A"/>
    <w:rsid w:val="00A501ED"/>
    <w:rsid w:val="00A5022A"/>
    <w:rsid w:val="00A50423"/>
    <w:rsid w:val="00A50478"/>
    <w:rsid w:val="00A50547"/>
    <w:rsid w:val="00A50563"/>
    <w:rsid w:val="00A505A4"/>
    <w:rsid w:val="00A5081D"/>
    <w:rsid w:val="00A5088D"/>
    <w:rsid w:val="00A50A1D"/>
    <w:rsid w:val="00A50AC3"/>
    <w:rsid w:val="00A50C05"/>
    <w:rsid w:val="00A50D64"/>
    <w:rsid w:val="00A50EEB"/>
    <w:rsid w:val="00A50F64"/>
    <w:rsid w:val="00A5109D"/>
    <w:rsid w:val="00A510DD"/>
    <w:rsid w:val="00A5137F"/>
    <w:rsid w:val="00A5185E"/>
    <w:rsid w:val="00A519E8"/>
    <w:rsid w:val="00A51AF8"/>
    <w:rsid w:val="00A51C05"/>
    <w:rsid w:val="00A51CDF"/>
    <w:rsid w:val="00A51D12"/>
    <w:rsid w:val="00A51E35"/>
    <w:rsid w:val="00A51ED5"/>
    <w:rsid w:val="00A51FBD"/>
    <w:rsid w:val="00A51FE9"/>
    <w:rsid w:val="00A52035"/>
    <w:rsid w:val="00A52088"/>
    <w:rsid w:val="00A5213F"/>
    <w:rsid w:val="00A52255"/>
    <w:rsid w:val="00A5226A"/>
    <w:rsid w:val="00A522F5"/>
    <w:rsid w:val="00A52372"/>
    <w:rsid w:val="00A523B6"/>
    <w:rsid w:val="00A52635"/>
    <w:rsid w:val="00A52721"/>
    <w:rsid w:val="00A52AAB"/>
    <w:rsid w:val="00A52AFD"/>
    <w:rsid w:val="00A52B76"/>
    <w:rsid w:val="00A52BFA"/>
    <w:rsid w:val="00A52C53"/>
    <w:rsid w:val="00A52D19"/>
    <w:rsid w:val="00A530B6"/>
    <w:rsid w:val="00A530B8"/>
    <w:rsid w:val="00A5327C"/>
    <w:rsid w:val="00A532FC"/>
    <w:rsid w:val="00A53659"/>
    <w:rsid w:val="00A5370A"/>
    <w:rsid w:val="00A538C1"/>
    <w:rsid w:val="00A538C4"/>
    <w:rsid w:val="00A5390D"/>
    <w:rsid w:val="00A53C61"/>
    <w:rsid w:val="00A53D1F"/>
    <w:rsid w:val="00A53D5B"/>
    <w:rsid w:val="00A53D91"/>
    <w:rsid w:val="00A53F0A"/>
    <w:rsid w:val="00A53FDE"/>
    <w:rsid w:val="00A54016"/>
    <w:rsid w:val="00A5417D"/>
    <w:rsid w:val="00A5423F"/>
    <w:rsid w:val="00A5424D"/>
    <w:rsid w:val="00A5433C"/>
    <w:rsid w:val="00A54512"/>
    <w:rsid w:val="00A546B7"/>
    <w:rsid w:val="00A5472B"/>
    <w:rsid w:val="00A547E9"/>
    <w:rsid w:val="00A548B0"/>
    <w:rsid w:val="00A54A80"/>
    <w:rsid w:val="00A54A98"/>
    <w:rsid w:val="00A54BBC"/>
    <w:rsid w:val="00A54C30"/>
    <w:rsid w:val="00A54DDB"/>
    <w:rsid w:val="00A54F10"/>
    <w:rsid w:val="00A55024"/>
    <w:rsid w:val="00A5502A"/>
    <w:rsid w:val="00A55219"/>
    <w:rsid w:val="00A55635"/>
    <w:rsid w:val="00A55737"/>
    <w:rsid w:val="00A557E6"/>
    <w:rsid w:val="00A558F0"/>
    <w:rsid w:val="00A55B8C"/>
    <w:rsid w:val="00A55C36"/>
    <w:rsid w:val="00A55DDF"/>
    <w:rsid w:val="00A561F1"/>
    <w:rsid w:val="00A5620F"/>
    <w:rsid w:val="00A56389"/>
    <w:rsid w:val="00A56438"/>
    <w:rsid w:val="00A565BA"/>
    <w:rsid w:val="00A56632"/>
    <w:rsid w:val="00A56833"/>
    <w:rsid w:val="00A568BE"/>
    <w:rsid w:val="00A56906"/>
    <w:rsid w:val="00A56911"/>
    <w:rsid w:val="00A56A7A"/>
    <w:rsid w:val="00A56FA6"/>
    <w:rsid w:val="00A5719D"/>
    <w:rsid w:val="00A57270"/>
    <w:rsid w:val="00A573D3"/>
    <w:rsid w:val="00A575D1"/>
    <w:rsid w:val="00A575D4"/>
    <w:rsid w:val="00A57674"/>
    <w:rsid w:val="00A57747"/>
    <w:rsid w:val="00A57821"/>
    <w:rsid w:val="00A57828"/>
    <w:rsid w:val="00A57849"/>
    <w:rsid w:val="00A578A6"/>
    <w:rsid w:val="00A579AC"/>
    <w:rsid w:val="00A57A89"/>
    <w:rsid w:val="00A57AC5"/>
    <w:rsid w:val="00A57B0E"/>
    <w:rsid w:val="00A57BA3"/>
    <w:rsid w:val="00A6003D"/>
    <w:rsid w:val="00A60056"/>
    <w:rsid w:val="00A60177"/>
    <w:rsid w:val="00A601BF"/>
    <w:rsid w:val="00A60296"/>
    <w:rsid w:val="00A602A0"/>
    <w:rsid w:val="00A602F3"/>
    <w:rsid w:val="00A60462"/>
    <w:rsid w:val="00A604DD"/>
    <w:rsid w:val="00A604DE"/>
    <w:rsid w:val="00A60913"/>
    <w:rsid w:val="00A60ADD"/>
    <w:rsid w:val="00A60ADE"/>
    <w:rsid w:val="00A60B0A"/>
    <w:rsid w:val="00A60D0E"/>
    <w:rsid w:val="00A60EF6"/>
    <w:rsid w:val="00A610AD"/>
    <w:rsid w:val="00A611F5"/>
    <w:rsid w:val="00A61293"/>
    <w:rsid w:val="00A614BA"/>
    <w:rsid w:val="00A61736"/>
    <w:rsid w:val="00A6195F"/>
    <w:rsid w:val="00A6197F"/>
    <w:rsid w:val="00A61A54"/>
    <w:rsid w:val="00A61AAB"/>
    <w:rsid w:val="00A61C5D"/>
    <w:rsid w:val="00A61C61"/>
    <w:rsid w:val="00A61CCD"/>
    <w:rsid w:val="00A61DE3"/>
    <w:rsid w:val="00A61F79"/>
    <w:rsid w:val="00A61F88"/>
    <w:rsid w:val="00A62002"/>
    <w:rsid w:val="00A6200B"/>
    <w:rsid w:val="00A62063"/>
    <w:rsid w:val="00A62243"/>
    <w:rsid w:val="00A624B1"/>
    <w:rsid w:val="00A624B3"/>
    <w:rsid w:val="00A625F5"/>
    <w:rsid w:val="00A626EA"/>
    <w:rsid w:val="00A62771"/>
    <w:rsid w:val="00A627E3"/>
    <w:rsid w:val="00A627F4"/>
    <w:rsid w:val="00A629E5"/>
    <w:rsid w:val="00A629EA"/>
    <w:rsid w:val="00A62B5B"/>
    <w:rsid w:val="00A62BEB"/>
    <w:rsid w:val="00A62C7D"/>
    <w:rsid w:val="00A62CB7"/>
    <w:rsid w:val="00A62E1F"/>
    <w:rsid w:val="00A62E8E"/>
    <w:rsid w:val="00A63239"/>
    <w:rsid w:val="00A6333F"/>
    <w:rsid w:val="00A6346E"/>
    <w:rsid w:val="00A63597"/>
    <w:rsid w:val="00A63675"/>
    <w:rsid w:val="00A6378D"/>
    <w:rsid w:val="00A63844"/>
    <w:rsid w:val="00A63986"/>
    <w:rsid w:val="00A639BF"/>
    <w:rsid w:val="00A639DE"/>
    <w:rsid w:val="00A63B0B"/>
    <w:rsid w:val="00A63B7D"/>
    <w:rsid w:val="00A63BCE"/>
    <w:rsid w:val="00A63D37"/>
    <w:rsid w:val="00A63DF2"/>
    <w:rsid w:val="00A63EE3"/>
    <w:rsid w:val="00A63EF6"/>
    <w:rsid w:val="00A63EFA"/>
    <w:rsid w:val="00A63FC9"/>
    <w:rsid w:val="00A641C6"/>
    <w:rsid w:val="00A641D9"/>
    <w:rsid w:val="00A64332"/>
    <w:rsid w:val="00A64379"/>
    <w:rsid w:val="00A643DD"/>
    <w:rsid w:val="00A64705"/>
    <w:rsid w:val="00A64866"/>
    <w:rsid w:val="00A648D8"/>
    <w:rsid w:val="00A649C1"/>
    <w:rsid w:val="00A64A26"/>
    <w:rsid w:val="00A64E5D"/>
    <w:rsid w:val="00A65011"/>
    <w:rsid w:val="00A65065"/>
    <w:rsid w:val="00A6519F"/>
    <w:rsid w:val="00A6527E"/>
    <w:rsid w:val="00A65360"/>
    <w:rsid w:val="00A6546A"/>
    <w:rsid w:val="00A654AF"/>
    <w:rsid w:val="00A654CC"/>
    <w:rsid w:val="00A65526"/>
    <w:rsid w:val="00A6567F"/>
    <w:rsid w:val="00A656B6"/>
    <w:rsid w:val="00A6572B"/>
    <w:rsid w:val="00A65856"/>
    <w:rsid w:val="00A658DB"/>
    <w:rsid w:val="00A65ADA"/>
    <w:rsid w:val="00A65BB9"/>
    <w:rsid w:val="00A65C5B"/>
    <w:rsid w:val="00A65DB5"/>
    <w:rsid w:val="00A65F04"/>
    <w:rsid w:val="00A65F94"/>
    <w:rsid w:val="00A660E7"/>
    <w:rsid w:val="00A6613B"/>
    <w:rsid w:val="00A661AA"/>
    <w:rsid w:val="00A66283"/>
    <w:rsid w:val="00A662E2"/>
    <w:rsid w:val="00A6644D"/>
    <w:rsid w:val="00A6654F"/>
    <w:rsid w:val="00A66559"/>
    <w:rsid w:val="00A66675"/>
    <w:rsid w:val="00A6679F"/>
    <w:rsid w:val="00A667D4"/>
    <w:rsid w:val="00A66858"/>
    <w:rsid w:val="00A66864"/>
    <w:rsid w:val="00A66896"/>
    <w:rsid w:val="00A669E9"/>
    <w:rsid w:val="00A66A3D"/>
    <w:rsid w:val="00A66D9D"/>
    <w:rsid w:val="00A66E41"/>
    <w:rsid w:val="00A66F84"/>
    <w:rsid w:val="00A670EC"/>
    <w:rsid w:val="00A67126"/>
    <w:rsid w:val="00A672D6"/>
    <w:rsid w:val="00A674FA"/>
    <w:rsid w:val="00A675B9"/>
    <w:rsid w:val="00A675F4"/>
    <w:rsid w:val="00A67666"/>
    <w:rsid w:val="00A67749"/>
    <w:rsid w:val="00A677B4"/>
    <w:rsid w:val="00A679AD"/>
    <w:rsid w:val="00A67B17"/>
    <w:rsid w:val="00A67C4B"/>
    <w:rsid w:val="00A67CBD"/>
    <w:rsid w:val="00A67D21"/>
    <w:rsid w:val="00A67D65"/>
    <w:rsid w:val="00A67EC5"/>
    <w:rsid w:val="00A67ECD"/>
    <w:rsid w:val="00A67F14"/>
    <w:rsid w:val="00A67F55"/>
    <w:rsid w:val="00A67FFE"/>
    <w:rsid w:val="00A7002F"/>
    <w:rsid w:val="00A700C0"/>
    <w:rsid w:val="00A701FF"/>
    <w:rsid w:val="00A702A8"/>
    <w:rsid w:val="00A7051E"/>
    <w:rsid w:val="00A70543"/>
    <w:rsid w:val="00A707FB"/>
    <w:rsid w:val="00A709E3"/>
    <w:rsid w:val="00A70BFF"/>
    <w:rsid w:val="00A70C09"/>
    <w:rsid w:val="00A70C91"/>
    <w:rsid w:val="00A70D82"/>
    <w:rsid w:val="00A70DC7"/>
    <w:rsid w:val="00A70E7B"/>
    <w:rsid w:val="00A70F7D"/>
    <w:rsid w:val="00A70F9B"/>
    <w:rsid w:val="00A711E8"/>
    <w:rsid w:val="00A71327"/>
    <w:rsid w:val="00A71392"/>
    <w:rsid w:val="00A713F8"/>
    <w:rsid w:val="00A71527"/>
    <w:rsid w:val="00A71599"/>
    <w:rsid w:val="00A715BD"/>
    <w:rsid w:val="00A71653"/>
    <w:rsid w:val="00A716F1"/>
    <w:rsid w:val="00A71705"/>
    <w:rsid w:val="00A717A9"/>
    <w:rsid w:val="00A717E0"/>
    <w:rsid w:val="00A71817"/>
    <w:rsid w:val="00A71874"/>
    <w:rsid w:val="00A719DF"/>
    <w:rsid w:val="00A71A0C"/>
    <w:rsid w:val="00A71C36"/>
    <w:rsid w:val="00A71E58"/>
    <w:rsid w:val="00A71E6C"/>
    <w:rsid w:val="00A71E76"/>
    <w:rsid w:val="00A71FAC"/>
    <w:rsid w:val="00A72052"/>
    <w:rsid w:val="00A7208C"/>
    <w:rsid w:val="00A723E8"/>
    <w:rsid w:val="00A7241B"/>
    <w:rsid w:val="00A724D9"/>
    <w:rsid w:val="00A724EF"/>
    <w:rsid w:val="00A725FF"/>
    <w:rsid w:val="00A726D4"/>
    <w:rsid w:val="00A727D2"/>
    <w:rsid w:val="00A72A38"/>
    <w:rsid w:val="00A72A7D"/>
    <w:rsid w:val="00A72CBC"/>
    <w:rsid w:val="00A72CD8"/>
    <w:rsid w:val="00A72D0A"/>
    <w:rsid w:val="00A72E1D"/>
    <w:rsid w:val="00A73122"/>
    <w:rsid w:val="00A731BE"/>
    <w:rsid w:val="00A73211"/>
    <w:rsid w:val="00A7336F"/>
    <w:rsid w:val="00A733BE"/>
    <w:rsid w:val="00A734C7"/>
    <w:rsid w:val="00A73672"/>
    <w:rsid w:val="00A736DC"/>
    <w:rsid w:val="00A73834"/>
    <w:rsid w:val="00A7383B"/>
    <w:rsid w:val="00A73895"/>
    <w:rsid w:val="00A738F8"/>
    <w:rsid w:val="00A739B3"/>
    <w:rsid w:val="00A739C1"/>
    <w:rsid w:val="00A73A9C"/>
    <w:rsid w:val="00A73E6F"/>
    <w:rsid w:val="00A74021"/>
    <w:rsid w:val="00A74134"/>
    <w:rsid w:val="00A74150"/>
    <w:rsid w:val="00A7420E"/>
    <w:rsid w:val="00A7423C"/>
    <w:rsid w:val="00A742E1"/>
    <w:rsid w:val="00A74309"/>
    <w:rsid w:val="00A7448E"/>
    <w:rsid w:val="00A744C1"/>
    <w:rsid w:val="00A745A8"/>
    <w:rsid w:val="00A74653"/>
    <w:rsid w:val="00A746FE"/>
    <w:rsid w:val="00A747B3"/>
    <w:rsid w:val="00A74911"/>
    <w:rsid w:val="00A74B81"/>
    <w:rsid w:val="00A74C94"/>
    <w:rsid w:val="00A75198"/>
    <w:rsid w:val="00A753A5"/>
    <w:rsid w:val="00A75681"/>
    <w:rsid w:val="00A757ED"/>
    <w:rsid w:val="00A75844"/>
    <w:rsid w:val="00A75A8F"/>
    <w:rsid w:val="00A75AC4"/>
    <w:rsid w:val="00A75B18"/>
    <w:rsid w:val="00A75BE2"/>
    <w:rsid w:val="00A75D97"/>
    <w:rsid w:val="00A75DD9"/>
    <w:rsid w:val="00A75ED9"/>
    <w:rsid w:val="00A75F65"/>
    <w:rsid w:val="00A76059"/>
    <w:rsid w:val="00A7605A"/>
    <w:rsid w:val="00A760C5"/>
    <w:rsid w:val="00A760D2"/>
    <w:rsid w:val="00A76170"/>
    <w:rsid w:val="00A7644F"/>
    <w:rsid w:val="00A7646F"/>
    <w:rsid w:val="00A765D1"/>
    <w:rsid w:val="00A766AE"/>
    <w:rsid w:val="00A766E3"/>
    <w:rsid w:val="00A7679A"/>
    <w:rsid w:val="00A768E3"/>
    <w:rsid w:val="00A76CB1"/>
    <w:rsid w:val="00A76CC3"/>
    <w:rsid w:val="00A76E72"/>
    <w:rsid w:val="00A76EF8"/>
    <w:rsid w:val="00A76FBB"/>
    <w:rsid w:val="00A76FE8"/>
    <w:rsid w:val="00A76FED"/>
    <w:rsid w:val="00A77083"/>
    <w:rsid w:val="00A7713D"/>
    <w:rsid w:val="00A77143"/>
    <w:rsid w:val="00A77238"/>
    <w:rsid w:val="00A77368"/>
    <w:rsid w:val="00A7744C"/>
    <w:rsid w:val="00A776A5"/>
    <w:rsid w:val="00A77716"/>
    <w:rsid w:val="00A77763"/>
    <w:rsid w:val="00A7776E"/>
    <w:rsid w:val="00A77818"/>
    <w:rsid w:val="00A77C35"/>
    <w:rsid w:val="00A77CC5"/>
    <w:rsid w:val="00A77D8D"/>
    <w:rsid w:val="00A77E54"/>
    <w:rsid w:val="00A80213"/>
    <w:rsid w:val="00A8043E"/>
    <w:rsid w:val="00A8044F"/>
    <w:rsid w:val="00A8059A"/>
    <w:rsid w:val="00A806FF"/>
    <w:rsid w:val="00A8083C"/>
    <w:rsid w:val="00A80892"/>
    <w:rsid w:val="00A808D1"/>
    <w:rsid w:val="00A80914"/>
    <w:rsid w:val="00A80948"/>
    <w:rsid w:val="00A809F1"/>
    <w:rsid w:val="00A809FF"/>
    <w:rsid w:val="00A80DDF"/>
    <w:rsid w:val="00A80DEA"/>
    <w:rsid w:val="00A80E61"/>
    <w:rsid w:val="00A80EDD"/>
    <w:rsid w:val="00A80F16"/>
    <w:rsid w:val="00A80F90"/>
    <w:rsid w:val="00A8100C"/>
    <w:rsid w:val="00A81079"/>
    <w:rsid w:val="00A813C4"/>
    <w:rsid w:val="00A8157E"/>
    <w:rsid w:val="00A815A0"/>
    <w:rsid w:val="00A816DD"/>
    <w:rsid w:val="00A81701"/>
    <w:rsid w:val="00A81946"/>
    <w:rsid w:val="00A81BBA"/>
    <w:rsid w:val="00A81C79"/>
    <w:rsid w:val="00A81CB1"/>
    <w:rsid w:val="00A81F82"/>
    <w:rsid w:val="00A82292"/>
    <w:rsid w:val="00A823CB"/>
    <w:rsid w:val="00A82571"/>
    <w:rsid w:val="00A82579"/>
    <w:rsid w:val="00A826D0"/>
    <w:rsid w:val="00A82747"/>
    <w:rsid w:val="00A827FF"/>
    <w:rsid w:val="00A829A0"/>
    <w:rsid w:val="00A82B8A"/>
    <w:rsid w:val="00A82E1A"/>
    <w:rsid w:val="00A82E90"/>
    <w:rsid w:val="00A82FC1"/>
    <w:rsid w:val="00A83014"/>
    <w:rsid w:val="00A830D4"/>
    <w:rsid w:val="00A83239"/>
    <w:rsid w:val="00A83452"/>
    <w:rsid w:val="00A8350E"/>
    <w:rsid w:val="00A835B3"/>
    <w:rsid w:val="00A83631"/>
    <w:rsid w:val="00A83798"/>
    <w:rsid w:val="00A83892"/>
    <w:rsid w:val="00A838D5"/>
    <w:rsid w:val="00A83922"/>
    <w:rsid w:val="00A83954"/>
    <w:rsid w:val="00A83992"/>
    <w:rsid w:val="00A83A29"/>
    <w:rsid w:val="00A83A42"/>
    <w:rsid w:val="00A83AD6"/>
    <w:rsid w:val="00A83B40"/>
    <w:rsid w:val="00A83C65"/>
    <w:rsid w:val="00A840DA"/>
    <w:rsid w:val="00A8438B"/>
    <w:rsid w:val="00A843CC"/>
    <w:rsid w:val="00A843D7"/>
    <w:rsid w:val="00A84648"/>
    <w:rsid w:val="00A84668"/>
    <w:rsid w:val="00A84693"/>
    <w:rsid w:val="00A8492E"/>
    <w:rsid w:val="00A84A35"/>
    <w:rsid w:val="00A84BFC"/>
    <w:rsid w:val="00A84D17"/>
    <w:rsid w:val="00A84D95"/>
    <w:rsid w:val="00A84E46"/>
    <w:rsid w:val="00A84EE3"/>
    <w:rsid w:val="00A850A3"/>
    <w:rsid w:val="00A85158"/>
    <w:rsid w:val="00A851AF"/>
    <w:rsid w:val="00A851C6"/>
    <w:rsid w:val="00A85458"/>
    <w:rsid w:val="00A85494"/>
    <w:rsid w:val="00A854D6"/>
    <w:rsid w:val="00A856EE"/>
    <w:rsid w:val="00A859FB"/>
    <w:rsid w:val="00A85AFE"/>
    <w:rsid w:val="00A85E7B"/>
    <w:rsid w:val="00A861FB"/>
    <w:rsid w:val="00A8628D"/>
    <w:rsid w:val="00A86339"/>
    <w:rsid w:val="00A86363"/>
    <w:rsid w:val="00A86394"/>
    <w:rsid w:val="00A86587"/>
    <w:rsid w:val="00A865B1"/>
    <w:rsid w:val="00A86757"/>
    <w:rsid w:val="00A86872"/>
    <w:rsid w:val="00A86A29"/>
    <w:rsid w:val="00A86B1E"/>
    <w:rsid w:val="00A86B3A"/>
    <w:rsid w:val="00A86D90"/>
    <w:rsid w:val="00A86E4B"/>
    <w:rsid w:val="00A86EDB"/>
    <w:rsid w:val="00A86F8B"/>
    <w:rsid w:val="00A8716A"/>
    <w:rsid w:val="00A871A1"/>
    <w:rsid w:val="00A8734F"/>
    <w:rsid w:val="00A87386"/>
    <w:rsid w:val="00A874EE"/>
    <w:rsid w:val="00A87595"/>
    <w:rsid w:val="00A875A3"/>
    <w:rsid w:val="00A875B0"/>
    <w:rsid w:val="00A875BF"/>
    <w:rsid w:val="00A875DF"/>
    <w:rsid w:val="00A8766D"/>
    <w:rsid w:val="00A87978"/>
    <w:rsid w:val="00A87A25"/>
    <w:rsid w:val="00A87A9C"/>
    <w:rsid w:val="00A87B44"/>
    <w:rsid w:val="00A87B4A"/>
    <w:rsid w:val="00A87CE8"/>
    <w:rsid w:val="00A87EF4"/>
    <w:rsid w:val="00A90291"/>
    <w:rsid w:val="00A9055F"/>
    <w:rsid w:val="00A905E9"/>
    <w:rsid w:val="00A905F2"/>
    <w:rsid w:val="00A90937"/>
    <w:rsid w:val="00A90A12"/>
    <w:rsid w:val="00A90A28"/>
    <w:rsid w:val="00A90AB0"/>
    <w:rsid w:val="00A90C8E"/>
    <w:rsid w:val="00A90DA2"/>
    <w:rsid w:val="00A90FEA"/>
    <w:rsid w:val="00A9104C"/>
    <w:rsid w:val="00A912AA"/>
    <w:rsid w:val="00A913F0"/>
    <w:rsid w:val="00A91451"/>
    <w:rsid w:val="00A915D5"/>
    <w:rsid w:val="00A91628"/>
    <w:rsid w:val="00A916A9"/>
    <w:rsid w:val="00A916CC"/>
    <w:rsid w:val="00A916F6"/>
    <w:rsid w:val="00A91805"/>
    <w:rsid w:val="00A918AE"/>
    <w:rsid w:val="00A91B6E"/>
    <w:rsid w:val="00A91BCB"/>
    <w:rsid w:val="00A91E11"/>
    <w:rsid w:val="00A91E7C"/>
    <w:rsid w:val="00A91F13"/>
    <w:rsid w:val="00A920A1"/>
    <w:rsid w:val="00A92109"/>
    <w:rsid w:val="00A922DC"/>
    <w:rsid w:val="00A92598"/>
    <w:rsid w:val="00A92607"/>
    <w:rsid w:val="00A92662"/>
    <w:rsid w:val="00A92913"/>
    <w:rsid w:val="00A92B06"/>
    <w:rsid w:val="00A92BAA"/>
    <w:rsid w:val="00A92C02"/>
    <w:rsid w:val="00A92E28"/>
    <w:rsid w:val="00A92F9D"/>
    <w:rsid w:val="00A93149"/>
    <w:rsid w:val="00A932BB"/>
    <w:rsid w:val="00A932D2"/>
    <w:rsid w:val="00A93486"/>
    <w:rsid w:val="00A9350A"/>
    <w:rsid w:val="00A935D8"/>
    <w:rsid w:val="00A93932"/>
    <w:rsid w:val="00A9398A"/>
    <w:rsid w:val="00A93C1D"/>
    <w:rsid w:val="00A93C92"/>
    <w:rsid w:val="00A940C6"/>
    <w:rsid w:val="00A941E6"/>
    <w:rsid w:val="00A9430C"/>
    <w:rsid w:val="00A945AC"/>
    <w:rsid w:val="00A945EF"/>
    <w:rsid w:val="00A9495E"/>
    <w:rsid w:val="00A94B11"/>
    <w:rsid w:val="00A94B5A"/>
    <w:rsid w:val="00A94B80"/>
    <w:rsid w:val="00A94C24"/>
    <w:rsid w:val="00A94E86"/>
    <w:rsid w:val="00A95171"/>
    <w:rsid w:val="00A951B3"/>
    <w:rsid w:val="00A95310"/>
    <w:rsid w:val="00A95432"/>
    <w:rsid w:val="00A9549F"/>
    <w:rsid w:val="00A955F8"/>
    <w:rsid w:val="00A95733"/>
    <w:rsid w:val="00A9589E"/>
    <w:rsid w:val="00A958C3"/>
    <w:rsid w:val="00A9593E"/>
    <w:rsid w:val="00A95B6F"/>
    <w:rsid w:val="00A95BE6"/>
    <w:rsid w:val="00A96223"/>
    <w:rsid w:val="00A96236"/>
    <w:rsid w:val="00A9628A"/>
    <w:rsid w:val="00A9630D"/>
    <w:rsid w:val="00A963A4"/>
    <w:rsid w:val="00A963E6"/>
    <w:rsid w:val="00A963F0"/>
    <w:rsid w:val="00A96459"/>
    <w:rsid w:val="00A9667E"/>
    <w:rsid w:val="00A966C5"/>
    <w:rsid w:val="00A96860"/>
    <w:rsid w:val="00A96A89"/>
    <w:rsid w:val="00A96B02"/>
    <w:rsid w:val="00A96C78"/>
    <w:rsid w:val="00A96D42"/>
    <w:rsid w:val="00A9705B"/>
    <w:rsid w:val="00A97397"/>
    <w:rsid w:val="00A9749C"/>
    <w:rsid w:val="00A9769C"/>
    <w:rsid w:val="00A97A45"/>
    <w:rsid w:val="00A97BE7"/>
    <w:rsid w:val="00A97DBD"/>
    <w:rsid w:val="00A97F65"/>
    <w:rsid w:val="00AA0053"/>
    <w:rsid w:val="00AA006C"/>
    <w:rsid w:val="00AA008E"/>
    <w:rsid w:val="00AA014A"/>
    <w:rsid w:val="00AA01F4"/>
    <w:rsid w:val="00AA037D"/>
    <w:rsid w:val="00AA0466"/>
    <w:rsid w:val="00AA047A"/>
    <w:rsid w:val="00AA04AF"/>
    <w:rsid w:val="00AA0638"/>
    <w:rsid w:val="00AA0702"/>
    <w:rsid w:val="00AA08AE"/>
    <w:rsid w:val="00AA09D3"/>
    <w:rsid w:val="00AA0CB8"/>
    <w:rsid w:val="00AA0DCF"/>
    <w:rsid w:val="00AA0E10"/>
    <w:rsid w:val="00AA0F6F"/>
    <w:rsid w:val="00AA0FA7"/>
    <w:rsid w:val="00AA105A"/>
    <w:rsid w:val="00AA1149"/>
    <w:rsid w:val="00AA11B5"/>
    <w:rsid w:val="00AA13A6"/>
    <w:rsid w:val="00AA16BD"/>
    <w:rsid w:val="00AA16EB"/>
    <w:rsid w:val="00AA1757"/>
    <w:rsid w:val="00AA177E"/>
    <w:rsid w:val="00AA17CB"/>
    <w:rsid w:val="00AA1878"/>
    <w:rsid w:val="00AA188E"/>
    <w:rsid w:val="00AA195C"/>
    <w:rsid w:val="00AA19B7"/>
    <w:rsid w:val="00AA1E60"/>
    <w:rsid w:val="00AA2067"/>
    <w:rsid w:val="00AA217C"/>
    <w:rsid w:val="00AA23DE"/>
    <w:rsid w:val="00AA2471"/>
    <w:rsid w:val="00AA24F0"/>
    <w:rsid w:val="00AA256A"/>
    <w:rsid w:val="00AA2687"/>
    <w:rsid w:val="00AA29EE"/>
    <w:rsid w:val="00AA2AF4"/>
    <w:rsid w:val="00AA2B7B"/>
    <w:rsid w:val="00AA2BA4"/>
    <w:rsid w:val="00AA2F10"/>
    <w:rsid w:val="00AA30A6"/>
    <w:rsid w:val="00AA320F"/>
    <w:rsid w:val="00AA32A7"/>
    <w:rsid w:val="00AA367B"/>
    <w:rsid w:val="00AA37CD"/>
    <w:rsid w:val="00AA3805"/>
    <w:rsid w:val="00AA38D2"/>
    <w:rsid w:val="00AA3B07"/>
    <w:rsid w:val="00AA3D22"/>
    <w:rsid w:val="00AA3D2E"/>
    <w:rsid w:val="00AA3D73"/>
    <w:rsid w:val="00AA3D83"/>
    <w:rsid w:val="00AA3F72"/>
    <w:rsid w:val="00AA408E"/>
    <w:rsid w:val="00AA4394"/>
    <w:rsid w:val="00AA4407"/>
    <w:rsid w:val="00AA44B1"/>
    <w:rsid w:val="00AA481F"/>
    <w:rsid w:val="00AA48C3"/>
    <w:rsid w:val="00AA49F2"/>
    <w:rsid w:val="00AA4CC4"/>
    <w:rsid w:val="00AA4D19"/>
    <w:rsid w:val="00AA4DDD"/>
    <w:rsid w:val="00AA4E62"/>
    <w:rsid w:val="00AA4EAF"/>
    <w:rsid w:val="00AA51E9"/>
    <w:rsid w:val="00AA51EA"/>
    <w:rsid w:val="00AA5265"/>
    <w:rsid w:val="00AA527E"/>
    <w:rsid w:val="00AA52D2"/>
    <w:rsid w:val="00AA54DB"/>
    <w:rsid w:val="00AA57E7"/>
    <w:rsid w:val="00AA5AAD"/>
    <w:rsid w:val="00AA5AFD"/>
    <w:rsid w:val="00AA5B16"/>
    <w:rsid w:val="00AA5D2A"/>
    <w:rsid w:val="00AA5E23"/>
    <w:rsid w:val="00AA612D"/>
    <w:rsid w:val="00AA6274"/>
    <w:rsid w:val="00AA62DC"/>
    <w:rsid w:val="00AA6378"/>
    <w:rsid w:val="00AA6424"/>
    <w:rsid w:val="00AA67CE"/>
    <w:rsid w:val="00AA6856"/>
    <w:rsid w:val="00AA6863"/>
    <w:rsid w:val="00AA6A11"/>
    <w:rsid w:val="00AA6A5C"/>
    <w:rsid w:val="00AA6BB2"/>
    <w:rsid w:val="00AA6C5D"/>
    <w:rsid w:val="00AA6D1D"/>
    <w:rsid w:val="00AA6D3B"/>
    <w:rsid w:val="00AA6D95"/>
    <w:rsid w:val="00AA6DBC"/>
    <w:rsid w:val="00AA6EDC"/>
    <w:rsid w:val="00AA7190"/>
    <w:rsid w:val="00AA723A"/>
    <w:rsid w:val="00AA7255"/>
    <w:rsid w:val="00AA7367"/>
    <w:rsid w:val="00AA76C9"/>
    <w:rsid w:val="00AA7705"/>
    <w:rsid w:val="00AA7791"/>
    <w:rsid w:val="00AA78E9"/>
    <w:rsid w:val="00AA7A2E"/>
    <w:rsid w:val="00AA7A80"/>
    <w:rsid w:val="00AA7D88"/>
    <w:rsid w:val="00AB0084"/>
    <w:rsid w:val="00AB0093"/>
    <w:rsid w:val="00AB0346"/>
    <w:rsid w:val="00AB03DA"/>
    <w:rsid w:val="00AB0447"/>
    <w:rsid w:val="00AB0458"/>
    <w:rsid w:val="00AB06EF"/>
    <w:rsid w:val="00AB07ED"/>
    <w:rsid w:val="00AB08D2"/>
    <w:rsid w:val="00AB0B65"/>
    <w:rsid w:val="00AB0B6D"/>
    <w:rsid w:val="00AB0BD9"/>
    <w:rsid w:val="00AB0BE5"/>
    <w:rsid w:val="00AB0CF2"/>
    <w:rsid w:val="00AB0D0B"/>
    <w:rsid w:val="00AB0DFD"/>
    <w:rsid w:val="00AB1070"/>
    <w:rsid w:val="00AB110C"/>
    <w:rsid w:val="00AB111A"/>
    <w:rsid w:val="00AB1196"/>
    <w:rsid w:val="00AB1252"/>
    <w:rsid w:val="00AB127A"/>
    <w:rsid w:val="00AB14BF"/>
    <w:rsid w:val="00AB16F1"/>
    <w:rsid w:val="00AB18FF"/>
    <w:rsid w:val="00AB19DF"/>
    <w:rsid w:val="00AB1B65"/>
    <w:rsid w:val="00AB1C09"/>
    <w:rsid w:val="00AB1C28"/>
    <w:rsid w:val="00AB1DAA"/>
    <w:rsid w:val="00AB1E17"/>
    <w:rsid w:val="00AB1E31"/>
    <w:rsid w:val="00AB1F75"/>
    <w:rsid w:val="00AB20C6"/>
    <w:rsid w:val="00AB21CA"/>
    <w:rsid w:val="00AB227C"/>
    <w:rsid w:val="00AB2293"/>
    <w:rsid w:val="00AB241A"/>
    <w:rsid w:val="00AB2510"/>
    <w:rsid w:val="00AB25D1"/>
    <w:rsid w:val="00AB2619"/>
    <w:rsid w:val="00AB269C"/>
    <w:rsid w:val="00AB27BC"/>
    <w:rsid w:val="00AB27D1"/>
    <w:rsid w:val="00AB27DD"/>
    <w:rsid w:val="00AB28F1"/>
    <w:rsid w:val="00AB29E8"/>
    <w:rsid w:val="00AB2B91"/>
    <w:rsid w:val="00AB2BA8"/>
    <w:rsid w:val="00AB2C7B"/>
    <w:rsid w:val="00AB2D6E"/>
    <w:rsid w:val="00AB2DDC"/>
    <w:rsid w:val="00AB3230"/>
    <w:rsid w:val="00AB36CA"/>
    <w:rsid w:val="00AB3880"/>
    <w:rsid w:val="00AB38A7"/>
    <w:rsid w:val="00AB397F"/>
    <w:rsid w:val="00AB39CE"/>
    <w:rsid w:val="00AB39E8"/>
    <w:rsid w:val="00AB3FB0"/>
    <w:rsid w:val="00AB40C0"/>
    <w:rsid w:val="00AB4242"/>
    <w:rsid w:val="00AB4262"/>
    <w:rsid w:val="00AB426A"/>
    <w:rsid w:val="00AB42A3"/>
    <w:rsid w:val="00AB4332"/>
    <w:rsid w:val="00AB43DB"/>
    <w:rsid w:val="00AB43E5"/>
    <w:rsid w:val="00AB4491"/>
    <w:rsid w:val="00AB4576"/>
    <w:rsid w:val="00AB4584"/>
    <w:rsid w:val="00AB45D9"/>
    <w:rsid w:val="00AB46F1"/>
    <w:rsid w:val="00AB49BC"/>
    <w:rsid w:val="00AB4CCE"/>
    <w:rsid w:val="00AB4CCF"/>
    <w:rsid w:val="00AB5106"/>
    <w:rsid w:val="00AB5158"/>
    <w:rsid w:val="00AB516F"/>
    <w:rsid w:val="00AB544D"/>
    <w:rsid w:val="00AB554D"/>
    <w:rsid w:val="00AB5662"/>
    <w:rsid w:val="00AB5691"/>
    <w:rsid w:val="00AB576F"/>
    <w:rsid w:val="00AB58F0"/>
    <w:rsid w:val="00AB59F3"/>
    <w:rsid w:val="00AB5CC5"/>
    <w:rsid w:val="00AB5D85"/>
    <w:rsid w:val="00AB5EC8"/>
    <w:rsid w:val="00AB5F2E"/>
    <w:rsid w:val="00AB602E"/>
    <w:rsid w:val="00AB6098"/>
    <w:rsid w:val="00AB6342"/>
    <w:rsid w:val="00AB63CA"/>
    <w:rsid w:val="00AB6502"/>
    <w:rsid w:val="00AB684E"/>
    <w:rsid w:val="00AB6A4A"/>
    <w:rsid w:val="00AB6CDA"/>
    <w:rsid w:val="00AB6CFE"/>
    <w:rsid w:val="00AB6D15"/>
    <w:rsid w:val="00AB6D5E"/>
    <w:rsid w:val="00AB6E53"/>
    <w:rsid w:val="00AB6EEC"/>
    <w:rsid w:val="00AB6F62"/>
    <w:rsid w:val="00AB6F71"/>
    <w:rsid w:val="00AB709C"/>
    <w:rsid w:val="00AB7146"/>
    <w:rsid w:val="00AB714C"/>
    <w:rsid w:val="00AB75E6"/>
    <w:rsid w:val="00AB766B"/>
    <w:rsid w:val="00AB7737"/>
    <w:rsid w:val="00AB79A2"/>
    <w:rsid w:val="00AB7A4C"/>
    <w:rsid w:val="00AB7B01"/>
    <w:rsid w:val="00AB7D7D"/>
    <w:rsid w:val="00AB7F39"/>
    <w:rsid w:val="00AB7F42"/>
    <w:rsid w:val="00AC02DB"/>
    <w:rsid w:val="00AC03E2"/>
    <w:rsid w:val="00AC0635"/>
    <w:rsid w:val="00AC07D6"/>
    <w:rsid w:val="00AC099A"/>
    <w:rsid w:val="00AC09F2"/>
    <w:rsid w:val="00AC0B4B"/>
    <w:rsid w:val="00AC0C88"/>
    <w:rsid w:val="00AC0CC0"/>
    <w:rsid w:val="00AC0D23"/>
    <w:rsid w:val="00AC0DF6"/>
    <w:rsid w:val="00AC1026"/>
    <w:rsid w:val="00AC105D"/>
    <w:rsid w:val="00AC15E4"/>
    <w:rsid w:val="00AC172C"/>
    <w:rsid w:val="00AC178F"/>
    <w:rsid w:val="00AC1B02"/>
    <w:rsid w:val="00AC1B70"/>
    <w:rsid w:val="00AC1B7A"/>
    <w:rsid w:val="00AC1C85"/>
    <w:rsid w:val="00AC1C8F"/>
    <w:rsid w:val="00AC1CC7"/>
    <w:rsid w:val="00AC1EF0"/>
    <w:rsid w:val="00AC206A"/>
    <w:rsid w:val="00AC2237"/>
    <w:rsid w:val="00AC22B6"/>
    <w:rsid w:val="00AC23A1"/>
    <w:rsid w:val="00AC27FA"/>
    <w:rsid w:val="00AC2874"/>
    <w:rsid w:val="00AC28D8"/>
    <w:rsid w:val="00AC2C7C"/>
    <w:rsid w:val="00AC2E13"/>
    <w:rsid w:val="00AC2F8F"/>
    <w:rsid w:val="00AC308E"/>
    <w:rsid w:val="00AC325B"/>
    <w:rsid w:val="00AC3650"/>
    <w:rsid w:val="00AC3697"/>
    <w:rsid w:val="00AC380C"/>
    <w:rsid w:val="00AC38AE"/>
    <w:rsid w:val="00AC3C4C"/>
    <w:rsid w:val="00AC3CAC"/>
    <w:rsid w:val="00AC3E5C"/>
    <w:rsid w:val="00AC3EDD"/>
    <w:rsid w:val="00AC40C6"/>
    <w:rsid w:val="00AC4100"/>
    <w:rsid w:val="00AC411C"/>
    <w:rsid w:val="00AC42A9"/>
    <w:rsid w:val="00AC42F9"/>
    <w:rsid w:val="00AC4316"/>
    <w:rsid w:val="00AC43BC"/>
    <w:rsid w:val="00AC443F"/>
    <w:rsid w:val="00AC444C"/>
    <w:rsid w:val="00AC4714"/>
    <w:rsid w:val="00AC4755"/>
    <w:rsid w:val="00AC475A"/>
    <w:rsid w:val="00AC4B8B"/>
    <w:rsid w:val="00AC4BE4"/>
    <w:rsid w:val="00AC4C32"/>
    <w:rsid w:val="00AC4DF1"/>
    <w:rsid w:val="00AC4FA9"/>
    <w:rsid w:val="00AC4FC0"/>
    <w:rsid w:val="00AC50EB"/>
    <w:rsid w:val="00AC52C7"/>
    <w:rsid w:val="00AC52E5"/>
    <w:rsid w:val="00AC5302"/>
    <w:rsid w:val="00AC5491"/>
    <w:rsid w:val="00AC54B2"/>
    <w:rsid w:val="00AC55AF"/>
    <w:rsid w:val="00AC5808"/>
    <w:rsid w:val="00AC5ABC"/>
    <w:rsid w:val="00AC5CD3"/>
    <w:rsid w:val="00AC5D8B"/>
    <w:rsid w:val="00AC5FCF"/>
    <w:rsid w:val="00AC6079"/>
    <w:rsid w:val="00AC60F9"/>
    <w:rsid w:val="00AC6274"/>
    <w:rsid w:val="00AC62B8"/>
    <w:rsid w:val="00AC6323"/>
    <w:rsid w:val="00AC668C"/>
    <w:rsid w:val="00AC6752"/>
    <w:rsid w:val="00AC68ED"/>
    <w:rsid w:val="00AC6904"/>
    <w:rsid w:val="00AC69FF"/>
    <w:rsid w:val="00AC6AE7"/>
    <w:rsid w:val="00AC6BB3"/>
    <w:rsid w:val="00AC6D24"/>
    <w:rsid w:val="00AC6EF3"/>
    <w:rsid w:val="00AC6F4D"/>
    <w:rsid w:val="00AC6F7B"/>
    <w:rsid w:val="00AC70B4"/>
    <w:rsid w:val="00AC7195"/>
    <w:rsid w:val="00AC71D7"/>
    <w:rsid w:val="00AC7364"/>
    <w:rsid w:val="00AC7427"/>
    <w:rsid w:val="00AC7490"/>
    <w:rsid w:val="00AC796C"/>
    <w:rsid w:val="00AC7A30"/>
    <w:rsid w:val="00AC7ACA"/>
    <w:rsid w:val="00AC7B38"/>
    <w:rsid w:val="00AC7E48"/>
    <w:rsid w:val="00AC7ECC"/>
    <w:rsid w:val="00AC7F01"/>
    <w:rsid w:val="00AD0379"/>
    <w:rsid w:val="00AD07C8"/>
    <w:rsid w:val="00AD09FB"/>
    <w:rsid w:val="00AD0B61"/>
    <w:rsid w:val="00AD0BE7"/>
    <w:rsid w:val="00AD0EF1"/>
    <w:rsid w:val="00AD0FD1"/>
    <w:rsid w:val="00AD123E"/>
    <w:rsid w:val="00AD1325"/>
    <w:rsid w:val="00AD1438"/>
    <w:rsid w:val="00AD15B3"/>
    <w:rsid w:val="00AD194F"/>
    <w:rsid w:val="00AD1A5B"/>
    <w:rsid w:val="00AD1B9A"/>
    <w:rsid w:val="00AD1BB6"/>
    <w:rsid w:val="00AD1C2C"/>
    <w:rsid w:val="00AD1CF6"/>
    <w:rsid w:val="00AD1DE7"/>
    <w:rsid w:val="00AD1E1E"/>
    <w:rsid w:val="00AD1EB5"/>
    <w:rsid w:val="00AD1F6B"/>
    <w:rsid w:val="00AD1F74"/>
    <w:rsid w:val="00AD241E"/>
    <w:rsid w:val="00AD242A"/>
    <w:rsid w:val="00AD2456"/>
    <w:rsid w:val="00AD24AB"/>
    <w:rsid w:val="00AD24CF"/>
    <w:rsid w:val="00AD2523"/>
    <w:rsid w:val="00AD257D"/>
    <w:rsid w:val="00AD259C"/>
    <w:rsid w:val="00AD259E"/>
    <w:rsid w:val="00AD26FD"/>
    <w:rsid w:val="00AD281B"/>
    <w:rsid w:val="00AD287C"/>
    <w:rsid w:val="00AD292E"/>
    <w:rsid w:val="00AD2A1A"/>
    <w:rsid w:val="00AD2A7B"/>
    <w:rsid w:val="00AD2AD9"/>
    <w:rsid w:val="00AD2B16"/>
    <w:rsid w:val="00AD2B28"/>
    <w:rsid w:val="00AD2D71"/>
    <w:rsid w:val="00AD312C"/>
    <w:rsid w:val="00AD31B1"/>
    <w:rsid w:val="00AD31CE"/>
    <w:rsid w:val="00AD3293"/>
    <w:rsid w:val="00AD33B6"/>
    <w:rsid w:val="00AD33E7"/>
    <w:rsid w:val="00AD3437"/>
    <w:rsid w:val="00AD344F"/>
    <w:rsid w:val="00AD3624"/>
    <w:rsid w:val="00AD372F"/>
    <w:rsid w:val="00AD38B5"/>
    <w:rsid w:val="00AD3981"/>
    <w:rsid w:val="00AD3A43"/>
    <w:rsid w:val="00AD3C4D"/>
    <w:rsid w:val="00AD3D8C"/>
    <w:rsid w:val="00AD3FB3"/>
    <w:rsid w:val="00AD411A"/>
    <w:rsid w:val="00AD41E6"/>
    <w:rsid w:val="00AD4306"/>
    <w:rsid w:val="00AD44CB"/>
    <w:rsid w:val="00AD4557"/>
    <w:rsid w:val="00AD4989"/>
    <w:rsid w:val="00AD49E3"/>
    <w:rsid w:val="00AD4A99"/>
    <w:rsid w:val="00AD4B56"/>
    <w:rsid w:val="00AD4C1B"/>
    <w:rsid w:val="00AD4CE1"/>
    <w:rsid w:val="00AD4D15"/>
    <w:rsid w:val="00AD4DED"/>
    <w:rsid w:val="00AD4EB3"/>
    <w:rsid w:val="00AD4F67"/>
    <w:rsid w:val="00AD501A"/>
    <w:rsid w:val="00AD5028"/>
    <w:rsid w:val="00AD5128"/>
    <w:rsid w:val="00AD5167"/>
    <w:rsid w:val="00AD51EA"/>
    <w:rsid w:val="00AD53E1"/>
    <w:rsid w:val="00AD5476"/>
    <w:rsid w:val="00AD5550"/>
    <w:rsid w:val="00AD564A"/>
    <w:rsid w:val="00AD5788"/>
    <w:rsid w:val="00AD5832"/>
    <w:rsid w:val="00AD584F"/>
    <w:rsid w:val="00AD5C4F"/>
    <w:rsid w:val="00AD5D00"/>
    <w:rsid w:val="00AD5E68"/>
    <w:rsid w:val="00AD5F05"/>
    <w:rsid w:val="00AD5F06"/>
    <w:rsid w:val="00AD60E5"/>
    <w:rsid w:val="00AD6108"/>
    <w:rsid w:val="00AD626B"/>
    <w:rsid w:val="00AD62C0"/>
    <w:rsid w:val="00AD6342"/>
    <w:rsid w:val="00AD63AF"/>
    <w:rsid w:val="00AD66E9"/>
    <w:rsid w:val="00AD66EB"/>
    <w:rsid w:val="00AD6755"/>
    <w:rsid w:val="00AD677F"/>
    <w:rsid w:val="00AD682F"/>
    <w:rsid w:val="00AD68E1"/>
    <w:rsid w:val="00AD6A3C"/>
    <w:rsid w:val="00AD6A77"/>
    <w:rsid w:val="00AD6A8A"/>
    <w:rsid w:val="00AD6B10"/>
    <w:rsid w:val="00AD6C08"/>
    <w:rsid w:val="00AD6E2A"/>
    <w:rsid w:val="00AD7013"/>
    <w:rsid w:val="00AD709C"/>
    <w:rsid w:val="00AD723D"/>
    <w:rsid w:val="00AD7299"/>
    <w:rsid w:val="00AD72B5"/>
    <w:rsid w:val="00AD72D7"/>
    <w:rsid w:val="00AD737B"/>
    <w:rsid w:val="00AD74C5"/>
    <w:rsid w:val="00AD7605"/>
    <w:rsid w:val="00AD78BF"/>
    <w:rsid w:val="00AD791A"/>
    <w:rsid w:val="00AD7987"/>
    <w:rsid w:val="00AD79A7"/>
    <w:rsid w:val="00AD7A53"/>
    <w:rsid w:val="00AD7D9E"/>
    <w:rsid w:val="00AD7EB5"/>
    <w:rsid w:val="00AD7EE7"/>
    <w:rsid w:val="00AD7F83"/>
    <w:rsid w:val="00AE0085"/>
    <w:rsid w:val="00AE0107"/>
    <w:rsid w:val="00AE01BC"/>
    <w:rsid w:val="00AE0215"/>
    <w:rsid w:val="00AE0276"/>
    <w:rsid w:val="00AE0349"/>
    <w:rsid w:val="00AE04B9"/>
    <w:rsid w:val="00AE0527"/>
    <w:rsid w:val="00AE054B"/>
    <w:rsid w:val="00AE0577"/>
    <w:rsid w:val="00AE069C"/>
    <w:rsid w:val="00AE09D1"/>
    <w:rsid w:val="00AE0A18"/>
    <w:rsid w:val="00AE0AB3"/>
    <w:rsid w:val="00AE0AC2"/>
    <w:rsid w:val="00AE0B24"/>
    <w:rsid w:val="00AE0D58"/>
    <w:rsid w:val="00AE0F37"/>
    <w:rsid w:val="00AE0F54"/>
    <w:rsid w:val="00AE1050"/>
    <w:rsid w:val="00AE15D1"/>
    <w:rsid w:val="00AE15DA"/>
    <w:rsid w:val="00AE180A"/>
    <w:rsid w:val="00AE18E4"/>
    <w:rsid w:val="00AE1AC2"/>
    <w:rsid w:val="00AE1B2A"/>
    <w:rsid w:val="00AE1CC1"/>
    <w:rsid w:val="00AE202D"/>
    <w:rsid w:val="00AE2188"/>
    <w:rsid w:val="00AE2242"/>
    <w:rsid w:val="00AE24BB"/>
    <w:rsid w:val="00AE250F"/>
    <w:rsid w:val="00AE2522"/>
    <w:rsid w:val="00AE2691"/>
    <w:rsid w:val="00AE27B0"/>
    <w:rsid w:val="00AE28AB"/>
    <w:rsid w:val="00AE297D"/>
    <w:rsid w:val="00AE2A0D"/>
    <w:rsid w:val="00AE2A1A"/>
    <w:rsid w:val="00AE2AC1"/>
    <w:rsid w:val="00AE2B54"/>
    <w:rsid w:val="00AE2C03"/>
    <w:rsid w:val="00AE2D84"/>
    <w:rsid w:val="00AE2E27"/>
    <w:rsid w:val="00AE3058"/>
    <w:rsid w:val="00AE3092"/>
    <w:rsid w:val="00AE30E6"/>
    <w:rsid w:val="00AE31CF"/>
    <w:rsid w:val="00AE320E"/>
    <w:rsid w:val="00AE32EE"/>
    <w:rsid w:val="00AE335F"/>
    <w:rsid w:val="00AE3597"/>
    <w:rsid w:val="00AE36D1"/>
    <w:rsid w:val="00AE3805"/>
    <w:rsid w:val="00AE385B"/>
    <w:rsid w:val="00AE3970"/>
    <w:rsid w:val="00AE3AAC"/>
    <w:rsid w:val="00AE3AC4"/>
    <w:rsid w:val="00AE3ADB"/>
    <w:rsid w:val="00AE3B5F"/>
    <w:rsid w:val="00AE3D45"/>
    <w:rsid w:val="00AE3D6E"/>
    <w:rsid w:val="00AE3DC0"/>
    <w:rsid w:val="00AE3EEA"/>
    <w:rsid w:val="00AE3FDE"/>
    <w:rsid w:val="00AE4081"/>
    <w:rsid w:val="00AE4184"/>
    <w:rsid w:val="00AE42B9"/>
    <w:rsid w:val="00AE42DF"/>
    <w:rsid w:val="00AE4335"/>
    <w:rsid w:val="00AE4352"/>
    <w:rsid w:val="00AE43AD"/>
    <w:rsid w:val="00AE44E8"/>
    <w:rsid w:val="00AE45BD"/>
    <w:rsid w:val="00AE4635"/>
    <w:rsid w:val="00AE46B6"/>
    <w:rsid w:val="00AE4726"/>
    <w:rsid w:val="00AE4761"/>
    <w:rsid w:val="00AE4A97"/>
    <w:rsid w:val="00AE4AA0"/>
    <w:rsid w:val="00AE4ABF"/>
    <w:rsid w:val="00AE4B05"/>
    <w:rsid w:val="00AE4B57"/>
    <w:rsid w:val="00AE4B84"/>
    <w:rsid w:val="00AE51CA"/>
    <w:rsid w:val="00AE532F"/>
    <w:rsid w:val="00AE539F"/>
    <w:rsid w:val="00AE53E0"/>
    <w:rsid w:val="00AE540E"/>
    <w:rsid w:val="00AE5525"/>
    <w:rsid w:val="00AE563C"/>
    <w:rsid w:val="00AE56CB"/>
    <w:rsid w:val="00AE5803"/>
    <w:rsid w:val="00AE5A42"/>
    <w:rsid w:val="00AE5A5C"/>
    <w:rsid w:val="00AE5B22"/>
    <w:rsid w:val="00AE5BFD"/>
    <w:rsid w:val="00AE5D06"/>
    <w:rsid w:val="00AE5E5B"/>
    <w:rsid w:val="00AE5F8B"/>
    <w:rsid w:val="00AE6027"/>
    <w:rsid w:val="00AE603A"/>
    <w:rsid w:val="00AE60C8"/>
    <w:rsid w:val="00AE64F8"/>
    <w:rsid w:val="00AE6506"/>
    <w:rsid w:val="00AE6509"/>
    <w:rsid w:val="00AE65C7"/>
    <w:rsid w:val="00AE6646"/>
    <w:rsid w:val="00AE66BA"/>
    <w:rsid w:val="00AE6753"/>
    <w:rsid w:val="00AE6770"/>
    <w:rsid w:val="00AE683C"/>
    <w:rsid w:val="00AE6903"/>
    <w:rsid w:val="00AE6924"/>
    <w:rsid w:val="00AE6933"/>
    <w:rsid w:val="00AE6A01"/>
    <w:rsid w:val="00AE6A8D"/>
    <w:rsid w:val="00AE6BAB"/>
    <w:rsid w:val="00AE6DA2"/>
    <w:rsid w:val="00AE6E40"/>
    <w:rsid w:val="00AE6E5D"/>
    <w:rsid w:val="00AE6F34"/>
    <w:rsid w:val="00AE71C6"/>
    <w:rsid w:val="00AE7263"/>
    <w:rsid w:val="00AE74A2"/>
    <w:rsid w:val="00AE74B8"/>
    <w:rsid w:val="00AE7526"/>
    <w:rsid w:val="00AE757D"/>
    <w:rsid w:val="00AE75DC"/>
    <w:rsid w:val="00AE7703"/>
    <w:rsid w:val="00AE78C0"/>
    <w:rsid w:val="00AE7944"/>
    <w:rsid w:val="00AE7ACD"/>
    <w:rsid w:val="00AE7B00"/>
    <w:rsid w:val="00AE7CB4"/>
    <w:rsid w:val="00AE7DB7"/>
    <w:rsid w:val="00AE7F08"/>
    <w:rsid w:val="00AE7F20"/>
    <w:rsid w:val="00AE7FB2"/>
    <w:rsid w:val="00AF0274"/>
    <w:rsid w:val="00AF0340"/>
    <w:rsid w:val="00AF03B2"/>
    <w:rsid w:val="00AF040E"/>
    <w:rsid w:val="00AF04E4"/>
    <w:rsid w:val="00AF05C0"/>
    <w:rsid w:val="00AF06B5"/>
    <w:rsid w:val="00AF0801"/>
    <w:rsid w:val="00AF0879"/>
    <w:rsid w:val="00AF08BB"/>
    <w:rsid w:val="00AF0C78"/>
    <w:rsid w:val="00AF0D08"/>
    <w:rsid w:val="00AF0D24"/>
    <w:rsid w:val="00AF0DF6"/>
    <w:rsid w:val="00AF0E7E"/>
    <w:rsid w:val="00AF12FD"/>
    <w:rsid w:val="00AF152C"/>
    <w:rsid w:val="00AF16F5"/>
    <w:rsid w:val="00AF17F0"/>
    <w:rsid w:val="00AF19CD"/>
    <w:rsid w:val="00AF1CBA"/>
    <w:rsid w:val="00AF1DB7"/>
    <w:rsid w:val="00AF1EEC"/>
    <w:rsid w:val="00AF2022"/>
    <w:rsid w:val="00AF235D"/>
    <w:rsid w:val="00AF2431"/>
    <w:rsid w:val="00AF2557"/>
    <w:rsid w:val="00AF256D"/>
    <w:rsid w:val="00AF25F9"/>
    <w:rsid w:val="00AF2871"/>
    <w:rsid w:val="00AF28BD"/>
    <w:rsid w:val="00AF2A5A"/>
    <w:rsid w:val="00AF2A70"/>
    <w:rsid w:val="00AF2AF6"/>
    <w:rsid w:val="00AF2BDD"/>
    <w:rsid w:val="00AF2D99"/>
    <w:rsid w:val="00AF306A"/>
    <w:rsid w:val="00AF310A"/>
    <w:rsid w:val="00AF32E1"/>
    <w:rsid w:val="00AF3363"/>
    <w:rsid w:val="00AF3412"/>
    <w:rsid w:val="00AF34BF"/>
    <w:rsid w:val="00AF3501"/>
    <w:rsid w:val="00AF3595"/>
    <w:rsid w:val="00AF3744"/>
    <w:rsid w:val="00AF376B"/>
    <w:rsid w:val="00AF39AC"/>
    <w:rsid w:val="00AF3B22"/>
    <w:rsid w:val="00AF3C54"/>
    <w:rsid w:val="00AF3D59"/>
    <w:rsid w:val="00AF3D92"/>
    <w:rsid w:val="00AF40AF"/>
    <w:rsid w:val="00AF4148"/>
    <w:rsid w:val="00AF41EE"/>
    <w:rsid w:val="00AF443A"/>
    <w:rsid w:val="00AF450B"/>
    <w:rsid w:val="00AF4716"/>
    <w:rsid w:val="00AF4741"/>
    <w:rsid w:val="00AF47B6"/>
    <w:rsid w:val="00AF493B"/>
    <w:rsid w:val="00AF494C"/>
    <w:rsid w:val="00AF4B5C"/>
    <w:rsid w:val="00AF4B65"/>
    <w:rsid w:val="00AF4CF0"/>
    <w:rsid w:val="00AF4D8E"/>
    <w:rsid w:val="00AF4E55"/>
    <w:rsid w:val="00AF4EC2"/>
    <w:rsid w:val="00AF5034"/>
    <w:rsid w:val="00AF5038"/>
    <w:rsid w:val="00AF5125"/>
    <w:rsid w:val="00AF523F"/>
    <w:rsid w:val="00AF5370"/>
    <w:rsid w:val="00AF5387"/>
    <w:rsid w:val="00AF542A"/>
    <w:rsid w:val="00AF57E2"/>
    <w:rsid w:val="00AF582D"/>
    <w:rsid w:val="00AF590A"/>
    <w:rsid w:val="00AF59C6"/>
    <w:rsid w:val="00AF5A10"/>
    <w:rsid w:val="00AF5B17"/>
    <w:rsid w:val="00AF5B8D"/>
    <w:rsid w:val="00AF5BE3"/>
    <w:rsid w:val="00AF5C68"/>
    <w:rsid w:val="00AF5D10"/>
    <w:rsid w:val="00AF5D91"/>
    <w:rsid w:val="00AF5E61"/>
    <w:rsid w:val="00AF605C"/>
    <w:rsid w:val="00AF60C9"/>
    <w:rsid w:val="00AF613A"/>
    <w:rsid w:val="00AF62DE"/>
    <w:rsid w:val="00AF6696"/>
    <w:rsid w:val="00AF66F7"/>
    <w:rsid w:val="00AF6884"/>
    <w:rsid w:val="00AF6A0C"/>
    <w:rsid w:val="00AF6BAC"/>
    <w:rsid w:val="00AF6CC2"/>
    <w:rsid w:val="00AF6CD7"/>
    <w:rsid w:val="00AF6D1B"/>
    <w:rsid w:val="00AF6DDB"/>
    <w:rsid w:val="00AF6E72"/>
    <w:rsid w:val="00AF6E80"/>
    <w:rsid w:val="00AF6F57"/>
    <w:rsid w:val="00AF6FA8"/>
    <w:rsid w:val="00AF70D6"/>
    <w:rsid w:val="00AF7180"/>
    <w:rsid w:val="00AF71B0"/>
    <w:rsid w:val="00AF724A"/>
    <w:rsid w:val="00AF72AB"/>
    <w:rsid w:val="00AF749D"/>
    <w:rsid w:val="00AF7889"/>
    <w:rsid w:val="00AF78A3"/>
    <w:rsid w:val="00AF7918"/>
    <w:rsid w:val="00AF7A0A"/>
    <w:rsid w:val="00AF7CE9"/>
    <w:rsid w:val="00AF7EA7"/>
    <w:rsid w:val="00AF7F68"/>
    <w:rsid w:val="00B00174"/>
    <w:rsid w:val="00B003DE"/>
    <w:rsid w:val="00B0054D"/>
    <w:rsid w:val="00B00726"/>
    <w:rsid w:val="00B0094E"/>
    <w:rsid w:val="00B00B57"/>
    <w:rsid w:val="00B00CF8"/>
    <w:rsid w:val="00B00D1B"/>
    <w:rsid w:val="00B00D8B"/>
    <w:rsid w:val="00B00EEB"/>
    <w:rsid w:val="00B00F18"/>
    <w:rsid w:val="00B00FB8"/>
    <w:rsid w:val="00B0104B"/>
    <w:rsid w:val="00B0108B"/>
    <w:rsid w:val="00B010BE"/>
    <w:rsid w:val="00B01294"/>
    <w:rsid w:val="00B0147B"/>
    <w:rsid w:val="00B01615"/>
    <w:rsid w:val="00B0186D"/>
    <w:rsid w:val="00B019F4"/>
    <w:rsid w:val="00B019FA"/>
    <w:rsid w:val="00B01AA2"/>
    <w:rsid w:val="00B01AFC"/>
    <w:rsid w:val="00B01C32"/>
    <w:rsid w:val="00B01CFC"/>
    <w:rsid w:val="00B01EFE"/>
    <w:rsid w:val="00B01F88"/>
    <w:rsid w:val="00B020D3"/>
    <w:rsid w:val="00B021BD"/>
    <w:rsid w:val="00B024A1"/>
    <w:rsid w:val="00B02A66"/>
    <w:rsid w:val="00B02B44"/>
    <w:rsid w:val="00B02BCA"/>
    <w:rsid w:val="00B02C88"/>
    <w:rsid w:val="00B02FFC"/>
    <w:rsid w:val="00B036CE"/>
    <w:rsid w:val="00B03778"/>
    <w:rsid w:val="00B038AF"/>
    <w:rsid w:val="00B03BE5"/>
    <w:rsid w:val="00B03C35"/>
    <w:rsid w:val="00B03EA0"/>
    <w:rsid w:val="00B03FAC"/>
    <w:rsid w:val="00B03FD7"/>
    <w:rsid w:val="00B0408D"/>
    <w:rsid w:val="00B044F2"/>
    <w:rsid w:val="00B045B1"/>
    <w:rsid w:val="00B046E9"/>
    <w:rsid w:val="00B047CC"/>
    <w:rsid w:val="00B04879"/>
    <w:rsid w:val="00B048DE"/>
    <w:rsid w:val="00B04B33"/>
    <w:rsid w:val="00B04B6C"/>
    <w:rsid w:val="00B04C06"/>
    <w:rsid w:val="00B04C38"/>
    <w:rsid w:val="00B04C6B"/>
    <w:rsid w:val="00B04D1B"/>
    <w:rsid w:val="00B04EFD"/>
    <w:rsid w:val="00B0514F"/>
    <w:rsid w:val="00B05175"/>
    <w:rsid w:val="00B05200"/>
    <w:rsid w:val="00B05233"/>
    <w:rsid w:val="00B053DE"/>
    <w:rsid w:val="00B055A0"/>
    <w:rsid w:val="00B055C3"/>
    <w:rsid w:val="00B05616"/>
    <w:rsid w:val="00B056A2"/>
    <w:rsid w:val="00B0592E"/>
    <w:rsid w:val="00B05CE0"/>
    <w:rsid w:val="00B05D63"/>
    <w:rsid w:val="00B05E6D"/>
    <w:rsid w:val="00B05EA0"/>
    <w:rsid w:val="00B05F3A"/>
    <w:rsid w:val="00B05F3D"/>
    <w:rsid w:val="00B06165"/>
    <w:rsid w:val="00B0629B"/>
    <w:rsid w:val="00B06366"/>
    <w:rsid w:val="00B06388"/>
    <w:rsid w:val="00B063CF"/>
    <w:rsid w:val="00B066CC"/>
    <w:rsid w:val="00B066D8"/>
    <w:rsid w:val="00B067B9"/>
    <w:rsid w:val="00B06D3F"/>
    <w:rsid w:val="00B06D7D"/>
    <w:rsid w:val="00B06DA3"/>
    <w:rsid w:val="00B06EB4"/>
    <w:rsid w:val="00B072E3"/>
    <w:rsid w:val="00B073F6"/>
    <w:rsid w:val="00B07482"/>
    <w:rsid w:val="00B074B7"/>
    <w:rsid w:val="00B0756A"/>
    <w:rsid w:val="00B075E4"/>
    <w:rsid w:val="00B07607"/>
    <w:rsid w:val="00B077F7"/>
    <w:rsid w:val="00B07824"/>
    <w:rsid w:val="00B07863"/>
    <w:rsid w:val="00B07875"/>
    <w:rsid w:val="00B0795C"/>
    <w:rsid w:val="00B079AC"/>
    <w:rsid w:val="00B07A29"/>
    <w:rsid w:val="00B07BD6"/>
    <w:rsid w:val="00B07C87"/>
    <w:rsid w:val="00B07CF0"/>
    <w:rsid w:val="00B07CF6"/>
    <w:rsid w:val="00B07D65"/>
    <w:rsid w:val="00B07E1B"/>
    <w:rsid w:val="00B10087"/>
    <w:rsid w:val="00B100F8"/>
    <w:rsid w:val="00B1026D"/>
    <w:rsid w:val="00B10369"/>
    <w:rsid w:val="00B104E8"/>
    <w:rsid w:val="00B10540"/>
    <w:rsid w:val="00B1056E"/>
    <w:rsid w:val="00B10694"/>
    <w:rsid w:val="00B107F8"/>
    <w:rsid w:val="00B10832"/>
    <w:rsid w:val="00B10855"/>
    <w:rsid w:val="00B108E0"/>
    <w:rsid w:val="00B108F0"/>
    <w:rsid w:val="00B10950"/>
    <w:rsid w:val="00B10990"/>
    <w:rsid w:val="00B10B5E"/>
    <w:rsid w:val="00B10BD1"/>
    <w:rsid w:val="00B10CD4"/>
    <w:rsid w:val="00B10DD3"/>
    <w:rsid w:val="00B11052"/>
    <w:rsid w:val="00B110E1"/>
    <w:rsid w:val="00B11139"/>
    <w:rsid w:val="00B1120B"/>
    <w:rsid w:val="00B11267"/>
    <w:rsid w:val="00B11581"/>
    <w:rsid w:val="00B115A0"/>
    <w:rsid w:val="00B116EA"/>
    <w:rsid w:val="00B117F8"/>
    <w:rsid w:val="00B1180C"/>
    <w:rsid w:val="00B11838"/>
    <w:rsid w:val="00B118DE"/>
    <w:rsid w:val="00B11945"/>
    <w:rsid w:val="00B11964"/>
    <w:rsid w:val="00B119D8"/>
    <w:rsid w:val="00B11A53"/>
    <w:rsid w:val="00B11A7F"/>
    <w:rsid w:val="00B11D9E"/>
    <w:rsid w:val="00B11F11"/>
    <w:rsid w:val="00B12025"/>
    <w:rsid w:val="00B12094"/>
    <w:rsid w:val="00B1234B"/>
    <w:rsid w:val="00B12401"/>
    <w:rsid w:val="00B12444"/>
    <w:rsid w:val="00B12469"/>
    <w:rsid w:val="00B1249C"/>
    <w:rsid w:val="00B12645"/>
    <w:rsid w:val="00B126CE"/>
    <w:rsid w:val="00B1277C"/>
    <w:rsid w:val="00B12867"/>
    <w:rsid w:val="00B12900"/>
    <w:rsid w:val="00B129BE"/>
    <w:rsid w:val="00B129CD"/>
    <w:rsid w:val="00B12A62"/>
    <w:rsid w:val="00B12AEE"/>
    <w:rsid w:val="00B12BE4"/>
    <w:rsid w:val="00B12BF9"/>
    <w:rsid w:val="00B12E9C"/>
    <w:rsid w:val="00B12F4F"/>
    <w:rsid w:val="00B12F95"/>
    <w:rsid w:val="00B130DE"/>
    <w:rsid w:val="00B131A0"/>
    <w:rsid w:val="00B131C8"/>
    <w:rsid w:val="00B1325E"/>
    <w:rsid w:val="00B132AD"/>
    <w:rsid w:val="00B13319"/>
    <w:rsid w:val="00B134FD"/>
    <w:rsid w:val="00B136E6"/>
    <w:rsid w:val="00B13728"/>
    <w:rsid w:val="00B13796"/>
    <w:rsid w:val="00B13891"/>
    <w:rsid w:val="00B13892"/>
    <w:rsid w:val="00B13929"/>
    <w:rsid w:val="00B13ABE"/>
    <w:rsid w:val="00B13AE6"/>
    <w:rsid w:val="00B13B1A"/>
    <w:rsid w:val="00B13B6E"/>
    <w:rsid w:val="00B13E7B"/>
    <w:rsid w:val="00B13F7B"/>
    <w:rsid w:val="00B1405E"/>
    <w:rsid w:val="00B140A5"/>
    <w:rsid w:val="00B142AB"/>
    <w:rsid w:val="00B1436A"/>
    <w:rsid w:val="00B146C3"/>
    <w:rsid w:val="00B148E9"/>
    <w:rsid w:val="00B14AB4"/>
    <w:rsid w:val="00B14B6F"/>
    <w:rsid w:val="00B14BAC"/>
    <w:rsid w:val="00B14D40"/>
    <w:rsid w:val="00B14DF9"/>
    <w:rsid w:val="00B14F63"/>
    <w:rsid w:val="00B1523B"/>
    <w:rsid w:val="00B152BD"/>
    <w:rsid w:val="00B152EA"/>
    <w:rsid w:val="00B15340"/>
    <w:rsid w:val="00B153FD"/>
    <w:rsid w:val="00B15491"/>
    <w:rsid w:val="00B154E7"/>
    <w:rsid w:val="00B154EE"/>
    <w:rsid w:val="00B15683"/>
    <w:rsid w:val="00B156D5"/>
    <w:rsid w:val="00B15964"/>
    <w:rsid w:val="00B15A68"/>
    <w:rsid w:val="00B15A88"/>
    <w:rsid w:val="00B15AA5"/>
    <w:rsid w:val="00B15B2F"/>
    <w:rsid w:val="00B15B35"/>
    <w:rsid w:val="00B15B80"/>
    <w:rsid w:val="00B15D69"/>
    <w:rsid w:val="00B15DF4"/>
    <w:rsid w:val="00B15E04"/>
    <w:rsid w:val="00B15E81"/>
    <w:rsid w:val="00B15EDA"/>
    <w:rsid w:val="00B15F24"/>
    <w:rsid w:val="00B1616B"/>
    <w:rsid w:val="00B162BE"/>
    <w:rsid w:val="00B1632B"/>
    <w:rsid w:val="00B16518"/>
    <w:rsid w:val="00B16579"/>
    <w:rsid w:val="00B16594"/>
    <w:rsid w:val="00B1666A"/>
    <w:rsid w:val="00B166BE"/>
    <w:rsid w:val="00B1683A"/>
    <w:rsid w:val="00B1686C"/>
    <w:rsid w:val="00B168D4"/>
    <w:rsid w:val="00B16A10"/>
    <w:rsid w:val="00B16C32"/>
    <w:rsid w:val="00B16CA9"/>
    <w:rsid w:val="00B16D82"/>
    <w:rsid w:val="00B16E9A"/>
    <w:rsid w:val="00B16EF3"/>
    <w:rsid w:val="00B170A4"/>
    <w:rsid w:val="00B17109"/>
    <w:rsid w:val="00B17258"/>
    <w:rsid w:val="00B17598"/>
    <w:rsid w:val="00B17657"/>
    <w:rsid w:val="00B17686"/>
    <w:rsid w:val="00B176CA"/>
    <w:rsid w:val="00B178C5"/>
    <w:rsid w:val="00B178D6"/>
    <w:rsid w:val="00B17A4C"/>
    <w:rsid w:val="00B17ED1"/>
    <w:rsid w:val="00B20094"/>
    <w:rsid w:val="00B2010E"/>
    <w:rsid w:val="00B20336"/>
    <w:rsid w:val="00B20418"/>
    <w:rsid w:val="00B2057D"/>
    <w:rsid w:val="00B2067A"/>
    <w:rsid w:val="00B207F3"/>
    <w:rsid w:val="00B20A0C"/>
    <w:rsid w:val="00B20C40"/>
    <w:rsid w:val="00B20C94"/>
    <w:rsid w:val="00B20E88"/>
    <w:rsid w:val="00B20F2C"/>
    <w:rsid w:val="00B2124A"/>
    <w:rsid w:val="00B2129C"/>
    <w:rsid w:val="00B21353"/>
    <w:rsid w:val="00B214FF"/>
    <w:rsid w:val="00B21536"/>
    <w:rsid w:val="00B21594"/>
    <w:rsid w:val="00B21699"/>
    <w:rsid w:val="00B21736"/>
    <w:rsid w:val="00B21942"/>
    <w:rsid w:val="00B21C46"/>
    <w:rsid w:val="00B21CF9"/>
    <w:rsid w:val="00B21D8D"/>
    <w:rsid w:val="00B21F92"/>
    <w:rsid w:val="00B21FC3"/>
    <w:rsid w:val="00B22371"/>
    <w:rsid w:val="00B22408"/>
    <w:rsid w:val="00B225BA"/>
    <w:rsid w:val="00B225E9"/>
    <w:rsid w:val="00B22682"/>
    <w:rsid w:val="00B226A7"/>
    <w:rsid w:val="00B2291D"/>
    <w:rsid w:val="00B22AD8"/>
    <w:rsid w:val="00B22B26"/>
    <w:rsid w:val="00B22BD4"/>
    <w:rsid w:val="00B22BE3"/>
    <w:rsid w:val="00B22BF3"/>
    <w:rsid w:val="00B22C48"/>
    <w:rsid w:val="00B22E4B"/>
    <w:rsid w:val="00B22E63"/>
    <w:rsid w:val="00B22E7D"/>
    <w:rsid w:val="00B22EFC"/>
    <w:rsid w:val="00B22FEF"/>
    <w:rsid w:val="00B231EF"/>
    <w:rsid w:val="00B232A0"/>
    <w:rsid w:val="00B232B1"/>
    <w:rsid w:val="00B2336B"/>
    <w:rsid w:val="00B235A6"/>
    <w:rsid w:val="00B23655"/>
    <w:rsid w:val="00B2383B"/>
    <w:rsid w:val="00B23892"/>
    <w:rsid w:val="00B238AF"/>
    <w:rsid w:val="00B238F0"/>
    <w:rsid w:val="00B23947"/>
    <w:rsid w:val="00B239F6"/>
    <w:rsid w:val="00B23AFB"/>
    <w:rsid w:val="00B23B09"/>
    <w:rsid w:val="00B23C5F"/>
    <w:rsid w:val="00B23DFF"/>
    <w:rsid w:val="00B23E24"/>
    <w:rsid w:val="00B23EA6"/>
    <w:rsid w:val="00B23F6F"/>
    <w:rsid w:val="00B240CF"/>
    <w:rsid w:val="00B24290"/>
    <w:rsid w:val="00B2430F"/>
    <w:rsid w:val="00B24357"/>
    <w:rsid w:val="00B2448D"/>
    <w:rsid w:val="00B2449A"/>
    <w:rsid w:val="00B244B3"/>
    <w:rsid w:val="00B24534"/>
    <w:rsid w:val="00B2454F"/>
    <w:rsid w:val="00B247A0"/>
    <w:rsid w:val="00B248BE"/>
    <w:rsid w:val="00B24A36"/>
    <w:rsid w:val="00B24EA7"/>
    <w:rsid w:val="00B24ECE"/>
    <w:rsid w:val="00B24EDD"/>
    <w:rsid w:val="00B24F66"/>
    <w:rsid w:val="00B24F7C"/>
    <w:rsid w:val="00B24FB7"/>
    <w:rsid w:val="00B252DF"/>
    <w:rsid w:val="00B254A0"/>
    <w:rsid w:val="00B25808"/>
    <w:rsid w:val="00B25987"/>
    <w:rsid w:val="00B259C2"/>
    <w:rsid w:val="00B25A6A"/>
    <w:rsid w:val="00B25CA7"/>
    <w:rsid w:val="00B25D69"/>
    <w:rsid w:val="00B25E79"/>
    <w:rsid w:val="00B25F51"/>
    <w:rsid w:val="00B25F69"/>
    <w:rsid w:val="00B261F3"/>
    <w:rsid w:val="00B262C6"/>
    <w:rsid w:val="00B26498"/>
    <w:rsid w:val="00B2669A"/>
    <w:rsid w:val="00B266A2"/>
    <w:rsid w:val="00B266D5"/>
    <w:rsid w:val="00B266FB"/>
    <w:rsid w:val="00B2674A"/>
    <w:rsid w:val="00B26819"/>
    <w:rsid w:val="00B2690B"/>
    <w:rsid w:val="00B26C2A"/>
    <w:rsid w:val="00B26C69"/>
    <w:rsid w:val="00B26CCE"/>
    <w:rsid w:val="00B26CCF"/>
    <w:rsid w:val="00B26E51"/>
    <w:rsid w:val="00B26EDC"/>
    <w:rsid w:val="00B271F7"/>
    <w:rsid w:val="00B2723C"/>
    <w:rsid w:val="00B27242"/>
    <w:rsid w:val="00B272C5"/>
    <w:rsid w:val="00B274A2"/>
    <w:rsid w:val="00B275EA"/>
    <w:rsid w:val="00B2762D"/>
    <w:rsid w:val="00B276B4"/>
    <w:rsid w:val="00B277E7"/>
    <w:rsid w:val="00B277F0"/>
    <w:rsid w:val="00B27848"/>
    <w:rsid w:val="00B27954"/>
    <w:rsid w:val="00B27998"/>
    <w:rsid w:val="00B27A85"/>
    <w:rsid w:val="00B27CB5"/>
    <w:rsid w:val="00B27E02"/>
    <w:rsid w:val="00B27E13"/>
    <w:rsid w:val="00B27E82"/>
    <w:rsid w:val="00B27EC0"/>
    <w:rsid w:val="00B27EE8"/>
    <w:rsid w:val="00B27F13"/>
    <w:rsid w:val="00B27F5E"/>
    <w:rsid w:val="00B27FA3"/>
    <w:rsid w:val="00B30037"/>
    <w:rsid w:val="00B300A2"/>
    <w:rsid w:val="00B30148"/>
    <w:rsid w:val="00B301DC"/>
    <w:rsid w:val="00B30397"/>
    <w:rsid w:val="00B3047A"/>
    <w:rsid w:val="00B3049D"/>
    <w:rsid w:val="00B306A9"/>
    <w:rsid w:val="00B307D1"/>
    <w:rsid w:val="00B308C9"/>
    <w:rsid w:val="00B30A4B"/>
    <w:rsid w:val="00B30C2E"/>
    <w:rsid w:val="00B30CBD"/>
    <w:rsid w:val="00B30D1B"/>
    <w:rsid w:val="00B30EB6"/>
    <w:rsid w:val="00B30F45"/>
    <w:rsid w:val="00B31082"/>
    <w:rsid w:val="00B3109F"/>
    <w:rsid w:val="00B31214"/>
    <w:rsid w:val="00B312BF"/>
    <w:rsid w:val="00B312E9"/>
    <w:rsid w:val="00B31376"/>
    <w:rsid w:val="00B313E9"/>
    <w:rsid w:val="00B31604"/>
    <w:rsid w:val="00B31778"/>
    <w:rsid w:val="00B318FB"/>
    <w:rsid w:val="00B31AA1"/>
    <w:rsid w:val="00B31D48"/>
    <w:rsid w:val="00B31E70"/>
    <w:rsid w:val="00B31EBC"/>
    <w:rsid w:val="00B31F8B"/>
    <w:rsid w:val="00B31FDD"/>
    <w:rsid w:val="00B3200B"/>
    <w:rsid w:val="00B32110"/>
    <w:rsid w:val="00B32135"/>
    <w:rsid w:val="00B321DE"/>
    <w:rsid w:val="00B3221D"/>
    <w:rsid w:val="00B32409"/>
    <w:rsid w:val="00B32416"/>
    <w:rsid w:val="00B324D6"/>
    <w:rsid w:val="00B32540"/>
    <w:rsid w:val="00B327F7"/>
    <w:rsid w:val="00B328BE"/>
    <w:rsid w:val="00B329DE"/>
    <w:rsid w:val="00B32A4D"/>
    <w:rsid w:val="00B32AA6"/>
    <w:rsid w:val="00B32C62"/>
    <w:rsid w:val="00B32CBB"/>
    <w:rsid w:val="00B32D34"/>
    <w:rsid w:val="00B32D39"/>
    <w:rsid w:val="00B32F2B"/>
    <w:rsid w:val="00B33076"/>
    <w:rsid w:val="00B33189"/>
    <w:rsid w:val="00B331DD"/>
    <w:rsid w:val="00B33337"/>
    <w:rsid w:val="00B33387"/>
    <w:rsid w:val="00B333C6"/>
    <w:rsid w:val="00B33707"/>
    <w:rsid w:val="00B33720"/>
    <w:rsid w:val="00B33958"/>
    <w:rsid w:val="00B339DA"/>
    <w:rsid w:val="00B33A36"/>
    <w:rsid w:val="00B33B0B"/>
    <w:rsid w:val="00B33B80"/>
    <w:rsid w:val="00B33BA5"/>
    <w:rsid w:val="00B33E86"/>
    <w:rsid w:val="00B33EA6"/>
    <w:rsid w:val="00B33F08"/>
    <w:rsid w:val="00B33FC1"/>
    <w:rsid w:val="00B34078"/>
    <w:rsid w:val="00B34145"/>
    <w:rsid w:val="00B34192"/>
    <w:rsid w:val="00B3436F"/>
    <w:rsid w:val="00B3444A"/>
    <w:rsid w:val="00B3449A"/>
    <w:rsid w:val="00B345F0"/>
    <w:rsid w:val="00B34788"/>
    <w:rsid w:val="00B34811"/>
    <w:rsid w:val="00B34882"/>
    <w:rsid w:val="00B3489B"/>
    <w:rsid w:val="00B3491A"/>
    <w:rsid w:val="00B34A2F"/>
    <w:rsid w:val="00B34A9D"/>
    <w:rsid w:val="00B34CEB"/>
    <w:rsid w:val="00B34F7D"/>
    <w:rsid w:val="00B351E2"/>
    <w:rsid w:val="00B35278"/>
    <w:rsid w:val="00B35393"/>
    <w:rsid w:val="00B35691"/>
    <w:rsid w:val="00B3570E"/>
    <w:rsid w:val="00B35A98"/>
    <w:rsid w:val="00B35AF1"/>
    <w:rsid w:val="00B35CC8"/>
    <w:rsid w:val="00B35E08"/>
    <w:rsid w:val="00B35F16"/>
    <w:rsid w:val="00B35FD6"/>
    <w:rsid w:val="00B362F3"/>
    <w:rsid w:val="00B36308"/>
    <w:rsid w:val="00B3649C"/>
    <w:rsid w:val="00B3650B"/>
    <w:rsid w:val="00B36598"/>
    <w:rsid w:val="00B3669A"/>
    <w:rsid w:val="00B3672E"/>
    <w:rsid w:val="00B369AE"/>
    <w:rsid w:val="00B369CD"/>
    <w:rsid w:val="00B369ED"/>
    <w:rsid w:val="00B36BE9"/>
    <w:rsid w:val="00B36C77"/>
    <w:rsid w:val="00B36DF3"/>
    <w:rsid w:val="00B36FA1"/>
    <w:rsid w:val="00B36FA3"/>
    <w:rsid w:val="00B37137"/>
    <w:rsid w:val="00B371D5"/>
    <w:rsid w:val="00B37389"/>
    <w:rsid w:val="00B3771A"/>
    <w:rsid w:val="00B37780"/>
    <w:rsid w:val="00B37830"/>
    <w:rsid w:val="00B37B2D"/>
    <w:rsid w:val="00B37B75"/>
    <w:rsid w:val="00B37C0A"/>
    <w:rsid w:val="00B37C2C"/>
    <w:rsid w:val="00B37C8C"/>
    <w:rsid w:val="00B37C9E"/>
    <w:rsid w:val="00B37CE7"/>
    <w:rsid w:val="00B37F72"/>
    <w:rsid w:val="00B37F93"/>
    <w:rsid w:val="00B37F94"/>
    <w:rsid w:val="00B40009"/>
    <w:rsid w:val="00B40015"/>
    <w:rsid w:val="00B40332"/>
    <w:rsid w:val="00B40431"/>
    <w:rsid w:val="00B404AC"/>
    <w:rsid w:val="00B405B6"/>
    <w:rsid w:val="00B40690"/>
    <w:rsid w:val="00B40780"/>
    <w:rsid w:val="00B407C7"/>
    <w:rsid w:val="00B40A03"/>
    <w:rsid w:val="00B40AF7"/>
    <w:rsid w:val="00B40B0E"/>
    <w:rsid w:val="00B40B30"/>
    <w:rsid w:val="00B40CF2"/>
    <w:rsid w:val="00B40E4D"/>
    <w:rsid w:val="00B410B3"/>
    <w:rsid w:val="00B41334"/>
    <w:rsid w:val="00B415C4"/>
    <w:rsid w:val="00B4172C"/>
    <w:rsid w:val="00B4175E"/>
    <w:rsid w:val="00B41805"/>
    <w:rsid w:val="00B4184A"/>
    <w:rsid w:val="00B41AD0"/>
    <w:rsid w:val="00B41BAE"/>
    <w:rsid w:val="00B41C24"/>
    <w:rsid w:val="00B41EC4"/>
    <w:rsid w:val="00B42069"/>
    <w:rsid w:val="00B42113"/>
    <w:rsid w:val="00B4217D"/>
    <w:rsid w:val="00B4238A"/>
    <w:rsid w:val="00B423FD"/>
    <w:rsid w:val="00B42620"/>
    <w:rsid w:val="00B42628"/>
    <w:rsid w:val="00B4276D"/>
    <w:rsid w:val="00B428E5"/>
    <w:rsid w:val="00B42978"/>
    <w:rsid w:val="00B42A33"/>
    <w:rsid w:val="00B42B01"/>
    <w:rsid w:val="00B42B3D"/>
    <w:rsid w:val="00B42B93"/>
    <w:rsid w:val="00B42C7F"/>
    <w:rsid w:val="00B42C87"/>
    <w:rsid w:val="00B42C94"/>
    <w:rsid w:val="00B43158"/>
    <w:rsid w:val="00B43418"/>
    <w:rsid w:val="00B434E8"/>
    <w:rsid w:val="00B43593"/>
    <w:rsid w:val="00B43604"/>
    <w:rsid w:val="00B43630"/>
    <w:rsid w:val="00B4381B"/>
    <w:rsid w:val="00B43913"/>
    <w:rsid w:val="00B439DB"/>
    <w:rsid w:val="00B439ED"/>
    <w:rsid w:val="00B43C03"/>
    <w:rsid w:val="00B43D53"/>
    <w:rsid w:val="00B43E59"/>
    <w:rsid w:val="00B43EDA"/>
    <w:rsid w:val="00B43FB3"/>
    <w:rsid w:val="00B4400D"/>
    <w:rsid w:val="00B44059"/>
    <w:rsid w:val="00B443B1"/>
    <w:rsid w:val="00B444C2"/>
    <w:rsid w:val="00B446A1"/>
    <w:rsid w:val="00B4478B"/>
    <w:rsid w:val="00B447C5"/>
    <w:rsid w:val="00B44A46"/>
    <w:rsid w:val="00B44AD9"/>
    <w:rsid w:val="00B44BDB"/>
    <w:rsid w:val="00B44DB3"/>
    <w:rsid w:val="00B44FBE"/>
    <w:rsid w:val="00B4518F"/>
    <w:rsid w:val="00B451BA"/>
    <w:rsid w:val="00B4528A"/>
    <w:rsid w:val="00B453EB"/>
    <w:rsid w:val="00B45445"/>
    <w:rsid w:val="00B454E6"/>
    <w:rsid w:val="00B4559F"/>
    <w:rsid w:val="00B457C2"/>
    <w:rsid w:val="00B458E6"/>
    <w:rsid w:val="00B4598C"/>
    <w:rsid w:val="00B459A2"/>
    <w:rsid w:val="00B45CA3"/>
    <w:rsid w:val="00B45D01"/>
    <w:rsid w:val="00B45F5E"/>
    <w:rsid w:val="00B4610C"/>
    <w:rsid w:val="00B46274"/>
    <w:rsid w:val="00B464E6"/>
    <w:rsid w:val="00B46741"/>
    <w:rsid w:val="00B4676B"/>
    <w:rsid w:val="00B46819"/>
    <w:rsid w:val="00B46875"/>
    <w:rsid w:val="00B468E1"/>
    <w:rsid w:val="00B4696D"/>
    <w:rsid w:val="00B46973"/>
    <w:rsid w:val="00B46AB4"/>
    <w:rsid w:val="00B46BC3"/>
    <w:rsid w:val="00B46D66"/>
    <w:rsid w:val="00B46E05"/>
    <w:rsid w:val="00B46E5C"/>
    <w:rsid w:val="00B46F0C"/>
    <w:rsid w:val="00B46FC0"/>
    <w:rsid w:val="00B472D2"/>
    <w:rsid w:val="00B473BD"/>
    <w:rsid w:val="00B47499"/>
    <w:rsid w:val="00B47558"/>
    <w:rsid w:val="00B477A7"/>
    <w:rsid w:val="00B47870"/>
    <w:rsid w:val="00B47AAE"/>
    <w:rsid w:val="00B47BFD"/>
    <w:rsid w:val="00B47D38"/>
    <w:rsid w:val="00B47DBF"/>
    <w:rsid w:val="00B47E30"/>
    <w:rsid w:val="00B47E5B"/>
    <w:rsid w:val="00B47F1D"/>
    <w:rsid w:val="00B47F59"/>
    <w:rsid w:val="00B47F90"/>
    <w:rsid w:val="00B47F9F"/>
    <w:rsid w:val="00B50422"/>
    <w:rsid w:val="00B50502"/>
    <w:rsid w:val="00B50798"/>
    <w:rsid w:val="00B50863"/>
    <w:rsid w:val="00B50890"/>
    <w:rsid w:val="00B509AE"/>
    <w:rsid w:val="00B50BFA"/>
    <w:rsid w:val="00B50CA4"/>
    <w:rsid w:val="00B50CA7"/>
    <w:rsid w:val="00B50DAB"/>
    <w:rsid w:val="00B50E95"/>
    <w:rsid w:val="00B511FB"/>
    <w:rsid w:val="00B51269"/>
    <w:rsid w:val="00B5134E"/>
    <w:rsid w:val="00B5135E"/>
    <w:rsid w:val="00B515A8"/>
    <w:rsid w:val="00B519AC"/>
    <w:rsid w:val="00B51A07"/>
    <w:rsid w:val="00B51A7C"/>
    <w:rsid w:val="00B51BB1"/>
    <w:rsid w:val="00B51C04"/>
    <w:rsid w:val="00B51CC5"/>
    <w:rsid w:val="00B51DE0"/>
    <w:rsid w:val="00B5206B"/>
    <w:rsid w:val="00B52121"/>
    <w:rsid w:val="00B52144"/>
    <w:rsid w:val="00B521E2"/>
    <w:rsid w:val="00B5230C"/>
    <w:rsid w:val="00B52408"/>
    <w:rsid w:val="00B524C2"/>
    <w:rsid w:val="00B524E4"/>
    <w:rsid w:val="00B5267F"/>
    <w:rsid w:val="00B52695"/>
    <w:rsid w:val="00B52886"/>
    <w:rsid w:val="00B5296A"/>
    <w:rsid w:val="00B52AB2"/>
    <w:rsid w:val="00B52ADA"/>
    <w:rsid w:val="00B52D1F"/>
    <w:rsid w:val="00B53177"/>
    <w:rsid w:val="00B531ED"/>
    <w:rsid w:val="00B5320E"/>
    <w:rsid w:val="00B5327A"/>
    <w:rsid w:val="00B5335A"/>
    <w:rsid w:val="00B53483"/>
    <w:rsid w:val="00B534A7"/>
    <w:rsid w:val="00B53502"/>
    <w:rsid w:val="00B53507"/>
    <w:rsid w:val="00B53623"/>
    <w:rsid w:val="00B53798"/>
    <w:rsid w:val="00B537CF"/>
    <w:rsid w:val="00B538F2"/>
    <w:rsid w:val="00B53A48"/>
    <w:rsid w:val="00B53B26"/>
    <w:rsid w:val="00B53BCB"/>
    <w:rsid w:val="00B53EA7"/>
    <w:rsid w:val="00B54113"/>
    <w:rsid w:val="00B54263"/>
    <w:rsid w:val="00B5428A"/>
    <w:rsid w:val="00B542E7"/>
    <w:rsid w:val="00B5446A"/>
    <w:rsid w:val="00B545A3"/>
    <w:rsid w:val="00B548FB"/>
    <w:rsid w:val="00B54BC4"/>
    <w:rsid w:val="00B54BD1"/>
    <w:rsid w:val="00B54BD2"/>
    <w:rsid w:val="00B54C90"/>
    <w:rsid w:val="00B54D27"/>
    <w:rsid w:val="00B54DDC"/>
    <w:rsid w:val="00B54E60"/>
    <w:rsid w:val="00B54EBE"/>
    <w:rsid w:val="00B54F89"/>
    <w:rsid w:val="00B55141"/>
    <w:rsid w:val="00B55182"/>
    <w:rsid w:val="00B55222"/>
    <w:rsid w:val="00B55591"/>
    <w:rsid w:val="00B55781"/>
    <w:rsid w:val="00B558BA"/>
    <w:rsid w:val="00B5598B"/>
    <w:rsid w:val="00B559BB"/>
    <w:rsid w:val="00B55C56"/>
    <w:rsid w:val="00B55E3F"/>
    <w:rsid w:val="00B55E50"/>
    <w:rsid w:val="00B55EFE"/>
    <w:rsid w:val="00B55F3A"/>
    <w:rsid w:val="00B55F59"/>
    <w:rsid w:val="00B560C3"/>
    <w:rsid w:val="00B561D3"/>
    <w:rsid w:val="00B56251"/>
    <w:rsid w:val="00B56317"/>
    <w:rsid w:val="00B56323"/>
    <w:rsid w:val="00B56507"/>
    <w:rsid w:val="00B56897"/>
    <w:rsid w:val="00B568D7"/>
    <w:rsid w:val="00B569F6"/>
    <w:rsid w:val="00B56A1A"/>
    <w:rsid w:val="00B56A1E"/>
    <w:rsid w:val="00B56AAB"/>
    <w:rsid w:val="00B5704A"/>
    <w:rsid w:val="00B57148"/>
    <w:rsid w:val="00B571B0"/>
    <w:rsid w:val="00B572CA"/>
    <w:rsid w:val="00B5736A"/>
    <w:rsid w:val="00B5758F"/>
    <w:rsid w:val="00B575AC"/>
    <w:rsid w:val="00B5764A"/>
    <w:rsid w:val="00B5764D"/>
    <w:rsid w:val="00B576CD"/>
    <w:rsid w:val="00B5771F"/>
    <w:rsid w:val="00B5787D"/>
    <w:rsid w:val="00B578F4"/>
    <w:rsid w:val="00B57955"/>
    <w:rsid w:val="00B5797B"/>
    <w:rsid w:val="00B57D1F"/>
    <w:rsid w:val="00B57D23"/>
    <w:rsid w:val="00B57D5F"/>
    <w:rsid w:val="00B57E64"/>
    <w:rsid w:val="00B57E83"/>
    <w:rsid w:val="00B57F94"/>
    <w:rsid w:val="00B60088"/>
    <w:rsid w:val="00B60229"/>
    <w:rsid w:val="00B60346"/>
    <w:rsid w:val="00B604C4"/>
    <w:rsid w:val="00B604D2"/>
    <w:rsid w:val="00B606E3"/>
    <w:rsid w:val="00B6075E"/>
    <w:rsid w:val="00B60792"/>
    <w:rsid w:val="00B60991"/>
    <w:rsid w:val="00B60AD1"/>
    <w:rsid w:val="00B60C71"/>
    <w:rsid w:val="00B60F17"/>
    <w:rsid w:val="00B6108A"/>
    <w:rsid w:val="00B611B3"/>
    <w:rsid w:val="00B612EB"/>
    <w:rsid w:val="00B614FB"/>
    <w:rsid w:val="00B6152F"/>
    <w:rsid w:val="00B615D3"/>
    <w:rsid w:val="00B615EB"/>
    <w:rsid w:val="00B6163A"/>
    <w:rsid w:val="00B61672"/>
    <w:rsid w:val="00B616AE"/>
    <w:rsid w:val="00B61703"/>
    <w:rsid w:val="00B617E9"/>
    <w:rsid w:val="00B61807"/>
    <w:rsid w:val="00B6181E"/>
    <w:rsid w:val="00B61869"/>
    <w:rsid w:val="00B61899"/>
    <w:rsid w:val="00B61AA7"/>
    <w:rsid w:val="00B61B9B"/>
    <w:rsid w:val="00B61C3D"/>
    <w:rsid w:val="00B61FC6"/>
    <w:rsid w:val="00B6204F"/>
    <w:rsid w:val="00B6205C"/>
    <w:rsid w:val="00B620DB"/>
    <w:rsid w:val="00B621BE"/>
    <w:rsid w:val="00B623D5"/>
    <w:rsid w:val="00B624C7"/>
    <w:rsid w:val="00B62506"/>
    <w:rsid w:val="00B62787"/>
    <w:rsid w:val="00B6280B"/>
    <w:rsid w:val="00B62860"/>
    <w:rsid w:val="00B6294C"/>
    <w:rsid w:val="00B62976"/>
    <w:rsid w:val="00B62A82"/>
    <w:rsid w:val="00B62AFC"/>
    <w:rsid w:val="00B62C71"/>
    <w:rsid w:val="00B62CAB"/>
    <w:rsid w:val="00B62D65"/>
    <w:rsid w:val="00B62D6D"/>
    <w:rsid w:val="00B62D6E"/>
    <w:rsid w:val="00B62F4F"/>
    <w:rsid w:val="00B62F6D"/>
    <w:rsid w:val="00B6303E"/>
    <w:rsid w:val="00B6304C"/>
    <w:rsid w:val="00B630B8"/>
    <w:rsid w:val="00B632C1"/>
    <w:rsid w:val="00B63342"/>
    <w:rsid w:val="00B63369"/>
    <w:rsid w:val="00B6359A"/>
    <w:rsid w:val="00B63637"/>
    <w:rsid w:val="00B63761"/>
    <w:rsid w:val="00B63817"/>
    <w:rsid w:val="00B63BDC"/>
    <w:rsid w:val="00B63CE3"/>
    <w:rsid w:val="00B63E44"/>
    <w:rsid w:val="00B63E83"/>
    <w:rsid w:val="00B63F60"/>
    <w:rsid w:val="00B63F69"/>
    <w:rsid w:val="00B63F88"/>
    <w:rsid w:val="00B64051"/>
    <w:rsid w:val="00B64239"/>
    <w:rsid w:val="00B6436A"/>
    <w:rsid w:val="00B64380"/>
    <w:rsid w:val="00B643BA"/>
    <w:rsid w:val="00B645C9"/>
    <w:rsid w:val="00B64798"/>
    <w:rsid w:val="00B64A37"/>
    <w:rsid w:val="00B64D49"/>
    <w:rsid w:val="00B64F54"/>
    <w:rsid w:val="00B65022"/>
    <w:rsid w:val="00B650A4"/>
    <w:rsid w:val="00B6511B"/>
    <w:rsid w:val="00B652D7"/>
    <w:rsid w:val="00B653CE"/>
    <w:rsid w:val="00B655A0"/>
    <w:rsid w:val="00B655F3"/>
    <w:rsid w:val="00B6567C"/>
    <w:rsid w:val="00B65762"/>
    <w:rsid w:val="00B659FD"/>
    <w:rsid w:val="00B65B1A"/>
    <w:rsid w:val="00B65B91"/>
    <w:rsid w:val="00B66296"/>
    <w:rsid w:val="00B66299"/>
    <w:rsid w:val="00B6632F"/>
    <w:rsid w:val="00B66361"/>
    <w:rsid w:val="00B66622"/>
    <w:rsid w:val="00B66949"/>
    <w:rsid w:val="00B66AC2"/>
    <w:rsid w:val="00B66B8B"/>
    <w:rsid w:val="00B66BF0"/>
    <w:rsid w:val="00B66CE5"/>
    <w:rsid w:val="00B66E5C"/>
    <w:rsid w:val="00B66F97"/>
    <w:rsid w:val="00B67004"/>
    <w:rsid w:val="00B6703E"/>
    <w:rsid w:val="00B67300"/>
    <w:rsid w:val="00B673AD"/>
    <w:rsid w:val="00B67468"/>
    <w:rsid w:val="00B67555"/>
    <w:rsid w:val="00B67599"/>
    <w:rsid w:val="00B676EB"/>
    <w:rsid w:val="00B678E6"/>
    <w:rsid w:val="00B679A6"/>
    <w:rsid w:val="00B679BC"/>
    <w:rsid w:val="00B679DD"/>
    <w:rsid w:val="00B679FD"/>
    <w:rsid w:val="00B67AFF"/>
    <w:rsid w:val="00B67CA4"/>
    <w:rsid w:val="00B67D78"/>
    <w:rsid w:val="00B67E62"/>
    <w:rsid w:val="00B67EF4"/>
    <w:rsid w:val="00B70087"/>
    <w:rsid w:val="00B70223"/>
    <w:rsid w:val="00B70226"/>
    <w:rsid w:val="00B7026A"/>
    <w:rsid w:val="00B702D6"/>
    <w:rsid w:val="00B7031D"/>
    <w:rsid w:val="00B7056F"/>
    <w:rsid w:val="00B705BF"/>
    <w:rsid w:val="00B706A4"/>
    <w:rsid w:val="00B706C4"/>
    <w:rsid w:val="00B70880"/>
    <w:rsid w:val="00B708DF"/>
    <w:rsid w:val="00B7097E"/>
    <w:rsid w:val="00B70A17"/>
    <w:rsid w:val="00B70A49"/>
    <w:rsid w:val="00B70B29"/>
    <w:rsid w:val="00B70B87"/>
    <w:rsid w:val="00B70C76"/>
    <w:rsid w:val="00B70CD3"/>
    <w:rsid w:val="00B70CED"/>
    <w:rsid w:val="00B70E30"/>
    <w:rsid w:val="00B710E7"/>
    <w:rsid w:val="00B713AE"/>
    <w:rsid w:val="00B7146D"/>
    <w:rsid w:val="00B715E9"/>
    <w:rsid w:val="00B715F2"/>
    <w:rsid w:val="00B716D7"/>
    <w:rsid w:val="00B716F1"/>
    <w:rsid w:val="00B71716"/>
    <w:rsid w:val="00B71A67"/>
    <w:rsid w:val="00B71BD4"/>
    <w:rsid w:val="00B71C11"/>
    <w:rsid w:val="00B71D34"/>
    <w:rsid w:val="00B71F0A"/>
    <w:rsid w:val="00B71F89"/>
    <w:rsid w:val="00B7219C"/>
    <w:rsid w:val="00B721FF"/>
    <w:rsid w:val="00B722C5"/>
    <w:rsid w:val="00B722F0"/>
    <w:rsid w:val="00B724AB"/>
    <w:rsid w:val="00B72568"/>
    <w:rsid w:val="00B725BA"/>
    <w:rsid w:val="00B725F1"/>
    <w:rsid w:val="00B72714"/>
    <w:rsid w:val="00B727A2"/>
    <w:rsid w:val="00B72816"/>
    <w:rsid w:val="00B728FA"/>
    <w:rsid w:val="00B7291A"/>
    <w:rsid w:val="00B72A0A"/>
    <w:rsid w:val="00B72D93"/>
    <w:rsid w:val="00B72E31"/>
    <w:rsid w:val="00B72EC9"/>
    <w:rsid w:val="00B72F92"/>
    <w:rsid w:val="00B731CC"/>
    <w:rsid w:val="00B73321"/>
    <w:rsid w:val="00B73440"/>
    <w:rsid w:val="00B73444"/>
    <w:rsid w:val="00B7347F"/>
    <w:rsid w:val="00B73512"/>
    <w:rsid w:val="00B7370E"/>
    <w:rsid w:val="00B73755"/>
    <w:rsid w:val="00B737F3"/>
    <w:rsid w:val="00B7394E"/>
    <w:rsid w:val="00B739CC"/>
    <w:rsid w:val="00B73CB6"/>
    <w:rsid w:val="00B73D07"/>
    <w:rsid w:val="00B73DE1"/>
    <w:rsid w:val="00B73E1E"/>
    <w:rsid w:val="00B73EA2"/>
    <w:rsid w:val="00B73EDD"/>
    <w:rsid w:val="00B73F02"/>
    <w:rsid w:val="00B73F08"/>
    <w:rsid w:val="00B73FC2"/>
    <w:rsid w:val="00B7419E"/>
    <w:rsid w:val="00B743EE"/>
    <w:rsid w:val="00B7455C"/>
    <w:rsid w:val="00B74617"/>
    <w:rsid w:val="00B74633"/>
    <w:rsid w:val="00B7465A"/>
    <w:rsid w:val="00B74740"/>
    <w:rsid w:val="00B7489F"/>
    <w:rsid w:val="00B74964"/>
    <w:rsid w:val="00B74BD0"/>
    <w:rsid w:val="00B74E0D"/>
    <w:rsid w:val="00B74E23"/>
    <w:rsid w:val="00B75052"/>
    <w:rsid w:val="00B751B8"/>
    <w:rsid w:val="00B751C9"/>
    <w:rsid w:val="00B752A9"/>
    <w:rsid w:val="00B75360"/>
    <w:rsid w:val="00B75391"/>
    <w:rsid w:val="00B75672"/>
    <w:rsid w:val="00B75790"/>
    <w:rsid w:val="00B75C07"/>
    <w:rsid w:val="00B75D44"/>
    <w:rsid w:val="00B75DB3"/>
    <w:rsid w:val="00B75EBB"/>
    <w:rsid w:val="00B76037"/>
    <w:rsid w:val="00B760D9"/>
    <w:rsid w:val="00B7610A"/>
    <w:rsid w:val="00B762F7"/>
    <w:rsid w:val="00B76449"/>
    <w:rsid w:val="00B764C0"/>
    <w:rsid w:val="00B766B9"/>
    <w:rsid w:val="00B767C3"/>
    <w:rsid w:val="00B7684F"/>
    <w:rsid w:val="00B76898"/>
    <w:rsid w:val="00B769ED"/>
    <w:rsid w:val="00B769F3"/>
    <w:rsid w:val="00B76A10"/>
    <w:rsid w:val="00B76A30"/>
    <w:rsid w:val="00B76CA3"/>
    <w:rsid w:val="00B76DD5"/>
    <w:rsid w:val="00B77214"/>
    <w:rsid w:val="00B772E5"/>
    <w:rsid w:val="00B77322"/>
    <w:rsid w:val="00B773F8"/>
    <w:rsid w:val="00B776F2"/>
    <w:rsid w:val="00B77A8F"/>
    <w:rsid w:val="00B77B24"/>
    <w:rsid w:val="00B77B7D"/>
    <w:rsid w:val="00B77C53"/>
    <w:rsid w:val="00B77C66"/>
    <w:rsid w:val="00B77F9B"/>
    <w:rsid w:val="00B8004A"/>
    <w:rsid w:val="00B8006C"/>
    <w:rsid w:val="00B801E3"/>
    <w:rsid w:val="00B80631"/>
    <w:rsid w:val="00B806DF"/>
    <w:rsid w:val="00B80761"/>
    <w:rsid w:val="00B8078F"/>
    <w:rsid w:val="00B8079A"/>
    <w:rsid w:val="00B80872"/>
    <w:rsid w:val="00B80967"/>
    <w:rsid w:val="00B80D68"/>
    <w:rsid w:val="00B80E0F"/>
    <w:rsid w:val="00B80FF0"/>
    <w:rsid w:val="00B810CF"/>
    <w:rsid w:val="00B810E2"/>
    <w:rsid w:val="00B81149"/>
    <w:rsid w:val="00B811E6"/>
    <w:rsid w:val="00B81243"/>
    <w:rsid w:val="00B81436"/>
    <w:rsid w:val="00B814D0"/>
    <w:rsid w:val="00B8160C"/>
    <w:rsid w:val="00B816E8"/>
    <w:rsid w:val="00B817A6"/>
    <w:rsid w:val="00B819F9"/>
    <w:rsid w:val="00B81AC0"/>
    <w:rsid w:val="00B81E0B"/>
    <w:rsid w:val="00B81E53"/>
    <w:rsid w:val="00B81EEC"/>
    <w:rsid w:val="00B820C2"/>
    <w:rsid w:val="00B823E9"/>
    <w:rsid w:val="00B82448"/>
    <w:rsid w:val="00B82703"/>
    <w:rsid w:val="00B82743"/>
    <w:rsid w:val="00B82763"/>
    <w:rsid w:val="00B8291C"/>
    <w:rsid w:val="00B82A38"/>
    <w:rsid w:val="00B82A65"/>
    <w:rsid w:val="00B82C31"/>
    <w:rsid w:val="00B82C84"/>
    <w:rsid w:val="00B82D4E"/>
    <w:rsid w:val="00B82D5D"/>
    <w:rsid w:val="00B8308F"/>
    <w:rsid w:val="00B830DD"/>
    <w:rsid w:val="00B83195"/>
    <w:rsid w:val="00B831D6"/>
    <w:rsid w:val="00B8322D"/>
    <w:rsid w:val="00B83437"/>
    <w:rsid w:val="00B83749"/>
    <w:rsid w:val="00B837AB"/>
    <w:rsid w:val="00B83946"/>
    <w:rsid w:val="00B83950"/>
    <w:rsid w:val="00B83A5D"/>
    <w:rsid w:val="00B83D1A"/>
    <w:rsid w:val="00B83EA8"/>
    <w:rsid w:val="00B84162"/>
    <w:rsid w:val="00B8420E"/>
    <w:rsid w:val="00B84220"/>
    <w:rsid w:val="00B8423A"/>
    <w:rsid w:val="00B84330"/>
    <w:rsid w:val="00B8442D"/>
    <w:rsid w:val="00B84574"/>
    <w:rsid w:val="00B846B2"/>
    <w:rsid w:val="00B84A56"/>
    <w:rsid w:val="00B84A66"/>
    <w:rsid w:val="00B84B71"/>
    <w:rsid w:val="00B84C49"/>
    <w:rsid w:val="00B84C5D"/>
    <w:rsid w:val="00B84CC3"/>
    <w:rsid w:val="00B84CD1"/>
    <w:rsid w:val="00B84CE7"/>
    <w:rsid w:val="00B84E4A"/>
    <w:rsid w:val="00B8502C"/>
    <w:rsid w:val="00B850D0"/>
    <w:rsid w:val="00B85257"/>
    <w:rsid w:val="00B85262"/>
    <w:rsid w:val="00B852A5"/>
    <w:rsid w:val="00B85517"/>
    <w:rsid w:val="00B855E7"/>
    <w:rsid w:val="00B856B5"/>
    <w:rsid w:val="00B859AC"/>
    <w:rsid w:val="00B85A7B"/>
    <w:rsid w:val="00B85B70"/>
    <w:rsid w:val="00B85BA5"/>
    <w:rsid w:val="00B85BFC"/>
    <w:rsid w:val="00B85E98"/>
    <w:rsid w:val="00B8606C"/>
    <w:rsid w:val="00B8614A"/>
    <w:rsid w:val="00B86290"/>
    <w:rsid w:val="00B862B3"/>
    <w:rsid w:val="00B8655C"/>
    <w:rsid w:val="00B866AC"/>
    <w:rsid w:val="00B86729"/>
    <w:rsid w:val="00B868CD"/>
    <w:rsid w:val="00B869AC"/>
    <w:rsid w:val="00B86A8B"/>
    <w:rsid w:val="00B86AFA"/>
    <w:rsid w:val="00B86B02"/>
    <w:rsid w:val="00B87007"/>
    <w:rsid w:val="00B87152"/>
    <w:rsid w:val="00B87248"/>
    <w:rsid w:val="00B873E3"/>
    <w:rsid w:val="00B8740E"/>
    <w:rsid w:val="00B87618"/>
    <w:rsid w:val="00B87972"/>
    <w:rsid w:val="00B879E8"/>
    <w:rsid w:val="00B87C46"/>
    <w:rsid w:val="00B87D37"/>
    <w:rsid w:val="00B87E0D"/>
    <w:rsid w:val="00B9022D"/>
    <w:rsid w:val="00B90542"/>
    <w:rsid w:val="00B9061E"/>
    <w:rsid w:val="00B9080F"/>
    <w:rsid w:val="00B909AE"/>
    <w:rsid w:val="00B909D5"/>
    <w:rsid w:val="00B90AE6"/>
    <w:rsid w:val="00B90AFC"/>
    <w:rsid w:val="00B90BA0"/>
    <w:rsid w:val="00B90DD6"/>
    <w:rsid w:val="00B90E64"/>
    <w:rsid w:val="00B9105A"/>
    <w:rsid w:val="00B91077"/>
    <w:rsid w:val="00B910DA"/>
    <w:rsid w:val="00B91156"/>
    <w:rsid w:val="00B9118A"/>
    <w:rsid w:val="00B91215"/>
    <w:rsid w:val="00B9124B"/>
    <w:rsid w:val="00B9128C"/>
    <w:rsid w:val="00B91745"/>
    <w:rsid w:val="00B9177F"/>
    <w:rsid w:val="00B91A12"/>
    <w:rsid w:val="00B91A3B"/>
    <w:rsid w:val="00B91BDE"/>
    <w:rsid w:val="00B91D04"/>
    <w:rsid w:val="00B91E02"/>
    <w:rsid w:val="00B91E2D"/>
    <w:rsid w:val="00B91E6B"/>
    <w:rsid w:val="00B91EB2"/>
    <w:rsid w:val="00B91F37"/>
    <w:rsid w:val="00B91FD3"/>
    <w:rsid w:val="00B920EF"/>
    <w:rsid w:val="00B92224"/>
    <w:rsid w:val="00B92310"/>
    <w:rsid w:val="00B92389"/>
    <w:rsid w:val="00B924D8"/>
    <w:rsid w:val="00B92509"/>
    <w:rsid w:val="00B9250D"/>
    <w:rsid w:val="00B926B9"/>
    <w:rsid w:val="00B928B0"/>
    <w:rsid w:val="00B928E4"/>
    <w:rsid w:val="00B928FD"/>
    <w:rsid w:val="00B92902"/>
    <w:rsid w:val="00B9291F"/>
    <w:rsid w:val="00B92C3D"/>
    <w:rsid w:val="00B92DA5"/>
    <w:rsid w:val="00B92E27"/>
    <w:rsid w:val="00B92E44"/>
    <w:rsid w:val="00B9313B"/>
    <w:rsid w:val="00B932B4"/>
    <w:rsid w:val="00B9332C"/>
    <w:rsid w:val="00B93856"/>
    <w:rsid w:val="00B93861"/>
    <w:rsid w:val="00B9386B"/>
    <w:rsid w:val="00B93960"/>
    <w:rsid w:val="00B93A9D"/>
    <w:rsid w:val="00B93B80"/>
    <w:rsid w:val="00B93BDB"/>
    <w:rsid w:val="00B93C3F"/>
    <w:rsid w:val="00B93C96"/>
    <w:rsid w:val="00B93D2B"/>
    <w:rsid w:val="00B93DB0"/>
    <w:rsid w:val="00B93FA1"/>
    <w:rsid w:val="00B93FAF"/>
    <w:rsid w:val="00B94072"/>
    <w:rsid w:val="00B94094"/>
    <w:rsid w:val="00B94212"/>
    <w:rsid w:val="00B94269"/>
    <w:rsid w:val="00B943A8"/>
    <w:rsid w:val="00B94482"/>
    <w:rsid w:val="00B944D3"/>
    <w:rsid w:val="00B945A2"/>
    <w:rsid w:val="00B946A6"/>
    <w:rsid w:val="00B94770"/>
    <w:rsid w:val="00B94835"/>
    <w:rsid w:val="00B94A82"/>
    <w:rsid w:val="00B94B1F"/>
    <w:rsid w:val="00B94B27"/>
    <w:rsid w:val="00B94D41"/>
    <w:rsid w:val="00B94DBF"/>
    <w:rsid w:val="00B94E89"/>
    <w:rsid w:val="00B94F53"/>
    <w:rsid w:val="00B9527E"/>
    <w:rsid w:val="00B9533D"/>
    <w:rsid w:val="00B953FE"/>
    <w:rsid w:val="00B954BE"/>
    <w:rsid w:val="00B954C9"/>
    <w:rsid w:val="00B95660"/>
    <w:rsid w:val="00B9583E"/>
    <w:rsid w:val="00B95B96"/>
    <w:rsid w:val="00B95BB0"/>
    <w:rsid w:val="00B95C0D"/>
    <w:rsid w:val="00B95D59"/>
    <w:rsid w:val="00B95DC6"/>
    <w:rsid w:val="00B95E69"/>
    <w:rsid w:val="00B95ECB"/>
    <w:rsid w:val="00B96001"/>
    <w:rsid w:val="00B96032"/>
    <w:rsid w:val="00B9624B"/>
    <w:rsid w:val="00B96475"/>
    <w:rsid w:val="00B965D8"/>
    <w:rsid w:val="00B96933"/>
    <w:rsid w:val="00B969B6"/>
    <w:rsid w:val="00B96A94"/>
    <w:rsid w:val="00B96B3F"/>
    <w:rsid w:val="00B96CD9"/>
    <w:rsid w:val="00B96EB5"/>
    <w:rsid w:val="00B9720B"/>
    <w:rsid w:val="00B972B3"/>
    <w:rsid w:val="00B972FA"/>
    <w:rsid w:val="00B97343"/>
    <w:rsid w:val="00B9751D"/>
    <w:rsid w:val="00B9753A"/>
    <w:rsid w:val="00B9763B"/>
    <w:rsid w:val="00B97668"/>
    <w:rsid w:val="00B97981"/>
    <w:rsid w:val="00B97A77"/>
    <w:rsid w:val="00B97B10"/>
    <w:rsid w:val="00B97ED5"/>
    <w:rsid w:val="00BA0113"/>
    <w:rsid w:val="00BA031B"/>
    <w:rsid w:val="00BA037F"/>
    <w:rsid w:val="00BA0393"/>
    <w:rsid w:val="00BA0398"/>
    <w:rsid w:val="00BA0496"/>
    <w:rsid w:val="00BA04EA"/>
    <w:rsid w:val="00BA051D"/>
    <w:rsid w:val="00BA0763"/>
    <w:rsid w:val="00BA08A4"/>
    <w:rsid w:val="00BA095C"/>
    <w:rsid w:val="00BA09A9"/>
    <w:rsid w:val="00BA09C4"/>
    <w:rsid w:val="00BA09F6"/>
    <w:rsid w:val="00BA0A0A"/>
    <w:rsid w:val="00BA0DD2"/>
    <w:rsid w:val="00BA0EB6"/>
    <w:rsid w:val="00BA0F8F"/>
    <w:rsid w:val="00BA1126"/>
    <w:rsid w:val="00BA1384"/>
    <w:rsid w:val="00BA1407"/>
    <w:rsid w:val="00BA14D4"/>
    <w:rsid w:val="00BA1612"/>
    <w:rsid w:val="00BA16E9"/>
    <w:rsid w:val="00BA1B38"/>
    <w:rsid w:val="00BA1B3E"/>
    <w:rsid w:val="00BA1C0D"/>
    <w:rsid w:val="00BA1E80"/>
    <w:rsid w:val="00BA201F"/>
    <w:rsid w:val="00BA203D"/>
    <w:rsid w:val="00BA207F"/>
    <w:rsid w:val="00BA2207"/>
    <w:rsid w:val="00BA2234"/>
    <w:rsid w:val="00BA230C"/>
    <w:rsid w:val="00BA23A9"/>
    <w:rsid w:val="00BA2442"/>
    <w:rsid w:val="00BA25C2"/>
    <w:rsid w:val="00BA25CB"/>
    <w:rsid w:val="00BA2771"/>
    <w:rsid w:val="00BA2810"/>
    <w:rsid w:val="00BA28B8"/>
    <w:rsid w:val="00BA2A83"/>
    <w:rsid w:val="00BA2B02"/>
    <w:rsid w:val="00BA2B16"/>
    <w:rsid w:val="00BA2CAC"/>
    <w:rsid w:val="00BA2CC0"/>
    <w:rsid w:val="00BA2D5E"/>
    <w:rsid w:val="00BA3068"/>
    <w:rsid w:val="00BA317B"/>
    <w:rsid w:val="00BA328C"/>
    <w:rsid w:val="00BA328F"/>
    <w:rsid w:val="00BA3355"/>
    <w:rsid w:val="00BA337F"/>
    <w:rsid w:val="00BA338B"/>
    <w:rsid w:val="00BA3452"/>
    <w:rsid w:val="00BA34D7"/>
    <w:rsid w:val="00BA358D"/>
    <w:rsid w:val="00BA365A"/>
    <w:rsid w:val="00BA36AB"/>
    <w:rsid w:val="00BA395A"/>
    <w:rsid w:val="00BA3A4D"/>
    <w:rsid w:val="00BA3A80"/>
    <w:rsid w:val="00BA3B39"/>
    <w:rsid w:val="00BA3B4E"/>
    <w:rsid w:val="00BA3BE0"/>
    <w:rsid w:val="00BA3C21"/>
    <w:rsid w:val="00BA3C5B"/>
    <w:rsid w:val="00BA3ED9"/>
    <w:rsid w:val="00BA4016"/>
    <w:rsid w:val="00BA40BD"/>
    <w:rsid w:val="00BA438C"/>
    <w:rsid w:val="00BA4467"/>
    <w:rsid w:val="00BA46D0"/>
    <w:rsid w:val="00BA47E3"/>
    <w:rsid w:val="00BA484D"/>
    <w:rsid w:val="00BA49CC"/>
    <w:rsid w:val="00BA49F1"/>
    <w:rsid w:val="00BA49F9"/>
    <w:rsid w:val="00BA4A83"/>
    <w:rsid w:val="00BA4B23"/>
    <w:rsid w:val="00BA4B6E"/>
    <w:rsid w:val="00BA4CC9"/>
    <w:rsid w:val="00BA4E73"/>
    <w:rsid w:val="00BA4E90"/>
    <w:rsid w:val="00BA510D"/>
    <w:rsid w:val="00BA52F5"/>
    <w:rsid w:val="00BA5318"/>
    <w:rsid w:val="00BA54DD"/>
    <w:rsid w:val="00BA5734"/>
    <w:rsid w:val="00BA57C7"/>
    <w:rsid w:val="00BA5847"/>
    <w:rsid w:val="00BA5A44"/>
    <w:rsid w:val="00BA5AE0"/>
    <w:rsid w:val="00BA5B0B"/>
    <w:rsid w:val="00BA5B2D"/>
    <w:rsid w:val="00BA5B42"/>
    <w:rsid w:val="00BA5C43"/>
    <w:rsid w:val="00BA5DE0"/>
    <w:rsid w:val="00BA5E5E"/>
    <w:rsid w:val="00BA5E72"/>
    <w:rsid w:val="00BA60EC"/>
    <w:rsid w:val="00BA6243"/>
    <w:rsid w:val="00BA6300"/>
    <w:rsid w:val="00BA630E"/>
    <w:rsid w:val="00BA6437"/>
    <w:rsid w:val="00BA64A8"/>
    <w:rsid w:val="00BA6544"/>
    <w:rsid w:val="00BA658F"/>
    <w:rsid w:val="00BA65E5"/>
    <w:rsid w:val="00BA66CD"/>
    <w:rsid w:val="00BA6793"/>
    <w:rsid w:val="00BA6A55"/>
    <w:rsid w:val="00BA6DE4"/>
    <w:rsid w:val="00BA6EEF"/>
    <w:rsid w:val="00BA6F39"/>
    <w:rsid w:val="00BA6F3E"/>
    <w:rsid w:val="00BA7205"/>
    <w:rsid w:val="00BA7269"/>
    <w:rsid w:val="00BA7316"/>
    <w:rsid w:val="00BA743A"/>
    <w:rsid w:val="00BA7681"/>
    <w:rsid w:val="00BA76BE"/>
    <w:rsid w:val="00BA76CA"/>
    <w:rsid w:val="00BA79CE"/>
    <w:rsid w:val="00BA7A92"/>
    <w:rsid w:val="00BA7C16"/>
    <w:rsid w:val="00BA7C18"/>
    <w:rsid w:val="00BB0148"/>
    <w:rsid w:val="00BB0200"/>
    <w:rsid w:val="00BB0207"/>
    <w:rsid w:val="00BB0475"/>
    <w:rsid w:val="00BB05C6"/>
    <w:rsid w:val="00BB062C"/>
    <w:rsid w:val="00BB0928"/>
    <w:rsid w:val="00BB09C0"/>
    <w:rsid w:val="00BB0AC7"/>
    <w:rsid w:val="00BB0C45"/>
    <w:rsid w:val="00BB0C71"/>
    <w:rsid w:val="00BB0CFE"/>
    <w:rsid w:val="00BB0F45"/>
    <w:rsid w:val="00BB0F9B"/>
    <w:rsid w:val="00BB11AC"/>
    <w:rsid w:val="00BB11F5"/>
    <w:rsid w:val="00BB134F"/>
    <w:rsid w:val="00BB13E2"/>
    <w:rsid w:val="00BB142D"/>
    <w:rsid w:val="00BB15FF"/>
    <w:rsid w:val="00BB17AE"/>
    <w:rsid w:val="00BB18BF"/>
    <w:rsid w:val="00BB18DD"/>
    <w:rsid w:val="00BB19C4"/>
    <w:rsid w:val="00BB1A22"/>
    <w:rsid w:val="00BB1AB2"/>
    <w:rsid w:val="00BB1BBE"/>
    <w:rsid w:val="00BB1E76"/>
    <w:rsid w:val="00BB2078"/>
    <w:rsid w:val="00BB2149"/>
    <w:rsid w:val="00BB22E5"/>
    <w:rsid w:val="00BB243E"/>
    <w:rsid w:val="00BB24C7"/>
    <w:rsid w:val="00BB2567"/>
    <w:rsid w:val="00BB27E2"/>
    <w:rsid w:val="00BB27F4"/>
    <w:rsid w:val="00BB2834"/>
    <w:rsid w:val="00BB291F"/>
    <w:rsid w:val="00BB2B96"/>
    <w:rsid w:val="00BB2DD1"/>
    <w:rsid w:val="00BB2E11"/>
    <w:rsid w:val="00BB2F81"/>
    <w:rsid w:val="00BB2FDE"/>
    <w:rsid w:val="00BB3054"/>
    <w:rsid w:val="00BB331C"/>
    <w:rsid w:val="00BB345B"/>
    <w:rsid w:val="00BB3496"/>
    <w:rsid w:val="00BB36D8"/>
    <w:rsid w:val="00BB3703"/>
    <w:rsid w:val="00BB373E"/>
    <w:rsid w:val="00BB374D"/>
    <w:rsid w:val="00BB390C"/>
    <w:rsid w:val="00BB3A6A"/>
    <w:rsid w:val="00BB3AC2"/>
    <w:rsid w:val="00BB3B04"/>
    <w:rsid w:val="00BB3C47"/>
    <w:rsid w:val="00BB3F98"/>
    <w:rsid w:val="00BB3FDF"/>
    <w:rsid w:val="00BB405D"/>
    <w:rsid w:val="00BB4264"/>
    <w:rsid w:val="00BB442E"/>
    <w:rsid w:val="00BB445E"/>
    <w:rsid w:val="00BB44C2"/>
    <w:rsid w:val="00BB451A"/>
    <w:rsid w:val="00BB45EA"/>
    <w:rsid w:val="00BB486B"/>
    <w:rsid w:val="00BB4922"/>
    <w:rsid w:val="00BB4A15"/>
    <w:rsid w:val="00BB4C7A"/>
    <w:rsid w:val="00BB4C8F"/>
    <w:rsid w:val="00BB4CA4"/>
    <w:rsid w:val="00BB4D42"/>
    <w:rsid w:val="00BB4EDB"/>
    <w:rsid w:val="00BB500E"/>
    <w:rsid w:val="00BB53A4"/>
    <w:rsid w:val="00BB53B7"/>
    <w:rsid w:val="00BB542C"/>
    <w:rsid w:val="00BB54C0"/>
    <w:rsid w:val="00BB54DE"/>
    <w:rsid w:val="00BB55C5"/>
    <w:rsid w:val="00BB564E"/>
    <w:rsid w:val="00BB5936"/>
    <w:rsid w:val="00BB596A"/>
    <w:rsid w:val="00BB5C8A"/>
    <w:rsid w:val="00BB5CD6"/>
    <w:rsid w:val="00BB5D0D"/>
    <w:rsid w:val="00BB5E31"/>
    <w:rsid w:val="00BB5EED"/>
    <w:rsid w:val="00BB5FC4"/>
    <w:rsid w:val="00BB61F7"/>
    <w:rsid w:val="00BB62CC"/>
    <w:rsid w:val="00BB646D"/>
    <w:rsid w:val="00BB6753"/>
    <w:rsid w:val="00BB6DF8"/>
    <w:rsid w:val="00BB6EFC"/>
    <w:rsid w:val="00BB7112"/>
    <w:rsid w:val="00BB72AB"/>
    <w:rsid w:val="00BB72C4"/>
    <w:rsid w:val="00BB764E"/>
    <w:rsid w:val="00BB7651"/>
    <w:rsid w:val="00BB76E3"/>
    <w:rsid w:val="00BB77C8"/>
    <w:rsid w:val="00BB781A"/>
    <w:rsid w:val="00BB7AB5"/>
    <w:rsid w:val="00BB7DD3"/>
    <w:rsid w:val="00BB7E7A"/>
    <w:rsid w:val="00BB7EB0"/>
    <w:rsid w:val="00BB7EBE"/>
    <w:rsid w:val="00BB7FA9"/>
    <w:rsid w:val="00BC01AB"/>
    <w:rsid w:val="00BC0231"/>
    <w:rsid w:val="00BC037D"/>
    <w:rsid w:val="00BC0471"/>
    <w:rsid w:val="00BC04E3"/>
    <w:rsid w:val="00BC05F0"/>
    <w:rsid w:val="00BC0650"/>
    <w:rsid w:val="00BC0663"/>
    <w:rsid w:val="00BC070D"/>
    <w:rsid w:val="00BC07B6"/>
    <w:rsid w:val="00BC085C"/>
    <w:rsid w:val="00BC08FA"/>
    <w:rsid w:val="00BC0A8B"/>
    <w:rsid w:val="00BC0B1A"/>
    <w:rsid w:val="00BC0C29"/>
    <w:rsid w:val="00BC0C30"/>
    <w:rsid w:val="00BC0DAD"/>
    <w:rsid w:val="00BC0E36"/>
    <w:rsid w:val="00BC0E39"/>
    <w:rsid w:val="00BC0EC3"/>
    <w:rsid w:val="00BC0F11"/>
    <w:rsid w:val="00BC0FB8"/>
    <w:rsid w:val="00BC10CD"/>
    <w:rsid w:val="00BC1325"/>
    <w:rsid w:val="00BC15C0"/>
    <w:rsid w:val="00BC1964"/>
    <w:rsid w:val="00BC19BB"/>
    <w:rsid w:val="00BC1CDB"/>
    <w:rsid w:val="00BC1E14"/>
    <w:rsid w:val="00BC1F29"/>
    <w:rsid w:val="00BC1F6E"/>
    <w:rsid w:val="00BC2081"/>
    <w:rsid w:val="00BC208A"/>
    <w:rsid w:val="00BC23C3"/>
    <w:rsid w:val="00BC2585"/>
    <w:rsid w:val="00BC2687"/>
    <w:rsid w:val="00BC2904"/>
    <w:rsid w:val="00BC290A"/>
    <w:rsid w:val="00BC2950"/>
    <w:rsid w:val="00BC2C75"/>
    <w:rsid w:val="00BC2EDF"/>
    <w:rsid w:val="00BC2FCC"/>
    <w:rsid w:val="00BC312C"/>
    <w:rsid w:val="00BC3167"/>
    <w:rsid w:val="00BC31C4"/>
    <w:rsid w:val="00BC3463"/>
    <w:rsid w:val="00BC34A3"/>
    <w:rsid w:val="00BC36F6"/>
    <w:rsid w:val="00BC3781"/>
    <w:rsid w:val="00BC383B"/>
    <w:rsid w:val="00BC38CF"/>
    <w:rsid w:val="00BC399C"/>
    <w:rsid w:val="00BC3A6C"/>
    <w:rsid w:val="00BC3B10"/>
    <w:rsid w:val="00BC3EB2"/>
    <w:rsid w:val="00BC3F7D"/>
    <w:rsid w:val="00BC4182"/>
    <w:rsid w:val="00BC41D2"/>
    <w:rsid w:val="00BC4251"/>
    <w:rsid w:val="00BC4259"/>
    <w:rsid w:val="00BC43E0"/>
    <w:rsid w:val="00BC4496"/>
    <w:rsid w:val="00BC45D5"/>
    <w:rsid w:val="00BC461C"/>
    <w:rsid w:val="00BC46F4"/>
    <w:rsid w:val="00BC471D"/>
    <w:rsid w:val="00BC484B"/>
    <w:rsid w:val="00BC484C"/>
    <w:rsid w:val="00BC4AC8"/>
    <w:rsid w:val="00BC4B0C"/>
    <w:rsid w:val="00BC4C8A"/>
    <w:rsid w:val="00BC4EA9"/>
    <w:rsid w:val="00BC4FB2"/>
    <w:rsid w:val="00BC5012"/>
    <w:rsid w:val="00BC5071"/>
    <w:rsid w:val="00BC50A2"/>
    <w:rsid w:val="00BC5158"/>
    <w:rsid w:val="00BC535B"/>
    <w:rsid w:val="00BC53CC"/>
    <w:rsid w:val="00BC53E5"/>
    <w:rsid w:val="00BC5716"/>
    <w:rsid w:val="00BC57A4"/>
    <w:rsid w:val="00BC588B"/>
    <w:rsid w:val="00BC592A"/>
    <w:rsid w:val="00BC5951"/>
    <w:rsid w:val="00BC5BC2"/>
    <w:rsid w:val="00BC5CC6"/>
    <w:rsid w:val="00BC5D46"/>
    <w:rsid w:val="00BC5D57"/>
    <w:rsid w:val="00BC602F"/>
    <w:rsid w:val="00BC60F0"/>
    <w:rsid w:val="00BC6650"/>
    <w:rsid w:val="00BC66C0"/>
    <w:rsid w:val="00BC6979"/>
    <w:rsid w:val="00BC6A58"/>
    <w:rsid w:val="00BC6BC3"/>
    <w:rsid w:val="00BC6C21"/>
    <w:rsid w:val="00BC6C97"/>
    <w:rsid w:val="00BC6CCA"/>
    <w:rsid w:val="00BC6DA5"/>
    <w:rsid w:val="00BC6E20"/>
    <w:rsid w:val="00BC6FA0"/>
    <w:rsid w:val="00BC7033"/>
    <w:rsid w:val="00BC712B"/>
    <w:rsid w:val="00BC7292"/>
    <w:rsid w:val="00BC7316"/>
    <w:rsid w:val="00BC7599"/>
    <w:rsid w:val="00BC7641"/>
    <w:rsid w:val="00BC76EE"/>
    <w:rsid w:val="00BC777F"/>
    <w:rsid w:val="00BC783D"/>
    <w:rsid w:val="00BC7941"/>
    <w:rsid w:val="00BC7979"/>
    <w:rsid w:val="00BC7AEA"/>
    <w:rsid w:val="00BC7B6B"/>
    <w:rsid w:val="00BC7CD7"/>
    <w:rsid w:val="00BC7D8D"/>
    <w:rsid w:val="00BC7DB2"/>
    <w:rsid w:val="00BC7F6B"/>
    <w:rsid w:val="00BD0135"/>
    <w:rsid w:val="00BD01D1"/>
    <w:rsid w:val="00BD0240"/>
    <w:rsid w:val="00BD0257"/>
    <w:rsid w:val="00BD0276"/>
    <w:rsid w:val="00BD0396"/>
    <w:rsid w:val="00BD050F"/>
    <w:rsid w:val="00BD06AD"/>
    <w:rsid w:val="00BD08FC"/>
    <w:rsid w:val="00BD0A8D"/>
    <w:rsid w:val="00BD0B32"/>
    <w:rsid w:val="00BD0C28"/>
    <w:rsid w:val="00BD0C32"/>
    <w:rsid w:val="00BD0D61"/>
    <w:rsid w:val="00BD0E10"/>
    <w:rsid w:val="00BD0E18"/>
    <w:rsid w:val="00BD0F75"/>
    <w:rsid w:val="00BD0FCE"/>
    <w:rsid w:val="00BD1017"/>
    <w:rsid w:val="00BD10A5"/>
    <w:rsid w:val="00BD113B"/>
    <w:rsid w:val="00BD1146"/>
    <w:rsid w:val="00BD12A3"/>
    <w:rsid w:val="00BD1688"/>
    <w:rsid w:val="00BD16A5"/>
    <w:rsid w:val="00BD18B6"/>
    <w:rsid w:val="00BD18D3"/>
    <w:rsid w:val="00BD1933"/>
    <w:rsid w:val="00BD193F"/>
    <w:rsid w:val="00BD1991"/>
    <w:rsid w:val="00BD1AEF"/>
    <w:rsid w:val="00BD1B78"/>
    <w:rsid w:val="00BD1BCA"/>
    <w:rsid w:val="00BD1CDB"/>
    <w:rsid w:val="00BD1E13"/>
    <w:rsid w:val="00BD206E"/>
    <w:rsid w:val="00BD251E"/>
    <w:rsid w:val="00BD259A"/>
    <w:rsid w:val="00BD2621"/>
    <w:rsid w:val="00BD263E"/>
    <w:rsid w:val="00BD2749"/>
    <w:rsid w:val="00BD278C"/>
    <w:rsid w:val="00BD2A82"/>
    <w:rsid w:val="00BD2AFC"/>
    <w:rsid w:val="00BD2BB4"/>
    <w:rsid w:val="00BD2BDA"/>
    <w:rsid w:val="00BD2DB8"/>
    <w:rsid w:val="00BD2EFA"/>
    <w:rsid w:val="00BD2F59"/>
    <w:rsid w:val="00BD2FF0"/>
    <w:rsid w:val="00BD3138"/>
    <w:rsid w:val="00BD319E"/>
    <w:rsid w:val="00BD31D5"/>
    <w:rsid w:val="00BD33A2"/>
    <w:rsid w:val="00BD3448"/>
    <w:rsid w:val="00BD348A"/>
    <w:rsid w:val="00BD34FF"/>
    <w:rsid w:val="00BD3519"/>
    <w:rsid w:val="00BD36E7"/>
    <w:rsid w:val="00BD38BE"/>
    <w:rsid w:val="00BD3A34"/>
    <w:rsid w:val="00BD3AC2"/>
    <w:rsid w:val="00BD3AE5"/>
    <w:rsid w:val="00BD3FBB"/>
    <w:rsid w:val="00BD4087"/>
    <w:rsid w:val="00BD40E8"/>
    <w:rsid w:val="00BD41A3"/>
    <w:rsid w:val="00BD41FD"/>
    <w:rsid w:val="00BD42EF"/>
    <w:rsid w:val="00BD4364"/>
    <w:rsid w:val="00BD438A"/>
    <w:rsid w:val="00BD43A3"/>
    <w:rsid w:val="00BD43B2"/>
    <w:rsid w:val="00BD4445"/>
    <w:rsid w:val="00BD4523"/>
    <w:rsid w:val="00BD45EA"/>
    <w:rsid w:val="00BD46C0"/>
    <w:rsid w:val="00BD4841"/>
    <w:rsid w:val="00BD49B4"/>
    <w:rsid w:val="00BD49BB"/>
    <w:rsid w:val="00BD49BF"/>
    <w:rsid w:val="00BD4C61"/>
    <w:rsid w:val="00BD4CAF"/>
    <w:rsid w:val="00BD4CC3"/>
    <w:rsid w:val="00BD4E92"/>
    <w:rsid w:val="00BD4F2C"/>
    <w:rsid w:val="00BD5036"/>
    <w:rsid w:val="00BD528A"/>
    <w:rsid w:val="00BD52A1"/>
    <w:rsid w:val="00BD54C9"/>
    <w:rsid w:val="00BD5520"/>
    <w:rsid w:val="00BD55B4"/>
    <w:rsid w:val="00BD55DD"/>
    <w:rsid w:val="00BD5A5E"/>
    <w:rsid w:val="00BD5BC0"/>
    <w:rsid w:val="00BD5BD3"/>
    <w:rsid w:val="00BD5C14"/>
    <w:rsid w:val="00BD5E0C"/>
    <w:rsid w:val="00BD5E17"/>
    <w:rsid w:val="00BD5E30"/>
    <w:rsid w:val="00BD5F3F"/>
    <w:rsid w:val="00BD6051"/>
    <w:rsid w:val="00BD62FF"/>
    <w:rsid w:val="00BD633F"/>
    <w:rsid w:val="00BD6794"/>
    <w:rsid w:val="00BD67A4"/>
    <w:rsid w:val="00BD69E1"/>
    <w:rsid w:val="00BD6D65"/>
    <w:rsid w:val="00BD6F7A"/>
    <w:rsid w:val="00BD703C"/>
    <w:rsid w:val="00BD7050"/>
    <w:rsid w:val="00BD711B"/>
    <w:rsid w:val="00BD716E"/>
    <w:rsid w:val="00BD72BA"/>
    <w:rsid w:val="00BD7554"/>
    <w:rsid w:val="00BD758A"/>
    <w:rsid w:val="00BD758C"/>
    <w:rsid w:val="00BD766F"/>
    <w:rsid w:val="00BD7797"/>
    <w:rsid w:val="00BD77C3"/>
    <w:rsid w:val="00BD78CD"/>
    <w:rsid w:val="00BD7ABD"/>
    <w:rsid w:val="00BD7C49"/>
    <w:rsid w:val="00BD7E00"/>
    <w:rsid w:val="00BD7E27"/>
    <w:rsid w:val="00BD7E2A"/>
    <w:rsid w:val="00BD7EC0"/>
    <w:rsid w:val="00BD7F20"/>
    <w:rsid w:val="00BD7F86"/>
    <w:rsid w:val="00BE00CB"/>
    <w:rsid w:val="00BE0231"/>
    <w:rsid w:val="00BE02B5"/>
    <w:rsid w:val="00BE02C5"/>
    <w:rsid w:val="00BE041A"/>
    <w:rsid w:val="00BE0473"/>
    <w:rsid w:val="00BE0519"/>
    <w:rsid w:val="00BE05FC"/>
    <w:rsid w:val="00BE06A8"/>
    <w:rsid w:val="00BE06D7"/>
    <w:rsid w:val="00BE06E0"/>
    <w:rsid w:val="00BE0722"/>
    <w:rsid w:val="00BE07C6"/>
    <w:rsid w:val="00BE0D22"/>
    <w:rsid w:val="00BE0E9C"/>
    <w:rsid w:val="00BE0EFA"/>
    <w:rsid w:val="00BE0F73"/>
    <w:rsid w:val="00BE1064"/>
    <w:rsid w:val="00BE115A"/>
    <w:rsid w:val="00BE1179"/>
    <w:rsid w:val="00BE13AE"/>
    <w:rsid w:val="00BE1528"/>
    <w:rsid w:val="00BE15A2"/>
    <w:rsid w:val="00BE190E"/>
    <w:rsid w:val="00BE191A"/>
    <w:rsid w:val="00BE19B2"/>
    <w:rsid w:val="00BE1A86"/>
    <w:rsid w:val="00BE1B21"/>
    <w:rsid w:val="00BE1EA0"/>
    <w:rsid w:val="00BE2088"/>
    <w:rsid w:val="00BE25D9"/>
    <w:rsid w:val="00BE268E"/>
    <w:rsid w:val="00BE29FA"/>
    <w:rsid w:val="00BE2C97"/>
    <w:rsid w:val="00BE2D10"/>
    <w:rsid w:val="00BE2D41"/>
    <w:rsid w:val="00BE2E0E"/>
    <w:rsid w:val="00BE2E91"/>
    <w:rsid w:val="00BE2F12"/>
    <w:rsid w:val="00BE2F3A"/>
    <w:rsid w:val="00BE2F44"/>
    <w:rsid w:val="00BE30B6"/>
    <w:rsid w:val="00BE32B5"/>
    <w:rsid w:val="00BE34BF"/>
    <w:rsid w:val="00BE34EE"/>
    <w:rsid w:val="00BE3676"/>
    <w:rsid w:val="00BE3C40"/>
    <w:rsid w:val="00BE3EB3"/>
    <w:rsid w:val="00BE3EB9"/>
    <w:rsid w:val="00BE414D"/>
    <w:rsid w:val="00BE470A"/>
    <w:rsid w:val="00BE481D"/>
    <w:rsid w:val="00BE486A"/>
    <w:rsid w:val="00BE4898"/>
    <w:rsid w:val="00BE49C9"/>
    <w:rsid w:val="00BE49F5"/>
    <w:rsid w:val="00BE49F7"/>
    <w:rsid w:val="00BE4A0B"/>
    <w:rsid w:val="00BE4A21"/>
    <w:rsid w:val="00BE4A7D"/>
    <w:rsid w:val="00BE4BF3"/>
    <w:rsid w:val="00BE4C19"/>
    <w:rsid w:val="00BE4C24"/>
    <w:rsid w:val="00BE5032"/>
    <w:rsid w:val="00BE5035"/>
    <w:rsid w:val="00BE51D6"/>
    <w:rsid w:val="00BE51DC"/>
    <w:rsid w:val="00BE5204"/>
    <w:rsid w:val="00BE5238"/>
    <w:rsid w:val="00BE52FB"/>
    <w:rsid w:val="00BE535E"/>
    <w:rsid w:val="00BE540B"/>
    <w:rsid w:val="00BE54D5"/>
    <w:rsid w:val="00BE56FD"/>
    <w:rsid w:val="00BE57B8"/>
    <w:rsid w:val="00BE58F8"/>
    <w:rsid w:val="00BE5A34"/>
    <w:rsid w:val="00BE5CCD"/>
    <w:rsid w:val="00BE5E7D"/>
    <w:rsid w:val="00BE5ED1"/>
    <w:rsid w:val="00BE627F"/>
    <w:rsid w:val="00BE63B0"/>
    <w:rsid w:val="00BE6407"/>
    <w:rsid w:val="00BE6463"/>
    <w:rsid w:val="00BE66DB"/>
    <w:rsid w:val="00BE6704"/>
    <w:rsid w:val="00BE6923"/>
    <w:rsid w:val="00BE69A4"/>
    <w:rsid w:val="00BE69F9"/>
    <w:rsid w:val="00BE6A27"/>
    <w:rsid w:val="00BE6C61"/>
    <w:rsid w:val="00BE6D96"/>
    <w:rsid w:val="00BE6E9C"/>
    <w:rsid w:val="00BE6F8A"/>
    <w:rsid w:val="00BE7010"/>
    <w:rsid w:val="00BE714A"/>
    <w:rsid w:val="00BE7269"/>
    <w:rsid w:val="00BE72A7"/>
    <w:rsid w:val="00BE72D3"/>
    <w:rsid w:val="00BE73F2"/>
    <w:rsid w:val="00BE75FF"/>
    <w:rsid w:val="00BE7617"/>
    <w:rsid w:val="00BE795C"/>
    <w:rsid w:val="00BE79D5"/>
    <w:rsid w:val="00BE7A3B"/>
    <w:rsid w:val="00BE7A88"/>
    <w:rsid w:val="00BE7D0B"/>
    <w:rsid w:val="00BE7EA0"/>
    <w:rsid w:val="00BF0070"/>
    <w:rsid w:val="00BF0147"/>
    <w:rsid w:val="00BF0339"/>
    <w:rsid w:val="00BF03C1"/>
    <w:rsid w:val="00BF041E"/>
    <w:rsid w:val="00BF05F0"/>
    <w:rsid w:val="00BF05F1"/>
    <w:rsid w:val="00BF0732"/>
    <w:rsid w:val="00BF08D6"/>
    <w:rsid w:val="00BF08F5"/>
    <w:rsid w:val="00BF092F"/>
    <w:rsid w:val="00BF0942"/>
    <w:rsid w:val="00BF0962"/>
    <w:rsid w:val="00BF0AE6"/>
    <w:rsid w:val="00BF0C79"/>
    <w:rsid w:val="00BF0CFE"/>
    <w:rsid w:val="00BF0D9E"/>
    <w:rsid w:val="00BF0ED8"/>
    <w:rsid w:val="00BF10D2"/>
    <w:rsid w:val="00BF11AB"/>
    <w:rsid w:val="00BF1227"/>
    <w:rsid w:val="00BF124F"/>
    <w:rsid w:val="00BF1482"/>
    <w:rsid w:val="00BF154B"/>
    <w:rsid w:val="00BF1643"/>
    <w:rsid w:val="00BF1698"/>
    <w:rsid w:val="00BF16C8"/>
    <w:rsid w:val="00BF1720"/>
    <w:rsid w:val="00BF174D"/>
    <w:rsid w:val="00BF18BB"/>
    <w:rsid w:val="00BF19C6"/>
    <w:rsid w:val="00BF2075"/>
    <w:rsid w:val="00BF20C0"/>
    <w:rsid w:val="00BF2101"/>
    <w:rsid w:val="00BF2188"/>
    <w:rsid w:val="00BF244F"/>
    <w:rsid w:val="00BF2452"/>
    <w:rsid w:val="00BF25EB"/>
    <w:rsid w:val="00BF280B"/>
    <w:rsid w:val="00BF2B89"/>
    <w:rsid w:val="00BF2BBE"/>
    <w:rsid w:val="00BF2C30"/>
    <w:rsid w:val="00BF2D58"/>
    <w:rsid w:val="00BF30BB"/>
    <w:rsid w:val="00BF32FF"/>
    <w:rsid w:val="00BF3327"/>
    <w:rsid w:val="00BF333D"/>
    <w:rsid w:val="00BF3402"/>
    <w:rsid w:val="00BF38C3"/>
    <w:rsid w:val="00BF3C7C"/>
    <w:rsid w:val="00BF3E28"/>
    <w:rsid w:val="00BF3E5A"/>
    <w:rsid w:val="00BF3F3B"/>
    <w:rsid w:val="00BF404C"/>
    <w:rsid w:val="00BF4100"/>
    <w:rsid w:val="00BF41CC"/>
    <w:rsid w:val="00BF459E"/>
    <w:rsid w:val="00BF466F"/>
    <w:rsid w:val="00BF476B"/>
    <w:rsid w:val="00BF4809"/>
    <w:rsid w:val="00BF49C2"/>
    <w:rsid w:val="00BF4D18"/>
    <w:rsid w:val="00BF4F52"/>
    <w:rsid w:val="00BF5252"/>
    <w:rsid w:val="00BF5454"/>
    <w:rsid w:val="00BF54F7"/>
    <w:rsid w:val="00BF5743"/>
    <w:rsid w:val="00BF576E"/>
    <w:rsid w:val="00BF57DD"/>
    <w:rsid w:val="00BF597A"/>
    <w:rsid w:val="00BF5A8B"/>
    <w:rsid w:val="00BF5BE3"/>
    <w:rsid w:val="00BF5DB8"/>
    <w:rsid w:val="00BF5DF7"/>
    <w:rsid w:val="00BF5E79"/>
    <w:rsid w:val="00BF5E8E"/>
    <w:rsid w:val="00BF60E7"/>
    <w:rsid w:val="00BF60EC"/>
    <w:rsid w:val="00BF6422"/>
    <w:rsid w:val="00BF655F"/>
    <w:rsid w:val="00BF68AA"/>
    <w:rsid w:val="00BF694C"/>
    <w:rsid w:val="00BF6B0A"/>
    <w:rsid w:val="00BF6B0B"/>
    <w:rsid w:val="00BF6B2C"/>
    <w:rsid w:val="00BF6C6B"/>
    <w:rsid w:val="00BF6E32"/>
    <w:rsid w:val="00BF6F43"/>
    <w:rsid w:val="00BF6F9D"/>
    <w:rsid w:val="00BF6FFE"/>
    <w:rsid w:val="00BF70B6"/>
    <w:rsid w:val="00BF7301"/>
    <w:rsid w:val="00BF7329"/>
    <w:rsid w:val="00BF7479"/>
    <w:rsid w:val="00BF7744"/>
    <w:rsid w:val="00BF7885"/>
    <w:rsid w:val="00BF789C"/>
    <w:rsid w:val="00BF78D9"/>
    <w:rsid w:val="00BF78E9"/>
    <w:rsid w:val="00BF791D"/>
    <w:rsid w:val="00BF794A"/>
    <w:rsid w:val="00BF7976"/>
    <w:rsid w:val="00BF79B5"/>
    <w:rsid w:val="00BF7BC4"/>
    <w:rsid w:val="00BF7F55"/>
    <w:rsid w:val="00BF7F69"/>
    <w:rsid w:val="00C0003D"/>
    <w:rsid w:val="00C00108"/>
    <w:rsid w:val="00C00189"/>
    <w:rsid w:val="00C0019E"/>
    <w:rsid w:val="00C001A6"/>
    <w:rsid w:val="00C001AC"/>
    <w:rsid w:val="00C001E6"/>
    <w:rsid w:val="00C00280"/>
    <w:rsid w:val="00C002B6"/>
    <w:rsid w:val="00C00393"/>
    <w:rsid w:val="00C004A8"/>
    <w:rsid w:val="00C0063C"/>
    <w:rsid w:val="00C00647"/>
    <w:rsid w:val="00C00847"/>
    <w:rsid w:val="00C00954"/>
    <w:rsid w:val="00C00A7B"/>
    <w:rsid w:val="00C00A92"/>
    <w:rsid w:val="00C00ADB"/>
    <w:rsid w:val="00C00B17"/>
    <w:rsid w:val="00C00B36"/>
    <w:rsid w:val="00C00B9B"/>
    <w:rsid w:val="00C00C1F"/>
    <w:rsid w:val="00C00DD5"/>
    <w:rsid w:val="00C00F0C"/>
    <w:rsid w:val="00C00FDC"/>
    <w:rsid w:val="00C01132"/>
    <w:rsid w:val="00C012E0"/>
    <w:rsid w:val="00C014D5"/>
    <w:rsid w:val="00C0157F"/>
    <w:rsid w:val="00C015AF"/>
    <w:rsid w:val="00C018DE"/>
    <w:rsid w:val="00C01A53"/>
    <w:rsid w:val="00C01B12"/>
    <w:rsid w:val="00C01D4C"/>
    <w:rsid w:val="00C01DE8"/>
    <w:rsid w:val="00C01EE5"/>
    <w:rsid w:val="00C01F6F"/>
    <w:rsid w:val="00C02190"/>
    <w:rsid w:val="00C021A8"/>
    <w:rsid w:val="00C02284"/>
    <w:rsid w:val="00C022AB"/>
    <w:rsid w:val="00C02340"/>
    <w:rsid w:val="00C023E7"/>
    <w:rsid w:val="00C02409"/>
    <w:rsid w:val="00C026F7"/>
    <w:rsid w:val="00C02811"/>
    <w:rsid w:val="00C02923"/>
    <w:rsid w:val="00C02967"/>
    <w:rsid w:val="00C02D5A"/>
    <w:rsid w:val="00C02EC3"/>
    <w:rsid w:val="00C02FE4"/>
    <w:rsid w:val="00C03144"/>
    <w:rsid w:val="00C031B3"/>
    <w:rsid w:val="00C031F0"/>
    <w:rsid w:val="00C034B6"/>
    <w:rsid w:val="00C034FA"/>
    <w:rsid w:val="00C035C1"/>
    <w:rsid w:val="00C0396A"/>
    <w:rsid w:val="00C03F45"/>
    <w:rsid w:val="00C03F73"/>
    <w:rsid w:val="00C03FBC"/>
    <w:rsid w:val="00C03FD9"/>
    <w:rsid w:val="00C04127"/>
    <w:rsid w:val="00C04154"/>
    <w:rsid w:val="00C0415D"/>
    <w:rsid w:val="00C0425F"/>
    <w:rsid w:val="00C04262"/>
    <w:rsid w:val="00C044B9"/>
    <w:rsid w:val="00C045F6"/>
    <w:rsid w:val="00C04760"/>
    <w:rsid w:val="00C0477A"/>
    <w:rsid w:val="00C0481E"/>
    <w:rsid w:val="00C048E4"/>
    <w:rsid w:val="00C04A38"/>
    <w:rsid w:val="00C04A9A"/>
    <w:rsid w:val="00C04AC1"/>
    <w:rsid w:val="00C04C37"/>
    <w:rsid w:val="00C04CA1"/>
    <w:rsid w:val="00C050FA"/>
    <w:rsid w:val="00C0510D"/>
    <w:rsid w:val="00C05236"/>
    <w:rsid w:val="00C0525C"/>
    <w:rsid w:val="00C053FD"/>
    <w:rsid w:val="00C05630"/>
    <w:rsid w:val="00C05684"/>
    <w:rsid w:val="00C05A9C"/>
    <w:rsid w:val="00C05B6F"/>
    <w:rsid w:val="00C05D8C"/>
    <w:rsid w:val="00C05DB0"/>
    <w:rsid w:val="00C05FD4"/>
    <w:rsid w:val="00C06177"/>
    <w:rsid w:val="00C061A6"/>
    <w:rsid w:val="00C0621C"/>
    <w:rsid w:val="00C062C1"/>
    <w:rsid w:val="00C063AD"/>
    <w:rsid w:val="00C063F8"/>
    <w:rsid w:val="00C066E7"/>
    <w:rsid w:val="00C0672A"/>
    <w:rsid w:val="00C06899"/>
    <w:rsid w:val="00C068EC"/>
    <w:rsid w:val="00C06963"/>
    <w:rsid w:val="00C069BC"/>
    <w:rsid w:val="00C06AC4"/>
    <w:rsid w:val="00C06ADF"/>
    <w:rsid w:val="00C06BEA"/>
    <w:rsid w:val="00C06C20"/>
    <w:rsid w:val="00C06CDC"/>
    <w:rsid w:val="00C071D4"/>
    <w:rsid w:val="00C0721F"/>
    <w:rsid w:val="00C0722F"/>
    <w:rsid w:val="00C07277"/>
    <w:rsid w:val="00C072B1"/>
    <w:rsid w:val="00C07484"/>
    <w:rsid w:val="00C074CE"/>
    <w:rsid w:val="00C075A1"/>
    <w:rsid w:val="00C075B0"/>
    <w:rsid w:val="00C075C9"/>
    <w:rsid w:val="00C0766E"/>
    <w:rsid w:val="00C076AD"/>
    <w:rsid w:val="00C076B2"/>
    <w:rsid w:val="00C07820"/>
    <w:rsid w:val="00C078A5"/>
    <w:rsid w:val="00C0790F"/>
    <w:rsid w:val="00C07BCC"/>
    <w:rsid w:val="00C10052"/>
    <w:rsid w:val="00C100D4"/>
    <w:rsid w:val="00C100D9"/>
    <w:rsid w:val="00C10365"/>
    <w:rsid w:val="00C103FB"/>
    <w:rsid w:val="00C104BC"/>
    <w:rsid w:val="00C106CE"/>
    <w:rsid w:val="00C1077F"/>
    <w:rsid w:val="00C10B30"/>
    <w:rsid w:val="00C10B79"/>
    <w:rsid w:val="00C10B9D"/>
    <w:rsid w:val="00C10C52"/>
    <w:rsid w:val="00C10CFE"/>
    <w:rsid w:val="00C10D9B"/>
    <w:rsid w:val="00C10F42"/>
    <w:rsid w:val="00C10F64"/>
    <w:rsid w:val="00C11037"/>
    <w:rsid w:val="00C11158"/>
    <w:rsid w:val="00C112B6"/>
    <w:rsid w:val="00C1131F"/>
    <w:rsid w:val="00C1141A"/>
    <w:rsid w:val="00C114C6"/>
    <w:rsid w:val="00C114D1"/>
    <w:rsid w:val="00C115FC"/>
    <w:rsid w:val="00C11661"/>
    <w:rsid w:val="00C116AE"/>
    <w:rsid w:val="00C1183C"/>
    <w:rsid w:val="00C118EA"/>
    <w:rsid w:val="00C118F2"/>
    <w:rsid w:val="00C11930"/>
    <w:rsid w:val="00C11948"/>
    <w:rsid w:val="00C11BE5"/>
    <w:rsid w:val="00C11C08"/>
    <w:rsid w:val="00C11C6B"/>
    <w:rsid w:val="00C11C80"/>
    <w:rsid w:val="00C11FFF"/>
    <w:rsid w:val="00C12069"/>
    <w:rsid w:val="00C1215A"/>
    <w:rsid w:val="00C12240"/>
    <w:rsid w:val="00C12427"/>
    <w:rsid w:val="00C1248C"/>
    <w:rsid w:val="00C124B1"/>
    <w:rsid w:val="00C124B3"/>
    <w:rsid w:val="00C12982"/>
    <w:rsid w:val="00C129EA"/>
    <w:rsid w:val="00C12A88"/>
    <w:rsid w:val="00C12B10"/>
    <w:rsid w:val="00C12B5B"/>
    <w:rsid w:val="00C12B93"/>
    <w:rsid w:val="00C12BD8"/>
    <w:rsid w:val="00C12BDA"/>
    <w:rsid w:val="00C12BFA"/>
    <w:rsid w:val="00C12CCA"/>
    <w:rsid w:val="00C12F85"/>
    <w:rsid w:val="00C12F9F"/>
    <w:rsid w:val="00C13149"/>
    <w:rsid w:val="00C13224"/>
    <w:rsid w:val="00C1323E"/>
    <w:rsid w:val="00C132D0"/>
    <w:rsid w:val="00C13302"/>
    <w:rsid w:val="00C13395"/>
    <w:rsid w:val="00C13491"/>
    <w:rsid w:val="00C134AF"/>
    <w:rsid w:val="00C134D9"/>
    <w:rsid w:val="00C134FF"/>
    <w:rsid w:val="00C1356D"/>
    <w:rsid w:val="00C13942"/>
    <w:rsid w:val="00C13A16"/>
    <w:rsid w:val="00C13AA2"/>
    <w:rsid w:val="00C13B57"/>
    <w:rsid w:val="00C13BC7"/>
    <w:rsid w:val="00C13C3E"/>
    <w:rsid w:val="00C13C4E"/>
    <w:rsid w:val="00C13CE0"/>
    <w:rsid w:val="00C13D61"/>
    <w:rsid w:val="00C13E9D"/>
    <w:rsid w:val="00C13ED0"/>
    <w:rsid w:val="00C13F61"/>
    <w:rsid w:val="00C141D6"/>
    <w:rsid w:val="00C1430E"/>
    <w:rsid w:val="00C1436F"/>
    <w:rsid w:val="00C1446A"/>
    <w:rsid w:val="00C1450B"/>
    <w:rsid w:val="00C1458A"/>
    <w:rsid w:val="00C145A1"/>
    <w:rsid w:val="00C14617"/>
    <w:rsid w:val="00C14713"/>
    <w:rsid w:val="00C1476C"/>
    <w:rsid w:val="00C1484A"/>
    <w:rsid w:val="00C14987"/>
    <w:rsid w:val="00C14B8E"/>
    <w:rsid w:val="00C14C6E"/>
    <w:rsid w:val="00C14CAF"/>
    <w:rsid w:val="00C14DED"/>
    <w:rsid w:val="00C14EE0"/>
    <w:rsid w:val="00C14F6B"/>
    <w:rsid w:val="00C1528C"/>
    <w:rsid w:val="00C152C0"/>
    <w:rsid w:val="00C1536B"/>
    <w:rsid w:val="00C153D0"/>
    <w:rsid w:val="00C15406"/>
    <w:rsid w:val="00C158A3"/>
    <w:rsid w:val="00C15A14"/>
    <w:rsid w:val="00C15A8E"/>
    <w:rsid w:val="00C15C18"/>
    <w:rsid w:val="00C15C20"/>
    <w:rsid w:val="00C15D4C"/>
    <w:rsid w:val="00C160BA"/>
    <w:rsid w:val="00C1611E"/>
    <w:rsid w:val="00C16277"/>
    <w:rsid w:val="00C1676E"/>
    <w:rsid w:val="00C16935"/>
    <w:rsid w:val="00C16B28"/>
    <w:rsid w:val="00C16CC2"/>
    <w:rsid w:val="00C16CF6"/>
    <w:rsid w:val="00C16D25"/>
    <w:rsid w:val="00C16D49"/>
    <w:rsid w:val="00C16DB0"/>
    <w:rsid w:val="00C16E8C"/>
    <w:rsid w:val="00C16FDD"/>
    <w:rsid w:val="00C17050"/>
    <w:rsid w:val="00C17126"/>
    <w:rsid w:val="00C1713B"/>
    <w:rsid w:val="00C171C1"/>
    <w:rsid w:val="00C17234"/>
    <w:rsid w:val="00C17383"/>
    <w:rsid w:val="00C1752C"/>
    <w:rsid w:val="00C17659"/>
    <w:rsid w:val="00C17853"/>
    <w:rsid w:val="00C178CD"/>
    <w:rsid w:val="00C1791D"/>
    <w:rsid w:val="00C179BC"/>
    <w:rsid w:val="00C179F6"/>
    <w:rsid w:val="00C17B5F"/>
    <w:rsid w:val="00C17B85"/>
    <w:rsid w:val="00C17CCB"/>
    <w:rsid w:val="00C17FD6"/>
    <w:rsid w:val="00C20104"/>
    <w:rsid w:val="00C202A4"/>
    <w:rsid w:val="00C202B4"/>
    <w:rsid w:val="00C202DD"/>
    <w:rsid w:val="00C20336"/>
    <w:rsid w:val="00C20551"/>
    <w:rsid w:val="00C2055F"/>
    <w:rsid w:val="00C20631"/>
    <w:rsid w:val="00C2097B"/>
    <w:rsid w:val="00C20AE1"/>
    <w:rsid w:val="00C20CBF"/>
    <w:rsid w:val="00C20D64"/>
    <w:rsid w:val="00C20EE6"/>
    <w:rsid w:val="00C21093"/>
    <w:rsid w:val="00C21184"/>
    <w:rsid w:val="00C21735"/>
    <w:rsid w:val="00C21838"/>
    <w:rsid w:val="00C21859"/>
    <w:rsid w:val="00C2197D"/>
    <w:rsid w:val="00C21A01"/>
    <w:rsid w:val="00C21AD9"/>
    <w:rsid w:val="00C21BCD"/>
    <w:rsid w:val="00C21C16"/>
    <w:rsid w:val="00C21C1C"/>
    <w:rsid w:val="00C21C80"/>
    <w:rsid w:val="00C21DB9"/>
    <w:rsid w:val="00C22089"/>
    <w:rsid w:val="00C220FD"/>
    <w:rsid w:val="00C2217B"/>
    <w:rsid w:val="00C2230D"/>
    <w:rsid w:val="00C2234C"/>
    <w:rsid w:val="00C2238D"/>
    <w:rsid w:val="00C224D1"/>
    <w:rsid w:val="00C2255D"/>
    <w:rsid w:val="00C22581"/>
    <w:rsid w:val="00C22634"/>
    <w:rsid w:val="00C22789"/>
    <w:rsid w:val="00C227B8"/>
    <w:rsid w:val="00C22E48"/>
    <w:rsid w:val="00C2341B"/>
    <w:rsid w:val="00C23650"/>
    <w:rsid w:val="00C23A28"/>
    <w:rsid w:val="00C23BF5"/>
    <w:rsid w:val="00C23DB6"/>
    <w:rsid w:val="00C23DE3"/>
    <w:rsid w:val="00C23F90"/>
    <w:rsid w:val="00C23FF3"/>
    <w:rsid w:val="00C24041"/>
    <w:rsid w:val="00C240AA"/>
    <w:rsid w:val="00C24145"/>
    <w:rsid w:val="00C24191"/>
    <w:rsid w:val="00C24339"/>
    <w:rsid w:val="00C24400"/>
    <w:rsid w:val="00C24468"/>
    <w:rsid w:val="00C2461D"/>
    <w:rsid w:val="00C246A9"/>
    <w:rsid w:val="00C24787"/>
    <w:rsid w:val="00C24855"/>
    <w:rsid w:val="00C24856"/>
    <w:rsid w:val="00C24A68"/>
    <w:rsid w:val="00C24CBC"/>
    <w:rsid w:val="00C24CE6"/>
    <w:rsid w:val="00C24D2E"/>
    <w:rsid w:val="00C24D33"/>
    <w:rsid w:val="00C24F71"/>
    <w:rsid w:val="00C25053"/>
    <w:rsid w:val="00C25105"/>
    <w:rsid w:val="00C251B1"/>
    <w:rsid w:val="00C2522F"/>
    <w:rsid w:val="00C25457"/>
    <w:rsid w:val="00C25495"/>
    <w:rsid w:val="00C254F2"/>
    <w:rsid w:val="00C255D6"/>
    <w:rsid w:val="00C25675"/>
    <w:rsid w:val="00C2579F"/>
    <w:rsid w:val="00C257AB"/>
    <w:rsid w:val="00C25A6F"/>
    <w:rsid w:val="00C25B84"/>
    <w:rsid w:val="00C25BB5"/>
    <w:rsid w:val="00C261EC"/>
    <w:rsid w:val="00C26376"/>
    <w:rsid w:val="00C26412"/>
    <w:rsid w:val="00C2646F"/>
    <w:rsid w:val="00C26570"/>
    <w:rsid w:val="00C26585"/>
    <w:rsid w:val="00C268F6"/>
    <w:rsid w:val="00C26A7F"/>
    <w:rsid w:val="00C26B51"/>
    <w:rsid w:val="00C26B92"/>
    <w:rsid w:val="00C26E00"/>
    <w:rsid w:val="00C26FC0"/>
    <w:rsid w:val="00C2742C"/>
    <w:rsid w:val="00C27583"/>
    <w:rsid w:val="00C2762C"/>
    <w:rsid w:val="00C2768C"/>
    <w:rsid w:val="00C27848"/>
    <w:rsid w:val="00C27ADF"/>
    <w:rsid w:val="00C27D40"/>
    <w:rsid w:val="00C27DA1"/>
    <w:rsid w:val="00C27F38"/>
    <w:rsid w:val="00C300C1"/>
    <w:rsid w:val="00C302F4"/>
    <w:rsid w:val="00C3036E"/>
    <w:rsid w:val="00C305E5"/>
    <w:rsid w:val="00C3063F"/>
    <w:rsid w:val="00C30651"/>
    <w:rsid w:val="00C3068C"/>
    <w:rsid w:val="00C307DD"/>
    <w:rsid w:val="00C30CA0"/>
    <w:rsid w:val="00C30CD5"/>
    <w:rsid w:val="00C30E68"/>
    <w:rsid w:val="00C3134C"/>
    <w:rsid w:val="00C3156D"/>
    <w:rsid w:val="00C315FF"/>
    <w:rsid w:val="00C316D3"/>
    <w:rsid w:val="00C3173D"/>
    <w:rsid w:val="00C317DD"/>
    <w:rsid w:val="00C318E7"/>
    <w:rsid w:val="00C3190E"/>
    <w:rsid w:val="00C31A69"/>
    <w:rsid w:val="00C31B13"/>
    <w:rsid w:val="00C31C73"/>
    <w:rsid w:val="00C31CAB"/>
    <w:rsid w:val="00C31D3F"/>
    <w:rsid w:val="00C31D80"/>
    <w:rsid w:val="00C31E9F"/>
    <w:rsid w:val="00C31F76"/>
    <w:rsid w:val="00C32002"/>
    <w:rsid w:val="00C320E7"/>
    <w:rsid w:val="00C3210A"/>
    <w:rsid w:val="00C3211C"/>
    <w:rsid w:val="00C321A2"/>
    <w:rsid w:val="00C3235F"/>
    <w:rsid w:val="00C32391"/>
    <w:rsid w:val="00C325D0"/>
    <w:rsid w:val="00C326FA"/>
    <w:rsid w:val="00C327F9"/>
    <w:rsid w:val="00C32994"/>
    <w:rsid w:val="00C329D6"/>
    <w:rsid w:val="00C32A34"/>
    <w:rsid w:val="00C32D6F"/>
    <w:rsid w:val="00C32E04"/>
    <w:rsid w:val="00C32E9D"/>
    <w:rsid w:val="00C32F6A"/>
    <w:rsid w:val="00C3312D"/>
    <w:rsid w:val="00C33162"/>
    <w:rsid w:val="00C332A3"/>
    <w:rsid w:val="00C332A7"/>
    <w:rsid w:val="00C33365"/>
    <w:rsid w:val="00C33380"/>
    <w:rsid w:val="00C33534"/>
    <w:rsid w:val="00C33915"/>
    <w:rsid w:val="00C339CE"/>
    <w:rsid w:val="00C33A6B"/>
    <w:rsid w:val="00C33BF2"/>
    <w:rsid w:val="00C33CDB"/>
    <w:rsid w:val="00C33D74"/>
    <w:rsid w:val="00C33F60"/>
    <w:rsid w:val="00C342A0"/>
    <w:rsid w:val="00C343BC"/>
    <w:rsid w:val="00C344CA"/>
    <w:rsid w:val="00C3459A"/>
    <w:rsid w:val="00C34616"/>
    <w:rsid w:val="00C346CC"/>
    <w:rsid w:val="00C34753"/>
    <w:rsid w:val="00C3495F"/>
    <w:rsid w:val="00C34A86"/>
    <w:rsid w:val="00C34A9A"/>
    <w:rsid w:val="00C34B14"/>
    <w:rsid w:val="00C34B50"/>
    <w:rsid w:val="00C34B6E"/>
    <w:rsid w:val="00C34E0F"/>
    <w:rsid w:val="00C34F80"/>
    <w:rsid w:val="00C34F8E"/>
    <w:rsid w:val="00C35051"/>
    <w:rsid w:val="00C35093"/>
    <w:rsid w:val="00C35095"/>
    <w:rsid w:val="00C3510D"/>
    <w:rsid w:val="00C35279"/>
    <w:rsid w:val="00C352D4"/>
    <w:rsid w:val="00C35309"/>
    <w:rsid w:val="00C35345"/>
    <w:rsid w:val="00C353BE"/>
    <w:rsid w:val="00C35585"/>
    <w:rsid w:val="00C355D8"/>
    <w:rsid w:val="00C3562C"/>
    <w:rsid w:val="00C356CE"/>
    <w:rsid w:val="00C358CE"/>
    <w:rsid w:val="00C359B4"/>
    <w:rsid w:val="00C359D3"/>
    <w:rsid w:val="00C35A98"/>
    <w:rsid w:val="00C35C4E"/>
    <w:rsid w:val="00C35CFF"/>
    <w:rsid w:val="00C35DBE"/>
    <w:rsid w:val="00C35F70"/>
    <w:rsid w:val="00C36118"/>
    <w:rsid w:val="00C3615D"/>
    <w:rsid w:val="00C36161"/>
    <w:rsid w:val="00C36223"/>
    <w:rsid w:val="00C363CA"/>
    <w:rsid w:val="00C364AD"/>
    <w:rsid w:val="00C36554"/>
    <w:rsid w:val="00C36595"/>
    <w:rsid w:val="00C36796"/>
    <w:rsid w:val="00C36797"/>
    <w:rsid w:val="00C368FC"/>
    <w:rsid w:val="00C369D2"/>
    <w:rsid w:val="00C36B70"/>
    <w:rsid w:val="00C36B85"/>
    <w:rsid w:val="00C36C76"/>
    <w:rsid w:val="00C36CA6"/>
    <w:rsid w:val="00C36CBC"/>
    <w:rsid w:val="00C36EED"/>
    <w:rsid w:val="00C37004"/>
    <w:rsid w:val="00C371E0"/>
    <w:rsid w:val="00C37399"/>
    <w:rsid w:val="00C373A6"/>
    <w:rsid w:val="00C3750A"/>
    <w:rsid w:val="00C375E2"/>
    <w:rsid w:val="00C37682"/>
    <w:rsid w:val="00C3777E"/>
    <w:rsid w:val="00C3781E"/>
    <w:rsid w:val="00C378BF"/>
    <w:rsid w:val="00C37A6E"/>
    <w:rsid w:val="00C37C26"/>
    <w:rsid w:val="00C37EAC"/>
    <w:rsid w:val="00C37FBC"/>
    <w:rsid w:val="00C3EDBD"/>
    <w:rsid w:val="00C4006D"/>
    <w:rsid w:val="00C40137"/>
    <w:rsid w:val="00C40186"/>
    <w:rsid w:val="00C40374"/>
    <w:rsid w:val="00C40415"/>
    <w:rsid w:val="00C40628"/>
    <w:rsid w:val="00C40871"/>
    <w:rsid w:val="00C408D6"/>
    <w:rsid w:val="00C408F1"/>
    <w:rsid w:val="00C40C93"/>
    <w:rsid w:val="00C40D02"/>
    <w:rsid w:val="00C40DBB"/>
    <w:rsid w:val="00C40DF8"/>
    <w:rsid w:val="00C40E2C"/>
    <w:rsid w:val="00C40F98"/>
    <w:rsid w:val="00C40FC4"/>
    <w:rsid w:val="00C412FA"/>
    <w:rsid w:val="00C41468"/>
    <w:rsid w:val="00C414D6"/>
    <w:rsid w:val="00C416D4"/>
    <w:rsid w:val="00C41781"/>
    <w:rsid w:val="00C41978"/>
    <w:rsid w:val="00C419DB"/>
    <w:rsid w:val="00C41A0A"/>
    <w:rsid w:val="00C41B0E"/>
    <w:rsid w:val="00C41C60"/>
    <w:rsid w:val="00C420B0"/>
    <w:rsid w:val="00C420F2"/>
    <w:rsid w:val="00C42132"/>
    <w:rsid w:val="00C42321"/>
    <w:rsid w:val="00C42322"/>
    <w:rsid w:val="00C42353"/>
    <w:rsid w:val="00C4238A"/>
    <w:rsid w:val="00C42482"/>
    <w:rsid w:val="00C424C1"/>
    <w:rsid w:val="00C4260D"/>
    <w:rsid w:val="00C427F7"/>
    <w:rsid w:val="00C429E4"/>
    <w:rsid w:val="00C42C27"/>
    <w:rsid w:val="00C42D6D"/>
    <w:rsid w:val="00C42E05"/>
    <w:rsid w:val="00C42F44"/>
    <w:rsid w:val="00C430C5"/>
    <w:rsid w:val="00C43186"/>
    <w:rsid w:val="00C432CC"/>
    <w:rsid w:val="00C43339"/>
    <w:rsid w:val="00C43455"/>
    <w:rsid w:val="00C43469"/>
    <w:rsid w:val="00C434DD"/>
    <w:rsid w:val="00C436E7"/>
    <w:rsid w:val="00C438C6"/>
    <w:rsid w:val="00C439F2"/>
    <w:rsid w:val="00C43A4C"/>
    <w:rsid w:val="00C43B29"/>
    <w:rsid w:val="00C43C43"/>
    <w:rsid w:val="00C43C6C"/>
    <w:rsid w:val="00C43D11"/>
    <w:rsid w:val="00C44028"/>
    <w:rsid w:val="00C44212"/>
    <w:rsid w:val="00C442E2"/>
    <w:rsid w:val="00C444BD"/>
    <w:rsid w:val="00C4456B"/>
    <w:rsid w:val="00C4459A"/>
    <w:rsid w:val="00C44639"/>
    <w:rsid w:val="00C44914"/>
    <w:rsid w:val="00C44D6E"/>
    <w:rsid w:val="00C44D7B"/>
    <w:rsid w:val="00C44E6F"/>
    <w:rsid w:val="00C44FF2"/>
    <w:rsid w:val="00C45077"/>
    <w:rsid w:val="00C4527D"/>
    <w:rsid w:val="00C452DB"/>
    <w:rsid w:val="00C4545F"/>
    <w:rsid w:val="00C45798"/>
    <w:rsid w:val="00C457E9"/>
    <w:rsid w:val="00C45826"/>
    <w:rsid w:val="00C4583B"/>
    <w:rsid w:val="00C4585F"/>
    <w:rsid w:val="00C458C7"/>
    <w:rsid w:val="00C4592A"/>
    <w:rsid w:val="00C45937"/>
    <w:rsid w:val="00C45B0B"/>
    <w:rsid w:val="00C45B16"/>
    <w:rsid w:val="00C45B9F"/>
    <w:rsid w:val="00C45DFB"/>
    <w:rsid w:val="00C460DE"/>
    <w:rsid w:val="00C46115"/>
    <w:rsid w:val="00C46137"/>
    <w:rsid w:val="00C46161"/>
    <w:rsid w:val="00C46323"/>
    <w:rsid w:val="00C463E1"/>
    <w:rsid w:val="00C466BC"/>
    <w:rsid w:val="00C46B76"/>
    <w:rsid w:val="00C46BCD"/>
    <w:rsid w:val="00C46C4C"/>
    <w:rsid w:val="00C46F77"/>
    <w:rsid w:val="00C46FE9"/>
    <w:rsid w:val="00C470E3"/>
    <w:rsid w:val="00C47182"/>
    <w:rsid w:val="00C4739E"/>
    <w:rsid w:val="00C473D0"/>
    <w:rsid w:val="00C476D1"/>
    <w:rsid w:val="00C478FF"/>
    <w:rsid w:val="00C4796F"/>
    <w:rsid w:val="00C47C77"/>
    <w:rsid w:val="00C47CE9"/>
    <w:rsid w:val="00C47D5E"/>
    <w:rsid w:val="00C47DC7"/>
    <w:rsid w:val="00C47E2D"/>
    <w:rsid w:val="00C47E60"/>
    <w:rsid w:val="00C47FEE"/>
    <w:rsid w:val="00C50217"/>
    <w:rsid w:val="00C50218"/>
    <w:rsid w:val="00C503AF"/>
    <w:rsid w:val="00C503D8"/>
    <w:rsid w:val="00C50416"/>
    <w:rsid w:val="00C5051A"/>
    <w:rsid w:val="00C50523"/>
    <w:rsid w:val="00C5072F"/>
    <w:rsid w:val="00C5089C"/>
    <w:rsid w:val="00C50C21"/>
    <w:rsid w:val="00C50D9F"/>
    <w:rsid w:val="00C50E4F"/>
    <w:rsid w:val="00C50EC1"/>
    <w:rsid w:val="00C51134"/>
    <w:rsid w:val="00C51141"/>
    <w:rsid w:val="00C512B0"/>
    <w:rsid w:val="00C514B2"/>
    <w:rsid w:val="00C51961"/>
    <w:rsid w:val="00C51A39"/>
    <w:rsid w:val="00C51AEC"/>
    <w:rsid w:val="00C51B16"/>
    <w:rsid w:val="00C51B74"/>
    <w:rsid w:val="00C51BD0"/>
    <w:rsid w:val="00C51D7D"/>
    <w:rsid w:val="00C51E2A"/>
    <w:rsid w:val="00C51E3C"/>
    <w:rsid w:val="00C51E60"/>
    <w:rsid w:val="00C5241F"/>
    <w:rsid w:val="00C524AA"/>
    <w:rsid w:val="00C52503"/>
    <w:rsid w:val="00C52513"/>
    <w:rsid w:val="00C52625"/>
    <w:rsid w:val="00C52744"/>
    <w:rsid w:val="00C527CC"/>
    <w:rsid w:val="00C52822"/>
    <w:rsid w:val="00C529BF"/>
    <w:rsid w:val="00C52CDB"/>
    <w:rsid w:val="00C53298"/>
    <w:rsid w:val="00C532B3"/>
    <w:rsid w:val="00C53391"/>
    <w:rsid w:val="00C533A5"/>
    <w:rsid w:val="00C53434"/>
    <w:rsid w:val="00C534C8"/>
    <w:rsid w:val="00C53505"/>
    <w:rsid w:val="00C53544"/>
    <w:rsid w:val="00C5354D"/>
    <w:rsid w:val="00C5358D"/>
    <w:rsid w:val="00C535C6"/>
    <w:rsid w:val="00C53637"/>
    <w:rsid w:val="00C5381C"/>
    <w:rsid w:val="00C53851"/>
    <w:rsid w:val="00C53C90"/>
    <w:rsid w:val="00C53CB7"/>
    <w:rsid w:val="00C53CFD"/>
    <w:rsid w:val="00C54082"/>
    <w:rsid w:val="00C5418B"/>
    <w:rsid w:val="00C542CF"/>
    <w:rsid w:val="00C54A8F"/>
    <w:rsid w:val="00C54B02"/>
    <w:rsid w:val="00C54B2E"/>
    <w:rsid w:val="00C54CA5"/>
    <w:rsid w:val="00C54DB7"/>
    <w:rsid w:val="00C54DC8"/>
    <w:rsid w:val="00C54E44"/>
    <w:rsid w:val="00C54EE2"/>
    <w:rsid w:val="00C54F60"/>
    <w:rsid w:val="00C54F66"/>
    <w:rsid w:val="00C54F8B"/>
    <w:rsid w:val="00C5509D"/>
    <w:rsid w:val="00C55204"/>
    <w:rsid w:val="00C55227"/>
    <w:rsid w:val="00C552CF"/>
    <w:rsid w:val="00C553BE"/>
    <w:rsid w:val="00C55408"/>
    <w:rsid w:val="00C55A59"/>
    <w:rsid w:val="00C55AE3"/>
    <w:rsid w:val="00C55B49"/>
    <w:rsid w:val="00C55E44"/>
    <w:rsid w:val="00C55E53"/>
    <w:rsid w:val="00C55FB4"/>
    <w:rsid w:val="00C5603C"/>
    <w:rsid w:val="00C56170"/>
    <w:rsid w:val="00C563B9"/>
    <w:rsid w:val="00C56504"/>
    <w:rsid w:val="00C565D8"/>
    <w:rsid w:val="00C5663E"/>
    <w:rsid w:val="00C566EF"/>
    <w:rsid w:val="00C569D7"/>
    <w:rsid w:val="00C56BE8"/>
    <w:rsid w:val="00C56CB8"/>
    <w:rsid w:val="00C56CE0"/>
    <w:rsid w:val="00C56DDF"/>
    <w:rsid w:val="00C570BD"/>
    <w:rsid w:val="00C570F4"/>
    <w:rsid w:val="00C5715C"/>
    <w:rsid w:val="00C5729C"/>
    <w:rsid w:val="00C5729D"/>
    <w:rsid w:val="00C57311"/>
    <w:rsid w:val="00C5733B"/>
    <w:rsid w:val="00C576A4"/>
    <w:rsid w:val="00C576A6"/>
    <w:rsid w:val="00C576AA"/>
    <w:rsid w:val="00C57B9E"/>
    <w:rsid w:val="00C57CCE"/>
    <w:rsid w:val="00C57D27"/>
    <w:rsid w:val="00C57D56"/>
    <w:rsid w:val="00C57E00"/>
    <w:rsid w:val="00C57F00"/>
    <w:rsid w:val="00C60004"/>
    <w:rsid w:val="00C60023"/>
    <w:rsid w:val="00C600CF"/>
    <w:rsid w:val="00C601A7"/>
    <w:rsid w:val="00C602A2"/>
    <w:rsid w:val="00C602BB"/>
    <w:rsid w:val="00C6036B"/>
    <w:rsid w:val="00C6043B"/>
    <w:rsid w:val="00C604B2"/>
    <w:rsid w:val="00C6055C"/>
    <w:rsid w:val="00C6079E"/>
    <w:rsid w:val="00C607C5"/>
    <w:rsid w:val="00C6086F"/>
    <w:rsid w:val="00C60BAA"/>
    <w:rsid w:val="00C60CD9"/>
    <w:rsid w:val="00C60D9B"/>
    <w:rsid w:val="00C61283"/>
    <w:rsid w:val="00C612D4"/>
    <w:rsid w:val="00C614C9"/>
    <w:rsid w:val="00C614F7"/>
    <w:rsid w:val="00C61AC8"/>
    <w:rsid w:val="00C61FA3"/>
    <w:rsid w:val="00C62034"/>
    <w:rsid w:val="00C620C1"/>
    <w:rsid w:val="00C62171"/>
    <w:rsid w:val="00C62205"/>
    <w:rsid w:val="00C6233E"/>
    <w:rsid w:val="00C6240C"/>
    <w:rsid w:val="00C62541"/>
    <w:rsid w:val="00C628EA"/>
    <w:rsid w:val="00C62B70"/>
    <w:rsid w:val="00C62E9E"/>
    <w:rsid w:val="00C62F18"/>
    <w:rsid w:val="00C630C7"/>
    <w:rsid w:val="00C63325"/>
    <w:rsid w:val="00C63366"/>
    <w:rsid w:val="00C634FF"/>
    <w:rsid w:val="00C635AF"/>
    <w:rsid w:val="00C636B5"/>
    <w:rsid w:val="00C63775"/>
    <w:rsid w:val="00C6377B"/>
    <w:rsid w:val="00C638FB"/>
    <w:rsid w:val="00C63A68"/>
    <w:rsid w:val="00C63D27"/>
    <w:rsid w:val="00C63ED8"/>
    <w:rsid w:val="00C63F64"/>
    <w:rsid w:val="00C64017"/>
    <w:rsid w:val="00C640AF"/>
    <w:rsid w:val="00C6412D"/>
    <w:rsid w:val="00C641BF"/>
    <w:rsid w:val="00C64232"/>
    <w:rsid w:val="00C643A8"/>
    <w:rsid w:val="00C64498"/>
    <w:rsid w:val="00C645B8"/>
    <w:rsid w:val="00C646D8"/>
    <w:rsid w:val="00C6478A"/>
    <w:rsid w:val="00C6480D"/>
    <w:rsid w:val="00C648A9"/>
    <w:rsid w:val="00C648C8"/>
    <w:rsid w:val="00C648D2"/>
    <w:rsid w:val="00C64944"/>
    <w:rsid w:val="00C64BBD"/>
    <w:rsid w:val="00C64EAE"/>
    <w:rsid w:val="00C64ECD"/>
    <w:rsid w:val="00C64F4B"/>
    <w:rsid w:val="00C65190"/>
    <w:rsid w:val="00C651F2"/>
    <w:rsid w:val="00C652F9"/>
    <w:rsid w:val="00C65395"/>
    <w:rsid w:val="00C65465"/>
    <w:rsid w:val="00C65480"/>
    <w:rsid w:val="00C65574"/>
    <w:rsid w:val="00C6558A"/>
    <w:rsid w:val="00C655A1"/>
    <w:rsid w:val="00C65612"/>
    <w:rsid w:val="00C656CE"/>
    <w:rsid w:val="00C6570C"/>
    <w:rsid w:val="00C65865"/>
    <w:rsid w:val="00C65A12"/>
    <w:rsid w:val="00C65AE9"/>
    <w:rsid w:val="00C65B9A"/>
    <w:rsid w:val="00C65C35"/>
    <w:rsid w:val="00C65CFC"/>
    <w:rsid w:val="00C65D04"/>
    <w:rsid w:val="00C65D44"/>
    <w:rsid w:val="00C65DC3"/>
    <w:rsid w:val="00C65EF0"/>
    <w:rsid w:val="00C6609C"/>
    <w:rsid w:val="00C660EF"/>
    <w:rsid w:val="00C662CD"/>
    <w:rsid w:val="00C662EA"/>
    <w:rsid w:val="00C66481"/>
    <w:rsid w:val="00C664F2"/>
    <w:rsid w:val="00C66578"/>
    <w:rsid w:val="00C666EF"/>
    <w:rsid w:val="00C668BF"/>
    <w:rsid w:val="00C668FB"/>
    <w:rsid w:val="00C6696C"/>
    <w:rsid w:val="00C66B3C"/>
    <w:rsid w:val="00C66CE8"/>
    <w:rsid w:val="00C66F16"/>
    <w:rsid w:val="00C66F7F"/>
    <w:rsid w:val="00C671B0"/>
    <w:rsid w:val="00C67263"/>
    <w:rsid w:val="00C673B5"/>
    <w:rsid w:val="00C67425"/>
    <w:rsid w:val="00C67447"/>
    <w:rsid w:val="00C67458"/>
    <w:rsid w:val="00C6758F"/>
    <w:rsid w:val="00C675DF"/>
    <w:rsid w:val="00C6764B"/>
    <w:rsid w:val="00C67715"/>
    <w:rsid w:val="00C677CB"/>
    <w:rsid w:val="00C67884"/>
    <w:rsid w:val="00C67951"/>
    <w:rsid w:val="00C679C4"/>
    <w:rsid w:val="00C67B88"/>
    <w:rsid w:val="00C67BF9"/>
    <w:rsid w:val="00C67D5C"/>
    <w:rsid w:val="00C700BC"/>
    <w:rsid w:val="00C700E4"/>
    <w:rsid w:val="00C7021F"/>
    <w:rsid w:val="00C703B5"/>
    <w:rsid w:val="00C7055D"/>
    <w:rsid w:val="00C705F0"/>
    <w:rsid w:val="00C7070E"/>
    <w:rsid w:val="00C70748"/>
    <w:rsid w:val="00C707B0"/>
    <w:rsid w:val="00C707FB"/>
    <w:rsid w:val="00C70835"/>
    <w:rsid w:val="00C7093C"/>
    <w:rsid w:val="00C70A20"/>
    <w:rsid w:val="00C70BA0"/>
    <w:rsid w:val="00C70C33"/>
    <w:rsid w:val="00C70D12"/>
    <w:rsid w:val="00C70D47"/>
    <w:rsid w:val="00C70DBD"/>
    <w:rsid w:val="00C70F9F"/>
    <w:rsid w:val="00C70FC7"/>
    <w:rsid w:val="00C71011"/>
    <w:rsid w:val="00C711BA"/>
    <w:rsid w:val="00C71262"/>
    <w:rsid w:val="00C712D0"/>
    <w:rsid w:val="00C713A1"/>
    <w:rsid w:val="00C7140A"/>
    <w:rsid w:val="00C7159A"/>
    <w:rsid w:val="00C71784"/>
    <w:rsid w:val="00C717E5"/>
    <w:rsid w:val="00C717F0"/>
    <w:rsid w:val="00C718E1"/>
    <w:rsid w:val="00C718F9"/>
    <w:rsid w:val="00C71B73"/>
    <w:rsid w:val="00C71CC4"/>
    <w:rsid w:val="00C71D87"/>
    <w:rsid w:val="00C71E4C"/>
    <w:rsid w:val="00C71E98"/>
    <w:rsid w:val="00C72176"/>
    <w:rsid w:val="00C721FE"/>
    <w:rsid w:val="00C7227E"/>
    <w:rsid w:val="00C7239D"/>
    <w:rsid w:val="00C724D1"/>
    <w:rsid w:val="00C725BB"/>
    <w:rsid w:val="00C725BD"/>
    <w:rsid w:val="00C72809"/>
    <w:rsid w:val="00C72A0B"/>
    <w:rsid w:val="00C72B6A"/>
    <w:rsid w:val="00C72D13"/>
    <w:rsid w:val="00C7307B"/>
    <w:rsid w:val="00C731B2"/>
    <w:rsid w:val="00C73394"/>
    <w:rsid w:val="00C735EE"/>
    <w:rsid w:val="00C73790"/>
    <w:rsid w:val="00C739A0"/>
    <w:rsid w:val="00C73AC6"/>
    <w:rsid w:val="00C73B13"/>
    <w:rsid w:val="00C73BD3"/>
    <w:rsid w:val="00C73C98"/>
    <w:rsid w:val="00C73CD4"/>
    <w:rsid w:val="00C73FC6"/>
    <w:rsid w:val="00C740A3"/>
    <w:rsid w:val="00C743C7"/>
    <w:rsid w:val="00C745AF"/>
    <w:rsid w:val="00C7460E"/>
    <w:rsid w:val="00C7465A"/>
    <w:rsid w:val="00C7465C"/>
    <w:rsid w:val="00C746E8"/>
    <w:rsid w:val="00C746FE"/>
    <w:rsid w:val="00C747C2"/>
    <w:rsid w:val="00C748B2"/>
    <w:rsid w:val="00C74A2F"/>
    <w:rsid w:val="00C751FC"/>
    <w:rsid w:val="00C7541F"/>
    <w:rsid w:val="00C75489"/>
    <w:rsid w:val="00C7548C"/>
    <w:rsid w:val="00C755A9"/>
    <w:rsid w:val="00C7567D"/>
    <w:rsid w:val="00C756D6"/>
    <w:rsid w:val="00C7585D"/>
    <w:rsid w:val="00C75AA9"/>
    <w:rsid w:val="00C75B8C"/>
    <w:rsid w:val="00C75BAE"/>
    <w:rsid w:val="00C75BF6"/>
    <w:rsid w:val="00C75C4E"/>
    <w:rsid w:val="00C75F69"/>
    <w:rsid w:val="00C76284"/>
    <w:rsid w:val="00C76515"/>
    <w:rsid w:val="00C766BC"/>
    <w:rsid w:val="00C768F5"/>
    <w:rsid w:val="00C769AF"/>
    <w:rsid w:val="00C76A8E"/>
    <w:rsid w:val="00C76C11"/>
    <w:rsid w:val="00C76C1B"/>
    <w:rsid w:val="00C76F1F"/>
    <w:rsid w:val="00C770E7"/>
    <w:rsid w:val="00C77325"/>
    <w:rsid w:val="00C774E6"/>
    <w:rsid w:val="00C774F2"/>
    <w:rsid w:val="00C7754A"/>
    <w:rsid w:val="00C7756F"/>
    <w:rsid w:val="00C77700"/>
    <w:rsid w:val="00C77A1B"/>
    <w:rsid w:val="00C77AB6"/>
    <w:rsid w:val="00C77AD6"/>
    <w:rsid w:val="00C77E9A"/>
    <w:rsid w:val="00C77F4B"/>
    <w:rsid w:val="00C77F50"/>
    <w:rsid w:val="00C797AA"/>
    <w:rsid w:val="00C801B3"/>
    <w:rsid w:val="00C801C1"/>
    <w:rsid w:val="00C802AA"/>
    <w:rsid w:val="00C802AF"/>
    <w:rsid w:val="00C803A2"/>
    <w:rsid w:val="00C804ED"/>
    <w:rsid w:val="00C80648"/>
    <w:rsid w:val="00C80755"/>
    <w:rsid w:val="00C80866"/>
    <w:rsid w:val="00C80888"/>
    <w:rsid w:val="00C808EA"/>
    <w:rsid w:val="00C80BD8"/>
    <w:rsid w:val="00C80D68"/>
    <w:rsid w:val="00C80F2E"/>
    <w:rsid w:val="00C80F52"/>
    <w:rsid w:val="00C81183"/>
    <w:rsid w:val="00C8158F"/>
    <w:rsid w:val="00C81592"/>
    <w:rsid w:val="00C815D9"/>
    <w:rsid w:val="00C81639"/>
    <w:rsid w:val="00C8175B"/>
    <w:rsid w:val="00C81925"/>
    <w:rsid w:val="00C81985"/>
    <w:rsid w:val="00C819A6"/>
    <w:rsid w:val="00C819F9"/>
    <w:rsid w:val="00C81AAE"/>
    <w:rsid w:val="00C81B0A"/>
    <w:rsid w:val="00C82010"/>
    <w:rsid w:val="00C82012"/>
    <w:rsid w:val="00C82029"/>
    <w:rsid w:val="00C82038"/>
    <w:rsid w:val="00C820A2"/>
    <w:rsid w:val="00C820F7"/>
    <w:rsid w:val="00C82109"/>
    <w:rsid w:val="00C82194"/>
    <w:rsid w:val="00C8219F"/>
    <w:rsid w:val="00C823F2"/>
    <w:rsid w:val="00C825D9"/>
    <w:rsid w:val="00C82697"/>
    <w:rsid w:val="00C82699"/>
    <w:rsid w:val="00C827A1"/>
    <w:rsid w:val="00C828A7"/>
    <w:rsid w:val="00C82934"/>
    <w:rsid w:val="00C82971"/>
    <w:rsid w:val="00C82A5D"/>
    <w:rsid w:val="00C82C01"/>
    <w:rsid w:val="00C82C31"/>
    <w:rsid w:val="00C82D15"/>
    <w:rsid w:val="00C82F03"/>
    <w:rsid w:val="00C82FC4"/>
    <w:rsid w:val="00C83136"/>
    <w:rsid w:val="00C8314C"/>
    <w:rsid w:val="00C83212"/>
    <w:rsid w:val="00C83403"/>
    <w:rsid w:val="00C8349A"/>
    <w:rsid w:val="00C83559"/>
    <w:rsid w:val="00C83601"/>
    <w:rsid w:val="00C836AB"/>
    <w:rsid w:val="00C836FC"/>
    <w:rsid w:val="00C83728"/>
    <w:rsid w:val="00C83799"/>
    <w:rsid w:val="00C83801"/>
    <w:rsid w:val="00C8387B"/>
    <w:rsid w:val="00C83B2F"/>
    <w:rsid w:val="00C83BD9"/>
    <w:rsid w:val="00C83C30"/>
    <w:rsid w:val="00C83C45"/>
    <w:rsid w:val="00C83C7F"/>
    <w:rsid w:val="00C83D53"/>
    <w:rsid w:val="00C841E9"/>
    <w:rsid w:val="00C8425B"/>
    <w:rsid w:val="00C84360"/>
    <w:rsid w:val="00C845B7"/>
    <w:rsid w:val="00C8497C"/>
    <w:rsid w:val="00C84A61"/>
    <w:rsid w:val="00C84E26"/>
    <w:rsid w:val="00C84EAC"/>
    <w:rsid w:val="00C8502F"/>
    <w:rsid w:val="00C85040"/>
    <w:rsid w:val="00C851E7"/>
    <w:rsid w:val="00C85308"/>
    <w:rsid w:val="00C85313"/>
    <w:rsid w:val="00C853E8"/>
    <w:rsid w:val="00C85586"/>
    <w:rsid w:val="00C855B1"/>
    <w:rsid w:val="00C8571B"/>
    <w:rsid w:val="00C85915"/>
    <w:rsid w:val="00C8592E"/>
    <w:rsid w:val="00C859B4"/>
    <w:rsid w:val="00C859B7"/>
    <w:rsid w:val="00C85A4F"/>
    <w:rsid w:val="00C85AD2"/>
    <w:rsid w:val="00C85C59"/>
    <w:rsid w:val="00C85E9C"/>
    <w:rsid w:val="00C85EA7"/>
    <w:rsid w:val="00C85FC9"/>
    <w:rsid w:val="00C8600D"/>
    <w:rsid w:val="00C86030"/>
    <w:rsid w:val="00C86116"/>
    <w:rsid w:val="00C862BA"/>
    <w:rsid w:val="00C862F4"/>
    <w:rsid w:val="00C864A0"/>
    <w:rsid w:val="00C864CB"/>
    <w:rsid w:val="00C8667A"/>
    <w:rsid w:val="00C86690"/>
    <w:rsid w:val="00C86775"/>
    <w:rsid w:val="00C86866"/>
    <w:rsid w:val="00C86AAE"/>
    <w:rsid w:val="00C86E87"/>
    <w:rsid w:val="00C86F26"/>
    <w:rsid w:val="00C86FF1"/>
    <w:rsid w:val="00C870C7"/>
    <w:rsid w:val="00C871C4"/>
    <w:rsid w:val="00C87327"/>
    <w:rsid w:val="00C873D8"/>
    <w:rsid w:val="00C8751F"/>
    <w:rsid w:val="00C87614"/>
    <w:rsid w:val="00C876C4"/>
    <w:rsid w:val="00C878C4"/>
    <w:rsid w:val="00C879DB"/>
    <w:rsid w:val="00C87A19"/>
    <w:rsid w:val="00C87A91"/>
    <w:rsid w:val="00C87BE3"/>
    <w:rsid w:val="00C87C08"/>
    <w:rsid w:val="00C87C77"/>
    <w:rsid w:val="00C87D01"/>
    <w:rsid w:val="00C87D14"/>
    <w:rsid w:val="00C87D84"/>
    <w:rsid w:val="00C87D92"/>
    <w:rsid w:val="00C87F3B"/>
    <w:rsid w:val="00C87FAE"/>
    <w:rsid w:val="00C90094"/>
    <w:rsid w:val="00C90165"/>
    <w:rsid w:val="00C90176"/>
    <w:rsid w:val="00C9018F"/>
    <w:rsid w:val="00C90309"/>
    <w:rsid w:val="00C90414"/>
    <w:rsid w:val="00C90561"/>
    <w:rsid w:val="00C9086F"/>
    <w:rsid w:val="00C90979"/>
    <w:rsid w:val="00C909BC"/>
    <w:rsid w:val="00C90A3F"/>
    <w:rsid w:val="00C90BCC"/>
    <w:rsid w:val="00C90C6D"/>
    <w:rsid w:val="00C90C9E"/>
    <w:rsid w:val="00C90CC8"/>
    <w:rsid w:val="00C90CD4"/>
    <w:rsid w:val="00C90DB1"/>
    <w:rsid w:val="00C90E88"/>
    <w:rsid w:val="00C911BE"/>
    <w:rsid w:val="00C91316"/>
    <w:rsid w:val="00C913EF"/>
    <w:rsid w:val="00C914BB"/>
    <w:rsid w:val="00C91568"/>
    <w:rsid w:val="00C915AD"/>
    <w:rsid w:val="00C91643"/>
    <w:rsid w:val="00C917F2"/>
    <w:rsid w:val="00C91895"/>
    <w:rsid w:val="00C919B4"/>
    <w:rsid w:val="00C91A2E"/>
    <w:rsid w:val="00C91AB9"/>
    <w:rsid w:val="00C91C6A"/>
    <w:rsid w:val="00C91CAC"/>
    <w:rsid w:val="00C91D4A"/>
    <w:rsid w:val="00C91E80"/>
    <w:rsid w:val="00C91E92"/>
    <w:rsid w:val="00C91F88"/>
    <w:rsid w:val="00C91FD1"/>
    <w:rsid w:val="00C92053"/>
    <w:rsid w:val="00C92068"/>
    <w:rsid w:val="00C92082"/>
    <w:rsid w:val="00C921C5"/>
    <w:rsid w:val="00C921F5"/>
    <w:rsid w:val="00C9232F"/>
    <w:rsid w:val="00C9267E"/>
    <w:rsid w:val="00C9269B"/>
    <w:rsid w:val="00C926DA"/>
    <w:rsid w:val="00C92778"/>
    <w:rsid w:val="00C92A3E"/>
    <w:rsid w:val="00C92A94"/>
    <w:rsid w:val="00C92CB6"/>
    <w:rsid w:val="00C92D64"/>
    <w:rsid w:val="00C92D82"/>
    <w:rsid w:val="00C92DD5"/>
    <w:rsid w:val="00C930E7"/>
    <w:rsid w:val="00C9316F"/>
    <w:rsid w:val="00C9327F"/>
    <w:rsid w:val="00C93284"/>
    <w:rsid w:val="00C9337F"/>
    <w:rsid w:val="00C93417"/>
    <w:rsid w:val="00C9342F"/>
    <w:rsid w:val="00C9362E"/>
    <w:rsid w:val="00C93699"/>
    <w:rsid w:val="00C9373B"/>
    <w:rsid w:val="00C93C01"/>
    <w:rsid w:val="00C93D90"/>
    <w:rsid w:val="00C93DAC"/>
    <w:rsid w:val="00C93E48"/>
    <w:rsid w:val="00C93F64"/>
    <w:rsid w:val="00C940B4"/>
    <w:rsid w:val="00C94168"/>
    <w:rsid w:val="00C941AE"/>
    <w:rsid w:val="00C941BD"/>
    <w:rsid w:val="00C94319"/>
    <w:rsid w:val="00C94421"/>
    <w:rsid w:val="00C94523"/>
    <w:rsid w:val="00C945BA"/>
    <w:rsid w:val="00C946F2"/>
    <w:rsid w:val="00C9470D"/>
    <w:rsid w:val="00C9487E"/>
    <w:rsid w:val="00C948A5"/>
    <w:rsid w:val="00C94C82"/>
    <w:rsid w:val="00C94F71"/>
    <w:rsid w:val="00C94FB6"/>
    <w:rsid w:val="00C94FC4"/>
    <w:rsid w:val="00C94FE7"/>
    <w:rsid w:val="00C9545B"/>
    <w:rsid w:val="00C9554B"/>
    <w:rsid w:val="00C955EF"/>
    <w:rsid w:val="00C95A9E"/>
    <w:rsid w:val="00C95AF7"/>
    <w:rsid w:val="00C95B0A"/>
    <w:rsid w:val="00C95CEC"/>
    <w:rsid w:val="00C95CEE"/>
    <w:rsid w:val="00C95D21"/>
    <w:rsid w:val="00C95E4F"/>
    <w:rsid w:val="00C95F0E"/>
    <w:rsid w:val="00C96023"/>
    <w:rsid w:val="00C963BC"/>
    <w:rsid w:val="00C9641E"/>
    <w:rsid w:val="00C964F5"/>
    <w:rsid w:val="00C9669C"/>
    <w:rsid w:val="00C968FC"/>
    <w:rsid w:val="00C96BD5"/>
    <w:rsid w:val="00C96C2E"/>
    <w:rsid w:val="00C96C69"/>
    <w:rsid w:val="00C96CEA"/>
    <w:rsid w:val="00C96CF7"/>
    <w:rsid w:val="00C96DC5"/>
    <w:rsid w:val="00C96EEC"/>
    <w:rsid w:val="00C96F1E"/>
    <w:rsid w:val="00C96F45"/>
    <w:rsid w:val="00C96FDF"/>
    <w:rsid w:val="00C96FFA"/>
    <w:rsid w:val="00C97048"/>
    <w:rsid w:val="00C9710D"/>
    <w:rsid w:val="00C971C2"/>
    <w:rsid w:val="00C972FF"/>
    <w:rsid w:val="00C97383"/>
    <w:rsid w:val="00C9750F"/>
    <w:rsid w:val="00C97605"/>
    <w:rsid w:val="00C97621"/>
    <w:rsid w:val="00C976F2"/>
    <w:rsid w:val="00C977A5"/>
    <w:rsid w:val="00C977E4"/>
    <w:rsid w:val="00C97820"/>
    <w:rsid w:val="00C97866"/>
    <w:rsid w:val="00C978D8"/>
    <w:rsid w:val="00C9794C"/>
    <w:rsid w:val="00C97A4F"/>
    <w:rsid w:val="00C97B4C"/>
    <w:rsid w:val="00C97C88"/>
    <w:rsid w:val="00C97E15"/>
    <w:rsid w:val="00C97F6D"/>
    <w:rsid w:val="00C97FAE"/>
    <w:rsid w:val="00CA0372"/>
    <w:rsid w:val="00CA0440"/>
    <w:rsid w:val="00CA050C"/>
    <w:rsid w:val="00CA0511"/>
    <w:rsid w:val="00CA0525"/>
    <w:rsid w:val="00CA0552"/>
    <w:rsid w:val="00CA071C"/>
    <w:rsid w:val="00CA07E7"/>
    <w:rsid w:val="00CA0802"/>
    <w:rsid w:val="00CA093A"/>
    <w:rsid w:val="00CA0B2F"/>
    <w:rsid w:val="00CA0B3C"/>
    <w:rsid w:val="00CA0B55"/>
    <w:rsid w:val="00CA0B5A"/>
    <w:rsid w:val="00CA0B5E"/>
    <w:rsid w:val="00CA0CF8"/>
    <w:rsid w:val="00CA0D58"/>
    <w:rsid w:val="00CA0DCF"/>
    <w:rsid w:val="00CA0F6C"/>
    <w:rsid w:val="00CA11FC"/>
    <w:rsid w:val="00CA1404"/>
    <w:rsid w:val="00CA14A0"/>
    <w:rsid w:val="00CA153B"/>
    <w:rsid w:val="00CA1760"/>
    <w:rsid w:val="00CA1789"/>
    <w:rsid w:val="00CA187B"/>
    <w:rsid w:val="00CA1894"/>
    <w:rsid w:val="00CA1B4C"/>
    <w:rsid w:val="00CA1BEA"/>
    <w:rsid w:val="00CA1E6E"/>
    <w:rsid w:val="00CA209A"/>
    <w:rsid w:val="00CA2209"/>
    <w:rsid w:val="00CA22A6"/>
    <w:rsid w:val="00CA230F"/>
    <w:rsid w:val="00CA23D3"/>
    <w:rsid w:val="00CA2413"/>
    <w:rsid w:val="00CA2480"/>
    <w:rsid w:val="00CA250E"/>
    <w:rsid w:val="00CA2511"/>
    <w:rsid w:val="00CA259B"/>
    <w:rsid w:val="00CA25BD"/>
    <w:rsid w:val="00CA26D0"/>
    <w:rsid w:val="00CA2826"/>
    <w:rsid w:val="00CA2862"/>
    <w:rsid w:val="00CA28DF"/>
    <w:rsid w:val="00CA29D2"/>
    <w:rsid w:val="00CA2A06"/>
    <w:rsid w:val="00CA31FF"/>
    <w:rsid w:val="00CA32EC"/>
    <w:rsid w:val="00CA33ED"/>
    <w:rsid w:val="00CA349D"/>
    <w:rsid w:val="00CA351E"/>
    <w:rsid w:val="00CA3540"/>
    <w:rsid w:val="00CA3612"/>
    <w:rsid w:val="00CA3680"/>
    <w:rsid w:val="00CA3683"/>
    <w:rsid w:val="00CA3BB4"/>
    <w:rsid w:val="00CA3E82"/>
    <w:rsid w:val="00CA3ED7"/>
    <w:rsid w:val="00CA40A9"/>
    <w:rsid w:val="00CA41C4"/>
    <w:rsid w:val="00CA44D5"/>
    <w:rsid w:val="00CA456F"/>
    <w:rsid w:val="00CA4596"/>
    <w:rsid w:val="00CA4618"/>
    <w:rsid w:val="00CA470F"/>
    <w:rsid w:val="00CA4863"/>
    <w:rsid w:val="00CA4A8B"/>
    <w:rsid w:val="00CA4B8A"/>
    <w:rsid w:val="00CA4BBA"/>
    <w:rsid w:val="00CA4DF3"/>
    <w:rsid w:val="00CA4E61"/>
    <w:rsid w:val="00CA5066"/>
    <w:rsid w:val="00CA509E"/>
    <w:rsid w:val="00CA52EB"/>
    <w:rsid w:val="00CA57A0"/>
    <w:rsid w:val="00CA57C4"/>
    <w:rsid w:val="00CA58A1"/>
    <w:rsid w:val="00CA58C6"/>
    <w:rsid w:val="00CA593A"/>
    <w:rsid w:val="00CA5AB9"/>
    <w:rsid w:val="00CA5CAB"/>
    <w:rsid w:val="00CA5CE7"/>
    <w:rsid w:val="00CA5DE7"/>
    <w:rsid w:val="00CA5E84"/>
    <w:rsid w:val="00CA6038"/>
    <w:rsid w:val="00CA6254"/>
    <w:rsid w:val="00CA6393"/>
    <w:rsid w:val="00CA63BB"/>
    <w:rsid w:val="00CA64F3"/>
    <w:rsid w:val="00CA652D"/>
    <w:rsid w:val="00CA67A1"/>
    <w:rsid w:val="00CA6999"/>
    <w:rsid w:val="00CA6AFD"/>
    <w:rsid w:val="00CA6B06"/>
    <w:rsid w:val="00CA6BCE"/>
    <w:rsid w:val="00CA6C93"/>
    <w:rsid w:val="00CA6D23"/>
    <w:rsid w:val="00CA6ED2"/>
    <w:rsid w:val="00CA6EEA"/>
    <w:rsid w:val="00CA6F07"/>
    <w:rsid w:val="00CA6F92"/>
    <w:rsid w:val="00CA7096"/>
    <w:rsid w:val="00CA71A4"/>
    <w:rsid w:val="00CA7595"/>
    <w:rsid w:val="00CA75DC"/>
    <w:rsid w:val="00CA766B"/>
    <w:rsid w:val="00CA7730"/>
    <w:rsid w:val="00CA7739"/>
    <w:rsid w:val="00CA77F8"/>
    <w:rsid w:val="00CA780B"/>
    <w:rsid w:val="00CA79B5"/>
    <w:rsid w:val="00CA7C9A"/>
    <w:rsid w:val="00CA7CC1"/>
    <w:rsid w:val="00CA7E31"/>
    <w:rsid w:val="00CA7F6D"/>
    <w:rsid w:val="00CA7FE6"/>
    <w:rsid w:val="00CB00C9"/>
    <w:rsid w:val="00CB012B"/>
    <w:rsid w:val="00CB024B"/>
    <w:rsid w:val="00CB03BD"/>
    <w:rsid w:val="00CB0579"/>
    <w:rsid w:val="00CB05EA"/>
    <w:rsid w:val="00CB099C"/>
    <w:rsid w:val="00CB0A6B"/>
    <w:rsid w:val="00CB0B60"/>
    <w:rsid w:val="00CB0DD1"/>
    <w:rsid w:val="00CB10FB"/>
    <w:rsid w:val="00CB1155"/>
    <w:rsid w:val="00CB118E"/>
    <w:rsid w:val="00CB11E2"/>
    <w:rsid w:val="00CB125D"/>
    <w:rsid w:val="00CB12C0"/>
    <w:rsid w:val="00CB14C6"/>
    <w:rsid w:val="00CB1548"/>
    <w:rsid w:val="00CB16C6"/>
    <w:rsid w:val="00CB18F1"/>
    <w:rsid w:val="00CB1C02"/>
    <w:rsid w:val="00CB1C04"/>
    <w:rsid w:val="00CB1E4F"/>
    <w:rsid w:val="00CB1E55"/>
    <w:rsid w:val="00CB1F1E"/>
    <w:rsid w:val="00CB2029"/>
    <w:rsid w:val="00CB20D2"/>
    <w:rsid w:val="00CB212A"/>
    <w:rsid w:val="00CB22C2"/>
    <w:rsid w:val="00CB245E"/>
    <w:rsid w:val="00CB253E"/>
    <w:rsid w:val="00CB25CF"/>
    <w:rsid w:val="00CB273E"/>
    <w:rsid w:val="00CB29C4"/>
    <w:rsid w:val="00CB29C8"/>
    <w:rsid w:val="00CB2C0C"/>
    <w:rsid w:val="00CB2C5B"/>
    <w:rsid w:val="00CB2C5F"/>
    <w:rsid w:val="00CB2CB0"/>
    <w:rsid w:val="00CB2D6C"/>
    <w:rsid w:val="00CB2F5B"/>
    <w:rsid w:val="00CB2FCE"/>
    <w:rsid w:val="00CB3027"/>
    <w:rsid w:val="00CB3124"/>
    <w:rsid w:val="00CB33BE"/>
    <w:rsid w:val="00CB33D3"/>
    <w:rsid w:val="00CB340F"/>
    <w:rsid w:val="00CB3748"/>
    <w:rsid w:val="00CB379B"/>
    <w:rsid w:val="00CB38F9"/>
    <w:rsid w:val="00CB392F"/>
    <w:rsid w:val="00CB3BB5"/>
    <w:rsid w:val="00CB3D3D"/>
    <w:rsid w:val="00CB3D60"/>
    <w:rsid w:val="00CB3D70"/>
    <w:rsid w:val="00CB3F87"/>
    <w:rsid w:val="00CB4075"/>
    <w:rsid w:val="00CB4097"/>
    <w:rsid w:val="00CB423F"/>
    <w:rsid w:val="00CB4255"/>
    <w:rsid w:val="00CB42E6"/>
    <w:rsid w:val="00CB42F0"/>
    <w:rsid w:val="00CB437A"/>
    <w:rsid w:val="00CB43BC"/>
    <w:rsid w:val="00CB454E"/>
    <w:rsid w:val="00CB4558"/>
    <w:rsid w:val="00CB4584"/>
    <w:rsid w:val="00CB46BB"/>
    <w:rsid w:val="00CB4733"/>
    <w:rsid w:val="00CB4744"/>
    <w:rsid w:val="00CB483D"/>
    <w:rsid w:val="00CB49F2"/>
    <w:rsid w:val="00CB4B18"/>
    <w:rsid w:val="00CB4C4F"/>
    <w:rsid w:val="00CB4CBC"/>
    <w:rsid w:val="00CB4E5B"/>
    <w:rsid w:val="00CB4E76"/>
    <w:rsid w:val="00CB4FA5"/>
    <w:rsid w:val="00CB4FF1"/>
    <w:rsid w:val="00CB5045"/>
    <w:rsid w:val="00CB52FC"/>
    <w:rsid w:val="00CB5378"/>
    <w:rsid w:val="00CB541F"/>
    <w:rsid w:val="00CB547F"/>
    <w:rsid w:val="00CB5494"/>
    <w:rsid w:val="00CB56D6"/>
    <w:rsid w:val="00CB5710"/>
    <w:rsid w:val="00CB5911"/>
    <w:rsid w:val="00CB5925"/>
    <w:rsid w:val="00CB593D"/>
    <w:rsid w:val="00CB5CA5"/>
    <w:rsid w:val="00CB5E8C"/>
    <w:rsid w:val="00CB5EFE"/>
    <w:rsid w:val="00CB5F50"/>
    <w:rsid w:val="00CB5F73"/>
    <w:rsid w:val="00CB5FC3"/>
    <w:rsid w:val="00CB60FA"/>
    <w:rsid w:val="00CB61AB"/>
    <w:rsid w:val="00CB6321"/>
    <w:rsid w:val="00CB65A7"/>
    <w:rsid w:val="00CB661C"/>
    <w:rsid w:val="00CB6621"/>
    <w:rsid w:val="00CB67E8"/>
    <w:rsid w:val="00CB67ED"/>
    <w:rsid w:val="00CB6912"/>
    <w:rsid w:val="00CB694A"/>
    <w:rsid w:val="00CB6981"/>
    <w:rsid w:val="00CB6A55"/>
    <w:rsid w:val="00CB6AFF"/>
    <w:rsid w:val="00CB6BDD"/>
    <w:rsid w:val="00CB6C2B"/>
    <w:rsid w:val="00CB6CD8"/>
    <w:rsid w:val="00CB6D85"/>
    <w:rsid w:val="00CB6EF0"/>
    <w:rsid w:val="00CB708A"/>
    <w:rsid w:val="00CB72DB"/>
    <w:rsid w:val="00CB743F"/>
    <w:rsid w:val="00CB744B"/>
    <w:rsid w:val="00CB747A"/>
    <w:rsid w:val="00CB750F"/>
    <w:rsid w:val="00CB7585"/>
    <w:rsid w:val="00CB7595"/>
    <w:rsid w:val="00CB75DE"/>
    <w:rsid w:val="00CB760E"/>
    <w:rsid w:val="00CB76BA"/>
    <w:rsid w:val="00CB7744"/>
    <w:rsid w:val="00CB7787"/>
    <w:rsid w:val="00CB7D3E"/>
    <w:rsid w:val="00CB7D8B"/>
    <w:rsid w:val="00CB7D9A"/>
    <w:rsid w:val="00CB7DA3"/>
    <w:rsid w:val="00CB7FAA"/>
    <w:rsid w:val="00CC008C"/>
    <w:rsid w:val="00CC028E"/>
    <w:rsid w:val="00CC033D"/>
    <w:rsid w:val="00CC04A9"/>
    <w:rsid w:val="00CC0936"/>
    <w:rsid w:val="00CC0AF6"/>
    <w:rsid w:val="00CC0B4A"/>
    <w:rsid w:val="00CC0C0F"/>
    <w:rsid w:val="00CC0D65"/>
    <w:rsid w:val="00CC0DB1"/>
    <w:rsid w:val="00CC0EC9"/>
    <w:rsid w:val="00CC109E"/>
    <w:rsid w:val="00CC10A1"/>
    <w:rsid w:val="00CC10CD"/>
    <w:rsid w:val="00CC11AF"/>
    <w:rsid w:val="00CC1396"/>
    <w:rsid w:val="00CC13A0"/>
    <w:rsid w:val="00CC13A6"/>
    <w:rsid w:val="00CC14EC"/>
    <w:rsid w:val="00CC151A"/>
    <w:rsid w:val="00CC15AA"/>
    <w:rsid w:val="00CC1741"/>
    <w:rsid w:val="00CC1766"/>
    <w:rsid w:val="00CC1A95"/>
    <w:rsid w:val="00CC1BBA"/>
    <w:rsid w:val="00CC1CC0"/>
    <w:rsid w:val="00CC1F71"/>
    <w:rsid w:val="00CC1FBB"/>
    <w:rsid w:val="00CC2056"/>
    <w:rsid w:val="00CC2229"/>
    <w:rsid w:val="00CC24B2"/>
    <w:rsid w:val="00CC28B8"/>
    <w:rsid w:val="00CC28FB"/>
    <w:rsid w:val="00CC28FD"/>
    <w:rsid w:val="00CC290D"/>
    <w:rsid w:val="00CC29A3"/>
    <w:rsid w:val="00CC29C0"/>
    <w:rsid w:val="00CC2A10"/>
    <w:rsid w:val="00CC2A4F"/>
    <w:rsid w:val="00CC2B14"/>
    <w:rsid w:val="00CC2C17"/>
    <w:rsid w:val="00CC2C3E"/>
    <w:rsid w:val="00CC2DF3"/>
    <w:rsid w:val="00CC352E"/>
    <w:rsid w:val="00CC3755"/>
    <w:rsid w:val="00CC3765"/>
    <w:rsid w:val="00CC37CB"/>
    <w:rsid w:val="00CC382D"/>
    <w:rsid w:val="00CC3830"/>
    <w:rsid w:val="00CC39D5"/>
    <w:rsid w:val="00CC3AC1"/>
    <w:rsid w:val="00CC3B06"/>
    <w:rsid w:val="00CC3C31"/>
    <w:rsid w:val="00CC3FB4"/>
    <w:rsid w:val="00CC4265"/>
    <w:rsid w:val="00CC4372"/>
    <w:rsid w:val="00CC43A4"/>
    <w:rsid w:val="00CC43CD"/>
    <w:rsid w:val="00CC4494"/>
    <w:rsid w:val="00CC4C9C"/>
    <w:rsid w:val="00CC4CCE"/>
    <w:rsid w:val="00CC4E72"/>
    <w:rsid w:val="00CC4E86"/>
    <w:rsid w:val="00CC5038"/>
    <w:rsid w:val="00CC5091"/>
    <w:rsid w:val="00CC50E9"/>
    <w:rsid w:val="00CC531A"/>
    <w:rsid w:val="00CC53C9"/>
    <w:rsid w:val="00CC561C"/>
    <w:rsid w:val="00CC56C3"/>
    <w:rsid w:val="00CC56D1"/>
    <w:rsid w:val="00CC5911"/>
    <w:rsid w:val="00CC5ADE"/>
    <w:rsid w:val="00CC5BF9"/>
    <w:rsid w:val="00CC5D88"/>
    <w:rsid w:val="00CC5DA7"/>
    <w:rsid w:val="00CC5F3E"/>
    <w:rsid w:val="00CC5FBB"/>
    <w:rsid w:val="00CC605C"/>
    <w:rsid w:val="00CC60E6"/>
    <w:rsid w:val="00CC624E"/>
    <w:rsid w:val="00CC6311"/>
    <w:rsid w:val="00CC6325"/>
    <w:rsid w:val="00CC659E"/>
    <w:rsid w:val="00CC65CA"/>
    <w:rsid w:val="00CC67A9"/>
    <w:rsid w:val="00CC6841"/>
    <w:rsid w:val="00CC6927"/>
    <w:rsid w:val="00CC692D"/>
    <w:rsid w:val="00CC6AFF"/>
    <w:rsid w:val="00CC6DAE"/>
    <w:rsid w:val="00CC6EC1"/>
    <w:rsid w:val="00CC6FDE"/>
    <w:rsid w:val="00CC73B9"/>
    <w:rsid w:val="00CC7407"/>
    <w:rsid w:val="00CC7482"/>
    <w:rsid w:val="00CC78F9"/>
    <w:rsid w:val="00CC79B0"/>
    <w:rsid w:val="00CC79F3"/>
    <w:rsid w:val="00CC7A70"/>
    <w:rsid w:val="00CC7A76"/>
    <w:rsid w:val="00CC7DD2"/>
    <w:rsid w:val="00CC7DDD"/>
    <w:rsid w:val="00CC7ECC"/>
    <w:rsid w:val="00CC7EFF"/>
    <w:rsid w:val="00CC7F0E"/>
    <w:rsid w:val="00CD007E"/>
    <w:rsid w:val="00CD0132"/>
    <w:rsid w:val="00CD0163"/>
    <w:rsid w:val="00CD0292"/>
    <w:rsid w:val="00CD02E0"/>
    <w:rsid w:val="00CD0329"/>
    <w:rsid w:val="00CD041B"/>
    <w:rsid w:val="00CD0559"/>
    <w:rsid w:val="00CD05F3"/>
    <w:rsid w:val="00CD0636"/>
    <w:rsid w:val="00CD066C"/>
    <w:rsid w:val="00CD069A"/>
    <w:rsid w:val="00CD06A8"/>
    <w:rsid w:val="00CD07F2"/>
    <w:rsid w:val="00CD0890"/>
    <w:rsid w:val="00CD0974"/>
    <w:rsid w:val="00CD0988"/>
    <w:rsid w:val="00CD09A2"/>
    <w:rsid w:val="00CD0A04"/>
    <w:rsid w:val="00CD0AC9"/>
    <w:rsid w:val="00CD0AFA"/>
    <w:rsid w:val="00CD0B24"/>
    <w:rsid w:val="00CD0BFD"/>
    <w:rsid w:val="00CD0C8C"/>
    <w:rsid w:val="00CD0D15"/>
    <w:rsid w:val="00CD0D3A"/>
    <w:rsid w:val="00CD0E53"/>
    <w:rsid w:val="00CD0F0C"/>
    <w:rsid w:val="00CD0F48"/>
    <w:rsid w:val="00CD108D"/>
    <w:rsid w:val="00CD10D0"/>
    <w:rsid w:val="00CD10D3"/>
    <w:rsid w:val="00CD1EF0"/>
    <w:rsid w:val="00CD1F0F"/>
    <w:rsid w:val="00CD1FD5"/>
    <w:rsid w:val="00CD1FDE"/>
    <w:rsid w:val="00CD2070"/>
    <w:rsid w:val="00CD21E9"/>
    <w:rsid w:val="00CD2459"/>
    <w:rsid w:val="00CD248B"/>
    <w:rsid w:val="00CD2613"/>
    <w:rsid w:val="00CD262C"/>
    <w:rsid w:val="00CD26E7"/>
    <w:rsid w:val="00CD2801"/>
    <w:rsid w:val="00CD28EB"/>
    <w:rsid w:val="00CD2A48"/>
    <w:rsid w:val="00CD2D34"/>
    <w:rsid w:val="00CD2EEA"/>
    <w:rsid w:val="00CD2F78"/>
    <w:rsid w:val="00CD305F"/>
    <w:rsid w:val="00CD3150"/>
    <w:rsid w:val="00CD324F"/>
    <w:rsid w:val="00CD327E"/>
    <w:rsid w:val="00CD344A"/>
    <w:rsid w:val="00CD34AA"/>
    <w:rsid w:val="00CD3506"/>
    <w:rsid w:val="00CD36E2"/>
    <w:rsid w:val="00CD3972"/>
    <w:rsid w:val="00CD3AE8"/>
    <w:rsid w:val="00CD3B71"/>
    <w:rsid w:val="00CD3B94"/>
    <w:rsid w:val="00CD3CB4"/>
    <w:rsid w:val="00CD3EF6"/>
    <w:rsid w:val="00CD3F02"/>
    <w:rsid w:val="00CD4010"/>
    <w:rsid w:val="00CD40A2"/>
    <w:rsid w:val="00CD40F5"/>
    <w:rsid w:val="00CD42CF"/>
    <w:rsid w:val="00CD43FD"/>
    <w:rsid w:val="00CD450F"/>
    <w:rsid w:val="00CD4618"/>
    <w:rsid w:val="00CD4868"/>
    <w:rsid w:val="00CD4F44"/>
    <w:rsid w:val="00CD5016"/>
    <w:rsid w:val="00CD5021"/>
    <w:rsid w:val="00CD502F"/>
    <w:rsid w:val="00CD5044"/>
    <w:rsid w:val="00CD5123"/>
    <w:rsid w:val="00CD546E"/>
    <w:rsid w:val="00CD54C4"/>
    <w:rsid w:val="00CD55CE"/>
    <w:rsid w:val="00CD5659"/>
    <w:rsid w:val="00CD5695"/>
    <w:rsid w:val="00CD5890"/>
    <w:rsid w:val="00CD59FE"/>
    <w:rsid w:val="00CD5A7C"/>
    <w:rsid w:val="00CD5A92"/>
    <w:rsid w:val="00CD5CB0"/>
    <w:rsid w:val="00CD5CE1"/>
    <w:rsid w:val="00CD5D15"/>
    <w:rsid w:val="00CD5D2F"/>
    <w:rsid w:val="00CD5D8D"/>
    <w:rsid w:val="00CD5DA5"/>
    <w:rsid w:val="00CD5DCE"/>
    <w:rsid w:val="00CD5E1D"/>
    <w:rsid w:val="00CD5E69"/>
    <w:rsid w:val="00CD6124"/>
    <w:rsid w:val="00CD6434"/>
    <w:rsid w:val="00CD65A9"/>
    <w:rsid w:val="00CD6642"/>
    <w:rsid w:val="00CD66A7"/>
    <w:rsid w:val="00CD6989"/>
    <w:rsid w:val="00CD6B61"/>
    <w:rsid w:val="00CD6BBA"/>
    <w:rsid w:val="00CD6D0C"/>
    <w:rsid w:val="00CD6D32"/>
    <w:rsid w:val="00CD6FF6"/>
    <w:rsid w:val="00CD73E6"/>
    <w:rsid w:val="00CD74E4"/>
    <w:rsid w:val="00CD75D9"/>
    <w:rsid w:val="00CD7634"/>
    <w:rsid w:val="00CD7A0F"/>
    <w:rsid w:val="00CD7A3D"/>
    <w:rsid w:val="00CD7C97"/>
    <w:rsid w:val="00CD7D18"/>
    <w:rsid w:val="00CD7DC3"/>
    <w:rsid w:val="00CD7E52"/>
    <w:rsid w:val="00CD7F0E"/>
    <w:rsid w:val="00CD7F47"/>
    <w:rsid w:val="00CE00B1"/>
    <w:rsid w:val="00CE0274"/>
    <w:rsid w:val="00CE032C"/>
    <w:rsid w:val="00CE046A"/>
    <w:rsid w:val="00CE0572"/>
    <w:rsid w:val="00CE0753"/>
    <w:rsid w:val="00CE076E"/>
    <w:rsid w:val="00CE08E8"/>
    <w:rsid w:val="00CE0925"/>
    <w:rsid w:val="00CE0B9C"/>
    <w:rsid w:val="00CE0BC4"/>
    <w:rsid w:val="00CE0CF1"/>
    <w:rsid w:val="00CE0FAC"/>
    <w:rsid w:val="00CE10ED"/>
    <w:rsid w:val="00CE116A"/>
    <w:rsid w:val="00CE1194"/>
    <w:rsid w:val="00CE1283"/>
    <w:rsid w:val="00CE12F9"/>
    <w:rsid w:val="00CE1408"/>
    <w:rsid w:val="00CE158D"/>
    <w:rsid w:val="00CE1617"/>
    <w:rsid w:val="00CE1679"/>
    <w:rsid w:val="00CE1682"/>
    <w:rsid w:val="00CE171B"/>
    <w:rsid w:val="00CE1767"/>
    <w:rsid w:val="00CE17FB"/>
    <w:rsid w:val="00CE183B"/>
    <w:rsid w:val="00CE18AF"/>
    <w:rsid w:val="00CE19E9"/>
    <w:rsid w:val="00CE1AAF"/>
    <w:rsid w:val="00CE1BEB"/>
    <w:rsid w:val="00CE2034"/>
    <w:rsid w:val="00CE2128"/>
    <w:rsid w:val="00CE222E"/>
    <w:rsid w:val="00CE22FC"/>
    <w:rsid w:val="00CE237B"/>
    <w:rsid w:val="00CE2530"/>
    <w:rsid w:val="00CE27EE"/>
    <w:rsid w:val="00CE28A7"/>
    <w:rsid w:val="00CE2A1C"/>
    <w:rsid w:val="00CE2ABA"/>
    <w:rsid w:val="00CE2BD8"/>
    <w:rsid w:val="00CE2CE8"/>
    <w:rsid w:val="00CE2CFE"/>
    <w:rsid w:val="00CE2D95"/>
    <w:rsid w:val="00CE2DA0"/>
    <w:rsid w:val="00CE2DFB"/>
    <w:rsid w:val="00CE2E95"/>
    <w:rsid w:val="00CE2F24"/>
    <w:rsid w:val="00CE3167"/>
    <w:rsid w:val="00CE32BB"/>
    <w:rsid w:val="00CE32FC"/>
    <w:rsid w:val="00CE36F5"/>
    <w:rsid w:val="00CE3749"/>
    <w:rsid w:val="00CE3784"/>
    <w:rsid w:val="00CE38F5"/>
    <w:rsid w:val="00CE39C6"/>
    <w:rsid w:val="00CE39EE"/>
    <w:rsid w:val="00CE3AE8"/>
    <w:rsid w:val="00CE3C1A"/>
    <w:rsid w:val="00CE3D58"/>
    <w:rsid w:val="00CE3E40"/>
    <w:rsid w:val="00CE3EBC"/>
    <w:rsid w:val="00CE4010"/>
    <w:rsid w:val="00CE4112"/>
    <w:rsid w:val="00CE421F"/>
    <w:rsid w:val="00CE423A"/>
    <w:rsid w:val="00CE426B"/>
    <w:rsid w:val="00CE42AD"/>
    <w:rsid w:val="00CE42F1"/>
    <w:rsid w:val="00CE43A2"/>
    <w:rsid w:val="00CE441E"/>
    <w:rsid w:val="00CE4519"/>
    <w:rsid w:val="00CE4655"/>
    <w:rsid w:val="00CE46EE"/>
    <w:rsid w:val="00CE47B9"/>
    <w:rsid w:val="00CE4920"/>
    <w:rsid w:val="00CE4946"/>
    <w:rsid w:val="00CE4A34"/>
    <w:rsid w:val="00CE4A4A"/>
    <w:rsid w:val="00CE4ACC"/>
    <w:rsid w:val="00CE4D00"/>
    <w:rsid w:val="00CE4D33"/>
    <w:rsid w:val="00CE4E92"/>
    <w:rsid w:val="00CE4F8D"/>
    <w:rsid w:val="00CE4F97"/>
    <w:rsid w:val="00CE5011"/>
    <w:rsid w:val="00CE50E3"/>
    <w:rsid w:val="00CE5133"/>
    <w:rsid w:val="00CE59BB"/>
    <w:rsid w:val="00CE59E5"/>
    <w:rsid w:val="00CE5BFA"/>
    <w:rsid w:val="00CE5D7C"/>
    <w:rsid w:val="00CE60C1"/>
    <w:rsid w:val="00CE62EC"/>
    <w:rsid w:val="00CE6395"/>
    <w:rsid w:val="00CE63EC"/>
    <w:rsid w:val="00CE63F1"/>
    <w:rsid w:val="00CE6403"/>
    <w:rsid w:val="00CE6501"/>
    <w:rsid w:val="00CE65E4"/>
    <w:rsid w:val="00CE66E8"/>
    <w:rsid w:val="00CE6715"/>
    <w:rsid w:val="00CE6764"/>
    <w:rsid w:val="00CE67B2"/>
    <w:rsid w:val="00CE67BE"/>
    <w:rsid w:val="00CE681B"/>
    <w:rsid w:val="00CE68FD"/>
    <w:rsid w:val="00CE699A"/>
    <w:rsid w:val="00CE6AF0"/>
    <w:rsid w:val="00CE6AFF"/>
    <w:rsid w:val="00CE6B43"/>
    <w:rsid w:val="00CE6E25"/>
    <w:rsid w:val="00CE6EA5"/>
    <w:rsid w:val="00CE6EF3"/>
    <w:rsid w:val="00CE71E8"/>
    <w:rsid w:val="00CE7345"/>
    <w:rsid w:val="00CE741B"/>
    <w:rsid w:val="00CE74A9"/>
    <w:rsid w:val="00CE761F"/>
    <w:rsid w:val="00CE77AC"/>
    <w:rsid w:val="00CE790E"/>
    <w:rsid w:val="00CE7A8C"/>
    <w:rsid w:val="00CE7B6E"/>
    <w:rsid w:val="00CE7DB1"/>
    <w:rsid w:val="00CE7DF9"/>
    <w:rsid w:val="00CF0191"/>
    <w:rsid w:val="00CF0602"/>
    <w:rsid w:val="00CF07FC"/>
    <w:rsid w:val="00CF096E"/>
    <w:rsid w:val="00CF0AB3"/>
    <w:rsid w:val="00CF0B23"/>
    <w:rsid w:val="00CF0C88"/>
    <w:rsid w:val="00CF0E56"/>
    <w:rsid w:val="00CF0EB1"/>
    <w:rsid w:val="00CF10C5"/>
    <w:rsid w:val="00CF1111"/>
    <w:rsid w:val="00CF1231"/>
    <w:rsid w:val="00CF1410"/>
    <w:rsid w:val="00CF1453"/>
    <w:rsid w:val="00CF1628"/>
    <w:rsid w:val="00CF16DA"/>
    <w:rsid w:val="00CF198D"/>
    <w:rsid w:val="00CF1A18"/>
    <w:rsid w:val="00CF1AA2"/>
    <w:rsid w:val="00CF1E4C"/>
    <w:rsid w:val="00CF1EC4"/>
    <w:rsid w:val="00CF1F1A"/>
    <w:rsid w:val="00CF1F5F"/>
    <w:rsid w:val="00CF2056"/>
    <w:rsid w:val="00CF20B3"/>
    <w:rsid w:val="00CF20E1"/>
    <w:rsid w:val="00CF229E"/>
    <w:rsid w:val="00CF2303"/>
    <w:rsid w:val="00CF2355"/>
    <w:rsid w:val="00CF23A0"/>
    <w:rsid w:val="00CF23CB"/>
    <w:rsid w:val="00CF2479"/>
    <w:rsid w:val="00CF2592"/>
    <w:rsid w:val="00CF2686"/>
    <w:rsid w:val="00CF26EB"/>
    <w:rsid w:val="00CF26FC"/>
    <w:rsid w:val="00CF277C"/>
    <w:rsid w:val="00CF2B14"/>
    <w:rsid w:val="00CF2B50"/>
    <w:rsid w:val="00CF2CC1"/>
    <w:rsid w:val="00CF2ED7"/>
    <w:rsid w:val="00CF2F1C"/>
    <w:rsid w:val="00CF2F25"/>
    <w:rsid w:val="00CF2F29"/>
    <w:rsid w:val="00CF2F72"/>
    <w:rsid w:val="00CF2FFE"/>
    <w:rsid w:val="00CF3041"/>
    <w:rsid w:val="00CF31D6"/>
    <w:rsid w:val="00CF344F"/>
    <w:rsid w:val="00CF352A"/>
    <w:rsid w:val="00CF353D"/>
    <w:rsid w:val="00CF3555"/>
    <w:rsid w:val="00CF36D4"/>
    <w:rsid w:val="00CF375B"/>
    <w:rsid w:val="00CF3831"/>
    <w:rsid w:val="00CF38ED"/>
    <w:rsid w:val="00CF3B03"/>
    <w:rsid w:val="00CF3B15"/>
    <w:rsid w:val="00CF3D1A"/>
    <w:rsid w:val="00CF3D80"/>
    <w:rsid w:val="00CF3E6C"/>
    <w:rsid w:val="00CF3F80"/>
    <w:rsid w:val="00CF433E"/>
    <w:rsid w:val="00CF4417"/>
    <w:rsid w:val="00CF452A"/>
    <w:rsid w:val="00CF454C"/>
    <w:rsid w:val="00CF4617"/>
    <w:rsid w:val="00CF46BC"/>
    <w:rsid w:val="00CF4AD8"/>
    <w:rsid w:val="00CF4D6A"/>
    <w:rsid w:val="00CF4ECD"/>
    <w:rsid w:val="00CF5276"/>
    <w:rsid w:val="00CF5355"/>
    <w:rsid w:val="00CF55C4"/>
    <w:rsid w:val="00CF564A"/>
    <w:rsid w:val="00CF56D7"/>
    <w:rsid w:val="00CF5706"/>
    <w:rsid w:val="00CF570D"/>
    <w:rsid w:val="00CF57B1"/>
    <w:rsid w:val="00CF59FA"/>
    <w:rsid w:val="00CF5B6F"/>
    <w:rsid w:val="00CF5D00"/>
    <w:rsid w:val="00CF5DE6"/>
    <w:rsid w:val="00CF60F8"/>
    <w:rsid w:val="00CF62B7"/>
    <w:rsid w:val="00CF630F"/>
    <w:rsid w:val="00CF64A4"/>
    <w:rsid w:val="00CF6718"/>
    <w:rsid w:val="00CF6C42"/>
    <w:rsid w:val="00CF6D80"/>
    <w:rsid w:val="00CF6E31"/>
    <w:rsid w:val="00CF6E58"/>
    <w:rsid w:val="00CF6EBB"/>
    <w:rsid w:val="00CF7342"/>
    <w:rsid w:val="00CF7368"/>
    <w:rsid w:val="00CF73B0"/>
    <w:rsid w:val="00CF7545"/>
    <w:rsid w:val="00CF7666"/>
    <w:rsid w:val="00CF775D"/>
    <w:rsid w:val="00CF79C0"/>
    <w:rsid w:val="00CF7B9E"/>
    <w:rsid w:val="00CF7E1F"/>
    <w:rsid w:val="00CF7F39"/>
    <w:rsid w:val="00D00057"/>
    <w:rsid w:val="00D00081"/>
    <w:rsid w:val="00D00120"/>
    <w:rsid w:val="00D00168"/>
    <w:rsid w:val="00D001CE"/>
    <w:rsid w:val="00D0022D"/>
    <w:rsid w:val="00D00274"/>
    <w:rsid w:val="00D002BC"/>
    <w:rsid w:val="00D002EB"/>
    <w:rsid w:val="00D00372"/>
    <w:rsid w:val="00D003F3"/>
    <w:rsid w:val="00D00474"/>
    <w:rsid w:val="00D0052F"/>
    <w:rsid w:val="00D00580"/>
    <w:rsid w:val="00D005B8"/>
    <w:rsid w:val="00D00679"/>
    <w:rsid w:val="00D007D7"/>
    <w:rsid w:val="00D00802"/>
    <w:rsid w:val="00D00A7C"/>
    <w:rsid w:val="00D00B08"/>
    <w:rsid w:val="00D00C5D"/>
    <w:rsid w:val="00D00C91"/>
    <w:rsid w:val="00D00D31"/>
    <w:rsid w:val="00D00FF7"/>
    <w:rsid w:val="00D011BF"/>
    <w:rsid w:val="00D01306"/>
    <w:rsid w:val="00D014F4"/>
    <w:rsid w:val="00D014F7"/>
    <w:rsid w:val="00D01596"/>
    <w:rsid w:val="00D01655"/>
    <w:rsid w:val="00D0168E"/>
    <w:rsid w:val="00D0170A"/>
    <w:rsid w:val="00D0170B"/>
    <w:rsid w:val="00D01759"/>
    <w:rsid w:val="00D01783"/>
    <w:rsid w:val="00D01827"/>
    <w:rsid w:val="00D018B0"/>
    <w:rsid w:val="00D018D6"/>
    <w:rsid w:val="00D0194B"/>
    <w:rsid w:val="00D019AB"/>
    <w:rsid w:val="00D01A1B"/>
    <w:rsid w:val="00D01A56"/>
    <w:rsid w:val="00D01C05"/>
    <w:rsid w:val="00D01C16"/>
    <w:rsid w:val="00D01D29"/>
    <w:rsid w:val="00D01DFF"/>
    <w:rsid w:val="00D01E78"/>
    <w:rsid w:val="00D02291"/>
    <w:rsid w:val="00D025D7"/>
    <w:rsid w:val="00D02618"/>
    <w:rsid w:val="00D026CB"/>
    <w:rsid w:val="00D02884"/>
    <w:rsid w:val="00D02BCB"/>
    <w:rsid w:val="00D02D8B"/>
    <w:rsid w:val="00D03060"/>
    <w:rsid w:val="00D030D0"/>
    <w:rsid w:val="00D031C6"/>
    <w:rsid w:val="00D0336F"/>
    <w:rsid w:val="00D03381"/>
    <w:rsid w:val="00D03397"/>
    <w:rsid w:val="00D033E8"/>
    <w:rsid w:val="00D0363F"/>
    <w:rsid w:val="00D03694"/>
    <w:rsid w:val="00D0383F"/>
    <w:rsid w:val="00D03A07"/>
    <w:rsid w:val="00D03B45"/>
    <w:rsid w:val="00D03C5F"/>
    <w:rsid w:val="00D03CB3"/>
    <w:rsid w:val="00D03E3E"/>
    <w:rsid w:val="00D03F1B"/>
    <w:rsid w:val="00D03FF1"/>
    <w:rsid w:val="00D041C6"/>
    <w:rsid w:val="00D04385"/>
    <w:rsid w:val="00D043CA"/>
    <w:rsid w:val="00D046CB"/>
    <w:rsid w:val="00D049BF"/>
    <w:rsid w:val="00D04A8F"/>
    <w:rsid w:val="00D04B0B"/>
    <w:rsid w:val="00D04E03"/>
    <w:rsid w:val="00D05037"/>
    <w:rsid w:val="00D05090"/>
    <w:rsid w:val="00D051A0"/>
    <w:rsid w:val="00D052F4"/>
    <w:rsid w:val="00D0543B"/>
    <w:rsid w:val="00D054F3"/>
    <w:rsid w:val="00D0557B"/>
    <w:rsid w:val="00D0557C"/>
    <w:rsid w:val="00D055BD"/>
    <w:rsid w:val="00D05739"/>
    <w:rsid w:val="00D05AAB"/>
    <w:rsid w:val="00D05AD8"/>
    <w:rsid w:val="00D05B16"/>
    <w:rsid w:val="00D05B5A"/>
    <w:rsid w:val="00D05E7F"/>
    <w:rsid w:val="00D05EF3"/>
    <w:rsid w:val="00D05F6B"/>
    <w:rsid w:val="00D05FC0"/>
    <w:rsid w:val="00D05FD5"/>
    <w:rsid w:val="00D0603B"/>
    <w:rsid w:val="00D06502"/>
    <w:rsid w:val="00D0656B"/>
    <w:rsid w:val="00D0678D"/>
    <w:rsid w:val="00D06822"/>
    <w:rsid w:val="00D06926"/>
    <w:rsid w:val="00D06941"/>
    <w:rsid w:val="00D06962"/>
    <w:rsid w:val="00D069E1"/>
    <w:rsid w:val="00D06B7F"/>
    <w:rsid w:val="00D06BEA"/>
    <w:rsid w:val="00D07052"/>
    <w:rsid w:val="00D07084"/>
    <w:rsid w:val="00D07188"/>
    <w:rsid w:val="00D071E6"/>
    <w:rsid w:val="00D072BE"/>
    <w:rsid w:val="00D07367"/>
    <w:rsid w:val="00D074F7"/>
    <w:rsid w:val="00D078D2"/>
    <w:rsid w:val="00D07939"/>
    <w:rsid w:val="00D07BB4"/>
    <w:rsid w:val="00D07BEE"/>
    <w:rsid w:val="00D07DD2"/>
    <w:rsid w:val="00D07EB4"/>
    <w:rsid w:val="00D10055"/>
    <w:rsid w:val="00D1019B"/>
    <w:rsid w:val="00D1023D"/>
    <w:rsid w:val="00D105B1"/>
    <w:rsid w:val="00D106F2"/>
    <w:rsid w:val="00D10761"/>
    <w:rsid w:val="00D10966"/>
    <w:rsid w:val="00D10AC2"/>
    <w:rsid w:val="00D10B49"/>
    <w:rsid w:val="00D10B6F"/>
    <w:rsid w:val="00D10D87"/>
    <w:rsid w:val="00D10DD1"/>
    <w:rsid w:val="00D10E44"/>
    <w:rsid w:val="00D10F32"/>
    <w:rsid w:val="00D11034"/>
    <w:rsid w:val="00D110C3"/>
    <w:rsid w:val="00D1126C"/>
    <w:rsid w:val="00D113E1"/>
    <w:rsid w:val="00D11420"/>
    <w:rsid w:val="00D11714"/>
    <w:rsid w:val="00D1193C"/>
    <w:rsid w:val="00D11A05"/>
    <w:rsid w:val="00D11A31"/>
    <w:rsid w:val="00D11BCE"/>
    <w:rsid w:val="00D11D02"/>
    <w:rsid w:val="00D11D21"/>
    <w:rsid w:val="00D11DBA"/>
    <w:rsid w:val="00D1229F"/>
    <w:rsid w:val="00D1236A"/>
    <w:rsid w:val="00D12637"/>
    <w:rsid w:val="00D12822"/>
    <w:rsid w:val="00D12896"/>
    <w:rsid w:val="00D128EE"/>
    <w:rsid w:val="00D12B70"/>
    <w:rsid w:val="00D12E47"/>
    <w:rsid w:val="00D12F61"/>
    <w:rsid w:val="00D12FC4"/>
    <w:rsid w:val="00D13032"/>
    <w:rsid w:val="00D1310A"/>
    <w:rsid w:val="00D131B6"/>
    <w:rsid w:val="00D1325B"/>
    <w:rsid w:val="00D132E3"/>
    <w:rsid w:val="00D132F9"/>
    <w:rsid w:val="00D133C0"/>
    <w:rsid w:val="00D1341F"/>
    <w:rsid w:val="00D138E8"/>
    <w:rsid w:val="00D139CB"/>
    <w:rsid w:val="00D13A00"/>
    <w:rsid w:val="00D13A66"/>
    <w:rsid w:val="00D13C32"/>
    <w:rsid w:val="00D13C7D"/>
    <w:rsid w:val="00D13D15"/>
    <w:rsid w:val="00D13DEE"/>
    <w:rsid w:val="00D13EF6"/>
    <w:rsid w:val="00D13F03"/>
    <w:rsid w:val="00D140A2"/>
    <w:rsid w:val="00D141C1"/>
    <w:rsid w:val="00D141F8"/>
    <w:rsid w:val="00D1441F"/>
    <w:rsid w:val="00D1453B"/>
    <w:rsid w:val="00D14735"/>
    <w:rsid w:val="00D147D7"/>
    <w:rsid w:val="00D149A3"/>
    <w:rsid w:val="00D14AF3"/>
    <w:rsid w:val="00D14B06"/>
    <w:rsid w:val="00D14B86"/>
    <w:rsid w:val="00D14BFB"/>
    <w:rsid w:val="00D15072"/>
    <w:rsid w:val="00D150ED"/>
    <w:rsid w:val="00D151B8"/>
    <w:rsid w:val="00D1526F"/>
    <w:rsid w:val="00D15416"/>
    <w:rsid w:val="00D15763"/>
    <w:rsid w:val="00D157F3"/>
    <w:rsid w:val="00D158A0"/>
    <w:rsid w:val="00D15956"/>
    <w:rsid w:val="00D15AB2"/>
    <w:rsid w:val="00D15AB3"/>
    <w:rsid w:val="00D15B0A"/>
    <w:rsid w:val="00D15C04"/>
    <w:rsid w:val="00D15C65"/>
    <w:rsid w:val="00D15DD6"/>
    <w:rsid w:val="00D15E9F"/>
    <w:rsid w:val="00D15F22"/>
    <w:rsid w:val="00D16028"/>
    <w:rsid w:val="00D16123"/>
    <w:rsid w:val="00D16185"/>
    <w:rsid w:val="00D16354"/>
    <w:rsid w:val="00D16372"/>
    <w:rsid w:val="00D163BC"/>
    <w:rsid w:val="00D163EC"/>
    <w:rsid w:val="00D1653C"/>
    <w:rsid w:val="00D1658F"/>
    <w:rsid w:val="00D16610"/>
    <w:rsid w:val="00D166CE"/>
    <w:rsid w:val="00D166F0"/>
    <w:rsid w:val="00D1673A"/>
    <w:rsid w:val="00D167DF"/>
    <w:rsid w:val="00D16820"/>
    <w:rsid w:val="00D16AF0"/>
    <w:rsid w:val="00D16B0F"/>
    <w:rsid w:val="00D16B4F"/>
    <w:rsid w:val="00D16BEA"/>
    <w:rsid w:val="00D16BF5"/>
    <w:rsid w:val="00D16E98"/>
    <w:rsid w:val="00D16F97"/>
    <w:rsid w:val="00D16F9E"/>
    <w:rsid w:val="00D1715F"/>
    <w:rsid w:val="00D17198"/>
    <w:rsid w:val="00D171C7"/>
    <w:rsid w:val="00D17360"/>
    <w:rsid w:val="00D17545"/>
    <w:rsid w:val="00D17814"/>
    <w:rsid w:val="00D17835"/>
    <w:rsid w:val="00D1783E"/>
    <w:rsid w:val="00D17894"/>
    <w:rsid w:val="00D1789E"/>
    <w:rsid w:val="00D17BDB"/>
    <w:rsid w:val="00D17C77"/>
    <w:rsid w:val="00D17CA9"/>
    <w:rsid w:val="00D17D51"/>
    <w:rsid w:val="00D17D7C"/>
    <w:rsid w:val="00D17E61"/>
    <w:rsid w:val="00D17F75"/>
    <w:rsid w:val="00D20007"/>
    <w:rsid w:val="00D2009E"/>
    <w:rsid w:val="00D20145"/>
    <w:rsid w:val="00D20230"/>
    <w:rsid w:val="00D206F6"/>
    <w:rsid w:val="00D20878"/>
    <w:rsid w:val="00D20916"/>
    <w:rsid w:val="00D20AEE"/>
    <w:rsid w:val="00D20B40"/>
    <w:rsid w:val="00D20BBE"/>
    <w:rsid w:val="00D20DA7"/>
    <w:rsid w:val="00D20FF1"/>
    <w:rsid w:val="00D213E4"/>
    <w:rsid w:val="00D217B6"/>
    <w:rsid w:val="00D218D9"/>
    <w:rsid w:val="00D21970"/>
    <w:rsid w:val="00D21B0C"/>
    <w:rsid w:val="00D21B78"/>
    <w:rsid w:val="00D21B7F"/>
    <w:rsid w:val="00D21BC5"/>
    <w:rsid w:val="00D21BE8"/>
    <w:rsid w:val="00D21C4A"/>
    <w:rsid w:val="00D21F93"/>
    <w:rsid w:val="00D21FC4"/>
    <w:rsid w:val="00D21FC7"/>
    <w:rsid w:val="00D2204F"/>
    <w:rsid w:val="00D220B6"/>
    <w:rsid w:val="00D22136"/>
    <w:rsid w:val="00D221E1"/>
    <w:rsid w:val="00D22254"/>
    <w:rsid w:val="00D222B8"/>
    <w:rsid w:val="00D22302"/>
    <w:rsid w:val="00D223D3"/>
    <w:rsid w:val="00D2243B"/>
    <w:rsid w:val="00D2254B"/>
    <w:rsid w:val="00D22676"/>
    <w:rsid w:val="00D226A6"/>
    <w:rsid w:val="00D227F1"/>
    <w:rsid w:val="00D228E5"/>
    <w:rsid w:val="00D22AAE"/>
    <w:rsid w:val="00D22D99"/>
    <w:rsid w:val="00D22DA4"/>
    <w:rsid w:val="00D22DFC"/>
    <w:rsid w:val="00D2300C"/>
    <w:rsid w:val="00D2307A"/>
    <w:rsid w:val="00D23128"/>
    <w:rsid w:val="00D231D1"/>
    <w:rsid w:val="00D23275"/>
    <w:rsid w:val="00D23278"/>
    <w:rsid w:val="00D232B8"/>
    <w:rsid w:val="00D232BF"/>
    <w:rsid w:val="00D2341E"/>
    <w:rsid w:val="00D234C3"/>
    <w:rsid w:val="00D2371D"/>
    <w:rsid w:val="00D23735"/>
    <w:rsid w:val="00D239F6"/>
    <w:rsid w:val="00D23B2A"/>
    <w:rsid w:val="00D23C42"/>
    <w:rsid w:val="00D23D0D"/>
    <w:rsid w:val="00D23D95"/>
    <w:rsid w:val="00D23EC5"/>
    <w:rsid w:val="00D23F00"/>
    <w:rsid w:val="00D23FD3"/>
    <w:rsid w:val="00D2403D"/>
    <w:rsid w:val="00D240ED"/>
    <w:rsid w:val="00D24107"/>
    <w:rsid w:val="00D2412A"/>
    <w:rsid w:val="00D24187"/>
    <w:rsid w:val="00D241BE"/>
    <w:rsid w:val="00D242D4"/>
    <w:rsid w:val="00D243E5"/>
    <w:rsid w:val="00D24441"/>
    <w:rsid w:val="00D245F9"/>
    <w:rsid w:val="00D24631"/>
    <w:rsid w:val="00D24CF1"/>
    <w:rsid w:val="00D24DA9"/>
    <w:rsid w:val="00D24EBA"/>
    <w:rsid w:val="00D24F3C"/>
    <w:rsid w:val="00D24F40"/>
    <w:rsid w:val="00D25068"/>
    <w:rsid w:val="00D250CB"/>
    <w:rsid w:val="00D250E0"/>
    <w:rsid w:val="00D2515E"/>
    <w:rsid w:val="00D25274"/>
    <w:rsid w:val="00D25339"/>
    <w:rsid w:val="00D2549C"/>
    <w:rsid w:val="00D254E4"/>
    <w:rsid w:val="00D254FF"/>
    <w:rsid w:val="00D25C17"/>
    <w:rsid w:val="00D25C23"/>
    <w:rsid w:val="00D25C33"/>
    <w:rsid w:val="00D25C90"/>
    <w:rsid w:val="00D25D3D"/>
    <w:rsid w:val="00D25EC5"/>
    <w:rsid w:val="00D25F94"/>
    <w:rsid w:val="00D25FDA"/>
    <w:rsid w:val="00D2600E"/>
    <w:rsid w:val="00D26063"/>
    <w:rsid w:val="00D260E4"/>
    <w:rsid w:val="00D2622F"/>
    <w:rsid w:val="00D26269"/>
    <w:rsid w:val="00D2652B"/>
    <w:rsid w:val="00D2655C"/>
    <w:rsid w:val="00D265D2"/>
    <w:rsid w:val="00D26610"/>
    <w:rsid w:val="00D26826"/>
    <w:rsid w:val="00D268F3"/>
    <w:rsid w:val="00D26961"/>
    <w:rsid w:val="00D269A0"/>
    <w:rsid w:val="00D269B8"/>
    <w:rsid w:val="00D26E41"/>
    <w:rsid w:val="00D26ED1"/>
    <w:rsid w:val="00D26F89"/>
    <w:rsid w:val="00D27171"/>
    <w:rsid w:val="00D271A5"/>
    <w:rsid w:val="00D271DE"/>
    <w:rsid w:val="00D2740B"/>
    <w:rsid w:val="00D27463"/>
    <w:rsid w:val="00D27646"/>
    <w:rsid w:val="00D278F7"/>
    <w:rsid w:val="00D27959"/>
    <w:rsid w:val="00D279F0"/>
    <w:rsid w:val="00D27AE1"/>
    <w:rsid w:val="00D27B59"/>
    <w:rsid w:val="00D27B8B"/>
    <w:rsid w:val="00D27C36"/>
    <w:rsid w:val="00D27C66"/>
    <w:rsid w:val="00D27D04"/>
    <w:rsid w:val="00D27D16"/>
    <w:rsid w:val="00D27E20"/>
    <w:rsid w:val="00D2CBB1"/>
    <w:rsid w:val="00D301CD"/>
    <w:rsid w:val="00D3022E"/>
    <w:rsid w:val="00D30358"/>
    <w:rsid w:val="00D30366"/>
    <w:rsid w:val="00D303B4"/>
    <w:rsid w:val="00D303D4"/>
    <w:rsid w:val="00D304B5"/>
    <w:rsid w:val="00D304C2"/>
    <w:rsid w:val="00D306BD"/>
    <w:rsid w:val="00D306E7"/>
    <w:rsid w:val="00D3082B"/>
    <w:rsid w:val="00D308AC"/>
    <w:rsid w:val="00D308BC"/>
    <w:rsid w:val="00D30943"/>
    <w:rsid w:val="00D309D4"/>
    <w:rsid w:val="00D309DE"/>
    <w:rsid w:val="00D30BE9"/>
    <w:rsid w:val="00D30C26"/>
    <w:rsid w:val="00D3109D"/>
    <w:rsid w:val="00D311A3"/>
    <w:rsid w:val="00D311BA"/>
    <w:rsid w:val="00D313B7"/>
    <w:rsid w:val="00D313FA"/>
    <w:rsid w:val="00D314D9"/>
    <w:rsid w:val="00D3155A"/>
    <w:rsid w:val="00D315FE"/>
    <w:rsid w:val="00D316D5"/>
    <w:rsid w:val="00D3198F"/>
    <w:rsid w:val="00D31B92"/>
    <w:rsid w:val="00D31C12"/>
    <w:rsid w:val="00D31D77"/>
    <w:rsid w:val="00D31DDF"/>
    <w:rsid w:val="00D31FAA"/>
    <w:rsid w:val="00D32509"/>
    <w:rsid w:val="00D3258A"/>
    <w:rsid w:val="00D325A5"/>
    <w:rsid w:val="00D32645"/>
    <w:rsid w:val="00D32651"/>
    <w:rsid w:val="00D3283A"/>
    <w:rsid w:val="00D3285B"/>
    <w:rsid w:val="00D32B00"/>
    <w:rsid w:val="00D32CF2"/>
    <w:rsid w:val="00D330F2"/>
    <w:rsid w:val="00D33238"/>
    <w:rsid w:val="00D33339"/>
    <w:rsid w:val="00D3346E"/>
    <w:rsid w:val="00D334C0"/>
    <w:rsid w:val="00D33576"/>
    <w:rsid w:val="00D335A1"/>
    <w:rsid w:val="00D33602"/>
    <w:rsid w:val="00D33680"/>
    <w:rsid w:val="00D338E4"/>
    <w:rsid w:val="00D338FB"/>
    <w:rsid w:val="00D33C5A"/>
    <w:rsid w:val="00D33E70"/>
    <w:rsid w:val="00D33EB5"/>
    <w:rsid w:val="00D33F8F"/>
    <w:rsid w:val="00D3407F"/>
    <w:rsid w:val="00D341AF"/>
    <w:rsid w:val="00D343FA"/>
    <w:rsid w:val="00D34464"/>
    <w:rsid w:val="00D345C8"/>
    <w:rsid w:val="00D34651"/>
    <w:rsid w:val="00D347A1"/>
    <w:rsid w:val="00D34809"/>
    <w:rsid w:val="00D3481E"/>
    <w:rsid w:val="00D34840"/>
    <w:rsid w:val="00D34A38"/>
    <w:rsid w:val="00D34A7E"/>
    <w:rsid w:val="00D34AD4"/>
    <w:rsid w:val="00D34B4B"/>
    <w:rsid w:val="00D34BFF"/>
    <w:rsid w:val="00D34EA5"/>
    <w:rsid w:val="00D34ED2"/>
    <w:rsid w:val="00D34FB7"/>
    <w:rsid w:val="00D352C8"/>
    <w:rsid w:val="00D3531E"/>
    <w:rsid w:val="00D353AE"/>
    <w:rsid w:val="00D353C1"/>
    <w:rsid w:val="00D353CB"/>
    <w:rsid w:val="00D35435"/>
    <w:rsid w:val="00D35669"/>
    <w:rsid w:val="00D3575B"/>
    <w:rsid w:val="00D35A76"/>
    <w:rsid w:val="00D35ADE"/>
    <w:rsid w:val="00D35C34"/>
    <w:rsid w:val="00D35C63"/>
    <w:rsid w:val="00D35DC7"/>
    <w:rsid w:val="00D35E57"/>
    <w:rsid w:val="00D35F36"/>
    <w:rsid w:val="00D360FD"/>
    <w:rsid w:val="00D361A0"/>
    <w:rsid w:val="00D36244"/>
    <w:rsid w:val="00D364B9"/>
    <w:rsid w:val="00D364F9"/>
    <w:rsid w:val="00D36527"/>
    <w:rsid w:val="00D36624"/>
    <w:rsid w:val="00D36728"/>
    <w:rsid w:val="00D367A8"/>
    <w:rsid w:val="00D36850"/>
    <w:rsid w:val="00D36966"/>
    <w:rsid w:val="00D36BF8"/>
    <w:rsid w:val="00D36FD7"/>
    <w:rsid w:val="00D37054"/>
    <w:rsid w:val="00D370A8"/>
    <w:rsid w:val="00D3711D"/>
    <w:rsid w:val="00D37291"/>
    <w:rsid w:val="00D373C9"/>
    <w:rsid w:val="00D3753D"/>
    <w:rsid w:val="00D3755D"/>
    <w:rsid w:val="00D3766C"/>
    <w:rsid w:val="00D3769A"/>
    <w:rsid w:val="00D37952"/>
    <w:rsid w:val="00D37A50"/>
    <w:rsid w:val="00D37B42"/>
    <w:rsid w:val="00D37C14"/>
    <w:rsid w:val="00D37D16"/>
    <w:rsid w:val="00D37E8B"/>
    <w:rsid w:val="00D37F12"/>
    <w:rsid w:val="00D37F1C"/>
    <w:rsid w:val="00D40037"/>
    <w:rsid w:val="00D40072"/>
    <w:rsid w:val="00D40120"/>
    <w:rsid w:val="00D402CA"/>
    <w:rsid w:val="00D403D9"/>
    <w:rsid w:val="00D4069D"/>
    <w:rsid w:val="00D40771"/>
    <w:rsid w:val="00D407E4"/>
    <w:rsid w:val="00D40854"/>
    <w:rsid w:val="00D40939"/>
    <w:rsid w:val="00D40979"/>
    <w:rsid w:val="00D40A97"/>
    <w:rsid w:val="00D40AA3"/>
    <w:rsid w:val="00D40C06"/>
    <w:rsid w:val="00D40CAA"/>
    <w:rsid w:val="00D40CB8"/>
    <w:rsid w:val="00D40DD1"/>
    <w:rsid w:val="00D40E3E"/>
    <w:rsid w:val="00D40EA5"/>
    <w:rsid w:val="00D40F9F"/>
    <w:rsid w:val="00D410FF"/>
    <w:rsid w:val="00D411DA"/>
    <w:rsid w:val="00D413DD"/>
    <w:rsid w:val="00D41665"/>
    <w:rsid w:val="00D4167A"/>
    <w:rsid w:val="00D417A3"/>
    <w:rsid w:val="00D417C8"/>
    <w:rsid w:val="00D41964"/>
    <w:rsid w:val="00D41A19"/>
    <w:rsid w:val="00D41BB4"/>
    <w:rsid w:val="00D41CB2"/>
    <w:rsid w:val="00D41D1E"/>
    <w:rsid w:val="00D41DB5"/>
    <w:rsid w:val="00D41DD4"/>
    <w:rsid w:val="00D421B0"/>
    <w:rsid w:val="00D4236A"/>
    <w:rsid w:val="00D423B9"/>
    <w:rsid w:val="00D426F2"/>
    <w:rsid w:val="00D42849"/>
    <w:rsid w:val="00D42B9C"/>
    <w:rsid w:val="00D42F20"/>
    <w:rsid w:val="00D4328A"/>
    <w:rsid w:val="00D432CE"/>
    <w:rsid w:val="00D4345E"/>
    <w:rsid w:val="00D435F3"/>
    <w:rsid w:val="00D436A5"/>
    <w:rsid w:val="00D43707"/>
    <w:rsid w:val="00D437C3"/>
    <w:rsid w:val="00D4387D"/>
    <w:rsid w:val="00D439CF"/>
    <w:rsid w:val="00D43B13"/>
    <w:rsid w:val="00D43BE4"/>
    <w:rsid w:val="00D43E19"/>
    <w:rsid w:val="00D43E2F"/>
    <w:rsid w:val="00D44103"/>
    <w:rsid w:val="00D44111"/>
    <w:rsid w:val="00D44123"/>
    <w:rsid w:val="00D44181"/>
    <w:rsid w:val="00D44256"/>
    <w:rsid w:val="00D44616"/>
    <w:rsid w:val="00D44A29"/>
    <w:rsid w:val="00D44A3A"/>
    <w:rsid w:val="00D44B15"/>
    <w:rsid w:val="00D44B25"/>
    <w:rsid w:val="00D44B9C"/>
    <w:rsid w:val="00D44D57"/>
    <w:rsid w:val="00D44F10"/>
    <w:rsid w:val="00D4517A"/>
    <w:rsid w:val="00D4521C"/>
    <w:rsid w:val="00D45357"/>
    <w:rsid w:val="00D453F0"/>
    <w:rsid w:val="00D45436"/>
    <w:rsid w:val="00D456A1"/>
    <w:rsid w:val="00D45738"/>
    <w:rsid w:val="00D457D2"/>
    <w:rsid w:val="00D45AD8"/>
    <w:rsid w:val="00D45CE5"/>
    <w:rsid w:val="00D45E07"/>
    <w:rsid w:val="00D45F46"/>
    <w:rsid w:val="00D45F68"/>
    <w:rsid w:val="00D45F7A"/>
    <w:rsid w:val="00D45F8D"/>
    <w:rsid w:val="00D45FFF"/>
    <w:rsid w:val="00D46018"/>
    <w:rsid w:val="00D460D8"/>
    <w:rsid w:val="00D46372"/>
    <w:rsid w:val="00D46387"/>
    <w:rsid w:val="00D46701"/>
    <w:rsid w:val="00D46744"/>
    <w:rsid w:val="00D467C0"/>
    <w:rsid w:val="00D467DD"/>
    <w:rsid w:val="00D4686F"/>
    <w:rsid w:val="00D469EA"/>
    <w:rsid w:val="00D46BDA"/>
    <w:rsid w:val="00D46C4B"/>
    <w:rsid w:val="00D46CCF"/>
    <w:rsid w:val="00D46D29"/>
    <w:rsid w:val="00D46EB3"/>
    <w:rsid w:val="00D47164"/>
    <w:rsid w:val="00D4733E"/>
    <w:rsid w:val="00D47502"/>
    <w:rsid w:val="00D4752F"/>
    <w:rsid w:val="00D47A35"/>
    <w:rsid w:val="00D47B99"/>
    <w:rsid w:val="00D47C71"/>
    <w:rsid w:val="00D47D04"/>
    <w:rsid w:val="00D50122"/>
    <w:rsid w:val="00D502AA"/>
    <w:rsid w:val="00D503F9"/>
    <w:rsid w:val="00D5063C"/>
    <w:rsid w:val="00D506D0"/>
    <w:rsid w:val="00D507D0"/>
    <w:rsid w:val="00D50A97"/>
    <w:rsid w:val="00D50BF3"/>
    <w:rsid w:val="00D50C33"/>
    <w:rsid w:val="00D50C6E"/>
    <w:rsid w:val="00D50D40"/>
    <w:rsid w:val="00D50D68"/>
    <w:rsid w:val="00D50FBE"/>
    <w:rsid w:val="00D5103B"/>
    <w:rsid w:val="00D510E5"/>
    <w:rsid w:val="00D51117"/>
    <w:rsid w:val="00D51190"/>
    <w:rsid w:val="00D51455"/>
    <w:rsid w:val="00D514E1"/>
    <w:rsid w:val="00D51651"/>
    <w:rsid w:val="00D51742"/>
    <w:rsid w:val="00D5178D"/>
    <w:rsid w:val="00D517B6"/>
    <w:rsid w:val="00D517E6"/>
    <w:rsid w:val="00D51C93"/>
    <w:rsid w:val="00D51DA2"/>
    <w:rsid w:val="00D51DD2"/>
    <w:rsid w:val="00D51DEB"/>
    <w:rsid w:val="00D52006"/>
    <w:rsid w:val="00D52028"/>
    <w:rsid w:val="00D522A7"/>
    <w:rsid w:val="00D522C9"/>
    <w:rsid w:val="00D52361"/>
    <w:rsid w:val="00D52393"/>
    <w:rsid w:val="00D52518"/>
    <w:rsid w:val="00D5257D"/>
    <w:rsid w:val="00D52648"/>
    <w:rsid w:val="00D5267D"/>
    <w:rsid w:val="00D52787"/>
    <w:rsid w:val="00D52853"/>
    <w:rsid w:val="00D52965"/>
    <w:rsid w:val="00D52ABE"/>
    <w:rsid w:val="00D52AFB"/>
    <w:rsid w:val="00D52BD4"/>
    <w:rsid w:val="00D52BEB"/>
    <w:rsid w:val="00D52E1B"/>
    <w:rsid w:val="00D530A0"/>
    <w:rsid w:val="00D53202"/>
    <w:rsid w:val="00D5327D"/>
    <w:rsid w:val="00D53318"/>
    <w:rsid w:val="00D53588"/>
    <w:rsid w:val="00D535BF"/>
    <w:rsid w:val="00D535CB"/>
    <w:rsid w:val="00D53687"/>
    <w:rsid w:val="00D536CF"/>
    <w:rsid w:val="00D53DC3"/>
    <w:rsid w:val="00D53E86"/>
    <w:rsid w:val="00D53F95"/>
    <w:rsid w:val="00D540AF"/>
    <w:rsid w:val="00D54125"/>
    <w:rsid w:val="00D54211"/>
    <w:rsid w:val="00D542E0"/>
    <w:rsid w:val="00D543E1"/>
    <w:rsid w:val="00D54507"/>
    <w:rsid w:val="00D54516"/>
    <w:rsid w:val="00D54713"/>
    <w:rsid w:val="00D54749"/>
    <w:rsid w:val="00D5492D"/>
    <w:rsid w:val="00D54B2B"/>
    <w:rsid w:val="00D54BC4"/>
    <w:rsid w:val="00D54D11"/>
    <w:rsid w:val="00D54D92"/>
    <w:rsid w:val="00D54E2F"/>
    <w:rsid w:val="00D54E8F"/>
    <w:rsid w:val="00D54EB7"/>
    <w:rsid w:val="00D54EE8"/>
    <w:rsid w:val="00D552D6"/>
    <w:rsid w:val="00D552E6"/>
    <w:rsid w:val="00D553D0"/>
    <w:rsid w:val="00D553DE"/>
    <w:rsid w:val="00D55494"/>
    <w:rsid w:val="00D5555A"/>
    <w:rsid w:val="00D555BC"/>
    <w:rsid w:val="00D555F3"/>
    <w:rsid w:val="00D55803"/>
    <w:rsid w:val="00D55957"/>
    <w:rsid w:val="00D55D6D"/>
    <w:rsid w:val="00D55F15"/>
    <w:rsid w:val="00D55F3A"/>
    <w:rsid w:val="00D561FC"/>
    <w:rsid w:val="00D56671"/>
    <w:rsid w:val="00D56781"/>
    <w:rsid w:val="00D56805"/>
    <w:rsid w:val="00D56915"/>
    <w:rsid w:val="00D5692A"/>
    <w:rsid w:val="00D5699C"/>
    <w:rsid w:val="00D56FB6"/>
    <w:rsid w:val="00D570FC"/>
    <w:rsid w:val="00D57254"/>
    <w:rsid w:val="00D57293"/>
    <w:rsid w:val="00D572D2"/>
    <w:rsid w:val="00D573E1"/>
    <w:rsid w:val="00D57524"/>
    <w:rsid w:val="00D57566"/>
    <w:rsid w:val="00D57598"/>
    <w:rsid w:val="00D575D1"/>
    <w:rsid w:val="00D576BC"/>
    <w:rsid w:val="00D577B8"/>
    <w:rsid w:val="00D57898"/>
    <w:rsid w:val="00D57C03"/>
    <w:rsid w:val="00D57DD3"/>
    <w:rsid w:val="00D57E2C"/>
    <w:rsid w:val="00D57F4E"/>
    <w:rsid w:val="00D57FB7"/>
    <w:rsid w:val="00D60036"/>
    <w:rsid w:val="00D600C0"/>
    <w:rsid w:val="00D60508"/>
    <w:rsid w:val="00D60628"/>
    <w:rsid w:val="00D6067B"/>
    <w:rsid w:val="00D60692"/>
    <w:rsid w:val="00D609F8"/>
    <w:rsid w:val="00D60A18"/>
    <w:rsid w:val="00D60A5F"/>
    <w:rsid w:val="00D60B34"/>
    <w:rsid w:val="00D60C23"/>
    <w:rsid w:val="00D60DAB"/>
    <w:rsid w:val="00D60ED5"/>
    <w:rsid w:val="00D60FAF"/>
    <w:rsid w:val="00D611C7"/>
    <w:rsid w:val="00D612AA"/>
    <w:rsid w:val="00D612B3"/>
    <w:rsid w:val="00D613A2"/>
    <w:rsid w:val="00D61488"/>
    <w:rsid w:val="00D61575"/>
    <w:rsid w:val="00D6160D"/>
    <w:rsid w:val="00D6165C"/>
    <w:rsid w:val="00D616E4"/>
    <w:rsid w:val="00D6198E"/>
    <w:rsid w:val="00D61995"/>
    <w:rsid w:val="00D619ED"/>
    <w:rsid w:val="00D61A66"/>
    <w:rsid w:val="00D61BA7"/>
    <w:rsid w:val="00D61D86"/>
    <w:rsid w:val="00D61E9D"/>
    <w:rsid w:val="00D61EE3"/>
    <w:rsid w:val="00D61F0E"/>
    <w:rsid w:val="00D61F35"/>
    <w:rsid w:val="00D61F73"/>
    <w:rsid w:val="00D62061"/>
    <w:rsid w:val="00D6219B"/>
    <w:rsid w:val="00D622CC"/>
    <w:rsid w:val="00D623E2"/>
    <w:rsid w:val="00D62476"/>
    <w:rsid w:val="00D62569"/>
    <w:rsid w:val="00D626C5"/>
    <w:rsid w:val="00D627FA"/>
    <w:rsid w:val="00D6295F"/>
    <w:rsid w:val="00D62985"/>
    <w:rsid w:val="00D62A9E"/>
    <w:rsid w:val="00D62ADB"/>
    <w:rsid w:val="00D62DD9"/>
    <w:rsid w:val="00D62F2F"/>
    <w:rsid w:val="00D62F3C"/>
    <w:rsid w:val="00D6339B"/>
    <w:rsid w:val="00D633D4"/>
    <w:rsid w:val="00D636BA"/>
    <w:rsid w:val="00D63718"/>
    <w:rsid w:val="00D63734"/>
    <w:rsid w:val="00D637E6"/>
    <w:rsid w:val="00D6397E"/>
    <w:rsid w:val="00D63A55"/>
    <w:rsid w:val="00D63BF3"/>
    <w:rsid w:val="00D63C91"/>
    <w:rsid w:val="00D63CFD"/>
    <w:rsid w:val="00D63E95"/>
    <w:rsid w:val="00D63EC5"/>
    <w:rsid w:val="00D63EF9"/>
    <w:rsid w:val="00D63FE5"/>
    <w:rsid w:val="00D64108"/>
    <w:rsid w:val="00D6415D"/>
    <w:rsid w:val="00D641D5"/>
    <w:rsid w:val="00D64244"/>
    <w:rsid w:val="00D64493"/>
    <w:rsid w:val="00D644F0"/>
    <w:rsid w:val="00D645BB"/>
    <w:rsid w:val="00D6460C"/>
    <w:rsid w:val="00D64678"/>
    <w:rsid w:val="00D64683"/>
    <w:rsid w:val="00D64751"/>
    <w:rsid w:val="00D6489E"/>
    <w:rsid w:val="00D649C2"/>
    <w:rsid w:val="00D64A40"/>
    <w:rsid w:val="00D64A9B"/>
    <w:rsid w:val="00D64AA6"/>
    <w:rsid w:val="00D64F03"/>
    <w:rsid w:val="00D6506D"/>
    <w:rsid w:val="00D6511C"/>
    <w:rsid w:val="00D65405"/>
    <w:rsid w:val="00D654AF"/>
    <w:rsid w:val="00D65771"/>
    <w:rsid w:val="00D6581D"/>
    <w:rsid w:val="00D659A0"/>
    <w:rsid w:val="00D65BA7"/>
    <w:rsid w:val="00D66065"/>
    <w:rsid w:val="00D6616D"/>
    <w:rsid w:val="00D661F8"/>
    <w:rsid w:val="00D66394"/>
    <w:rsid w:val="00D66453"/>
    <w:rsid w:val="00D6652D"/>
    <w:rsid w:val="00D666F4"/>
    <w:rsid w:val="00D66760"/>
    <w:rsid w:val="00D66922"/>
    <w:rsid w:val="00D66953"/>
    <w:rsid w:val="00D6699C"/>
    <w:rsid w:val="00D66A67"/>
    <w:rsid w:val="00D66B7B"/>
    <w:rsid w:val="00D66BEB"/>
    <w:rsid w:val="00D66D61"/>
    <w:rsid w:val="00D67094"/>
    <w:rsid w:val="00D672A5"/>
    <w:rsid w:val="00D67310"/>
    <w:rsid w:val="00D6739A"/>
    <w:rsid w:val="00D673CD"/>
    <w:rsid w:val="00D673D4"/>
    <w:rsid w:val="00D674B2"/>
    <w:rsid w:val="00D67576"/>
    <w:rsid w:val="00D678A2"/>
    <w:rsid w:val="00D67B81"/>
    <w:rsid w:val="00D67D04"/>
    <w:rsid w:val="00D67EB2"/>
    <w:rsid w:val="00D67F08"/>
    <w:rsid w:val="00D67F79"/>
    <w:rsid w:val="00D67F95"/>
    <w:rsid w:val="00D67FCF"/>
    <w:rsid w:val="00D70230"/>
    <w:rsid w:val="00D70271"/>
    <w:rsid w:val="00D702AD"/>
    <w:rsid w:val="00D70660"/>
    <w:rsid w:val="00D706D3"/>
    <w:rsid w:val="00D707B6"/>
    <w:rsid w:val="00D7080E"/>
    <w:rsid w:val="00D70861"/>
    <w:rsid w:val="00D7092B"/>
    <w:rsid w:val="00D7092F"/>
    <w:rsid w:val="00D70D51"/>
    <w:rsid w:val="00D70DD8"/>
    <w:rsid w:val="00D710C6"/>
    <w:rsid w:val="00D711CC"/>
    <w:rsid w:val="00D7122E"/>
    <w:rsid w:val="00D712C4"/>
    <w:rsid w:val="00D712EC"/>
    <w:rsid w:val="00D7132B"/>
    <w:rsid w:val="00D71367"/>
    <w:rsid w:val="00D713D1"/>
    <w:rsid w:val="00D7155D"/>
    <w:rsid w:val="00D715A6"/>
    <w:rsid w:val="00D717ED"/>
    <w:rsid w:val="00D717F8"/>
    <w:rsid w:val="00D71820"/>
    <w:rsid w:val="00D719A7"/>
    <w:rsid w:val="00D71C0F"/>
    <w:rsid w:val="00D71CB9"/>
    <w:rsid w:val="00D71D15"/>
    <w:rsid w:val="00D72066"/>
    <w:rsid w:val="00D720A9"/>
    <w:rsid w:val="00D72135"/>
    <w:rsid w:val="00D721EF"/>
    <w:rsid w:val="00D72402"/>
    <w:rsid w:val="00D72578"/>
    <w:rsid w:val="00D72661"/>
    <w:rsid w:val="00D7272F"/>
    <w:rsid w:val="00D7273D"/>
    <w:rsid w:val="00D7285A"/>
    <w:rsid w:val="00D728D9"/>
    <w:rsid w:val="00D72935"/>
    <w:rsid w:val="00D72AC6"/>
    <w:rsid w:val="00D72B7B"/>
    <w:rsid w:val="00D72B9E"/>
    <w:rsid w:val="00D72D0C"/>
    <w:rsid w:val="00D72DA5"/>
    <w:rsid w:val="00D72F4C"/>
    <w:rsid w:val="00D73380"/>
    <w:rsid w:val="00D73463"/>
    <w:rsid w:val="00D734BB"/>
    <w:rsid w:val="00D734E8"/>
    <w:rsid w:val="00D734EC"/>
    <w:rsid w:val="00D738D6"/>
    <w:rsid w:val="00D73935"/>
    <w:rsid w:val="00D739BC"/>
    <w:rsid w:val="00D73AD6"/>
    <w:rsid w:val="00D73B03"/>
    <w:rsid w:val="00D73B43"/>
    <w:rsid w:val="00D73C60"/>
    <w:rsid w:val="00D73CCA"/>
    <w:rsid w:val="00D740FE"/>
    <w:rsid w:val="00D7411E"/>
    <w:rsid w:val="00D74181"/>
    <w:rsid w:val="00D741B4"/>
    <w:rsid w:val="00D74217"/>
    <w:rsid w:val="00D742BE"/>
    <w:rsid w:val="00D74663"/>
    <w:rsid w:val="00D74664"/>
    <w:rsid w:val="00D746B3"/>
    <w:rsid w:val="00D7476B"/>
    <w:rsid w:val="00D74787"/>
    <w:rsid w:val="00D7480A"/>
    <w:rsid w:val="00D74856"/>
    <w:rsid w:val="00D74A7B"/>
    <w:rsid w:val="00D74BEB"/>
    <w:rsid w:val="00D751B5"/>
    <w:rsid w:val="00D751C3"/>
    <w:rsid w:val="00D751FF"/>
    <w:rsid w:val="00D7522D"/>
    <w:rsid w:val="00D7538F"/>
    <w:rsid w:val="00D753CB"/>
    <w:rsid w:val="00D7544E"/>
    <w:rsid w:val="00D754A6"/>
    <w:rsid w:val="00D7552D"/>
    <w:rsid w:val="00D756B2"/>
    <w:rsid w:val="00D75874"/>
    <w:rsid w:val="00D758D7"/>
    <w:rsid w:val="00D7598E"/>
    <w:rsid w:val="00D75A1B"/>
    <w:rsid w:val="00D75A6E"/>
    <w:rsid w:val="00D75A89"/>
    <w:rsid w:val="00D75C9D"/>
    <w:rsid w:val="00D75CB8"/>
    <w:rsid w:val="00D76135"/>
    <w:rsid w:val="00D763FB"/>
    <w:rsid w:val="00D7668A"/>
    <w:rsid w:val="00D76697"/>
    <w:rsid w:val="00D768B7"/>
    <w:rsid w:val="00D76917"/>
    <w:rsid w:val="00D769DF"/>
    <w:rsid w:val="00D76BD2"/>
    <w:rsid w:val="00D76CBC"/>
    <w:rsid w:val="00D76CE7"/>
    <w:rsid w:val="00D76F89"/>
    <w:rsid w:val="00D76FBE"/>
    <w:rsid w:val="00D771F1"/>
    <w:rsid w:val="00D77217"/>
    <w:rsid w:val="00D772BF"/>
    <w:rsid w:val="00D77304"/>
    <w:rsid w:val="00D7752B"/>
    <w:rsid w:val="00D7752D"/>
    <w:rsid w:val="00D77642"/>
    <w:rsid w:val="00D77784"/>
    <w:rsid w:val="00D77924"/>
    <w:rsid w:val="00D779E8"/>
    <w:rsid w:val="00D77A0C"/>
    <w:rsid w:val="00D77AA0"/>
    <w:rsid w:val="00D77C2A"/>
    <w:rsid w:val="00D77D42"/>
    <w:rsid w:val="00D77FA4"/>
    <w:rsid w:val="00D800D1"/>
    <w:rsid w:val="00D80102"/>
    <w:rsid w:val="00D80179"/>
    <w:rsid w:val="00D80226"/>
    <w:rsid w:val="00D80279"/>
    <w:rsid w:val="00D806BD"/>
    <w:rsid w:val="00D806BE"/>
    <w:rsid w:val="00D8075D"/>
    <w:rsid w:val="00D8080D"/>
    <w:rsid w:val="00D809BD"/>
    <w:rsid w:val="00D80A91"/>
    <w:rsid w:val="00D80AC0"/>
    <w:rsid w:val="00D80C22"/>
    <w:rsid w:val="00D80D94"/>
    <w:rsid w:val="00D80F58"/>
    <w:rsid w:val="00D80F9A"/>
    <w:rsid w:val="00D811A1"/>
    <w:rsid w:val="00D812CE"/>
    <w:rsid w:val="00D812E4"/>
    <w:rsid w:val="00D81465"/>
    <w:rsid w:val="00D8146C"/>
    <w:rsid w:val="00D8148B"/>
    <w:rsid w:val="00D8159D"/>
    <w:rsid w:val="00D81611"/>
    <w:rsid w:val="00D81686"/>
    <w:rsid w:val="00D818F0"/>
    <w:rsid w:val="00D81961"/>
    <w:rsid w:val="00D819F8"/>
    <w:rsid w:val="00D81A3B"/>
    <w:rsid w:val="00D81A72"/>
    <w:rsid w:val="00D81CE0"/>
    <w:rsid w:val="00D81E17"/>
    <w:rsid w:val="00D81E44"/>
    <w:rsid w:val="00D81F35"/>
    <w:rsid w:val="00D82367"/>
    <w:rsid w:val="00D82369"/>
    <w:rsid w:val="00D8245D"/>
    <w:rsid w:val="00D82464"/>
    <w:rsid w:val="00D82578"/>
    <w:rsid w:val="00D825AF"/>
    <w:rsid w:val="00D827D4"/>
    <w:rsid w:val="00D829FD"/>
    <w:rsid w:val="00D82A16"/>
    <w:rsid w:val="00D82AA3"/>
    <w:rsid w:val="00D82C29"/>
    <w:rsid w:val="00D82E3B"/>
    <w:rsid w:val="00D82FD7"/>
    <w:rsid w:val="00D830C5"/>
    <w:rsid w:val="00D837C4"/>
    <w:rsid w:val="00D839E5"/>
    <w:rsid w:val="00D83B66"/>
    <w:rsid w:val="00D83BA2"/>
    <w:rsid w:val="00D83C12"/>
    <w:rsid w:val="00D83C13"/>
    <w:rsid w:val="00D83C66"/>
    <w:rsid w:val="00D83CC7"/>
    <w:rsid w:val="00D83CFE"/>
    <w:rsid w:val="00D83D40"/>
    <w:rsid w:val="00D83F47"/>
    <w:rsid w:val="00D841F9"/>
    <w:rsid w:val="00D842D6"/>
    <w:rsid w:val="00D8435C"/>
    <w:rsid w:val="00D844F5"/>
    <w:rsid w:val="00D845DB"/>
    <w:rsid w:val="00D84602"/>
    <w:rsid w:val="00D8468A"/>
    <w:rsid w:val="00D84B08"/>
    <w:rsid w:val="00D84C35"/>
    <w:rsid w:val="00D84CA8"/>
    <w:rsid w:val="00D84E21"/>
    <w:rsid w:val="00D84F25"/>
    <w:rsid w:val="00D84FF5"/>
    <w:rsid w:val="00D8504B"/>
    <w:rsid w:val="00D853E5"/>
    <w:rsid w:val="00D853FD"/>
    <w:rsid w:val="00D854CA"/>
    <w:rsid w:val="00D854FD"/>
    <w:rsid w:val="00D855B0"/>
    <w:rsid w:val="00D8571A"/>
    <w:rsid w:val="00D85746"/>
    <w:rsid w:val="00D85882"/>
    <w:rsid w:val="00D85910"/>
    <w:rsid w:val="00D85AB1"/>
    <w:rsid w:val="00D85ABF"/>
    <w:rsid w:val="00D85C1E"/>
    <w:rsid w:val="00D85CA3"/>
    <w:rsid w:val="00D85E5E"/>
    <w:rsid w:val="00D86426"/>
    <w:rsid w:val="00D86670"/>
    <w:rsid w:val="00D866BC"/>
    <w:rsid w:val="00D867AF"/>
    <w:rsid w:val="00D867B7"/>
    <w:rsid w:val="00D868A0"/>
    <w:rsid w:val="00D86935"/>
    <w:rsid w:val="00D86A4D"/>
    <w:rsid w:val="00D86B92"/>
    <w:rsid w:val="00D86BEA"/>
    <w:rsid w:val="00D86C69"/>
    <w:rsid w:val="00D86F1C"/>
    <w:rsid w:val="00D86F23"/>
    <w:rsid w:val="00D86FA5"/>
    <w:rsid w:val="00D86FBE"/>
    <w:rsid w:val="00D87004"/>
    <w:rsid w:val="00D87058"/>
    <w:rsid w:val="00D870D5"/>
    <w:rsid w:val="00D87127"/>
    <w:rsid w:val="00D8716A"/>
    <w:rsid w:val="00D87314"/>
    <w:rsid w:val="00D8739E"/>
    <w:rsid w:val="00D87413"/>
    <w:rsid w:val="00D8757F"/>
    <w:rsid w:val="00D87773"/>
    <w:rsid w:val="00D879B0"/>
    <w:rsid w:val="00D87C58"/>
    <w:rsid w:val="00D900C6"/>
    <w:rsid w:val="00D90198"/>
    <w:rsid w:val="00D902FB"/>
    <w:rsid w:val="00D9034E"/>
    <w:rsid w:val="00D903C3"/>
    <w:rsid w:val="00D905A6"/>
    <w:rsid w:val="00D905DE"/>
    <w:rsid w:val="00D90741"/>
    <w:rsid w:val="00D90773"/>
    <w:rsid w:val="00D90917"/>
    <w:rsid w:val="00D90A4A"/>
    <w:rsid w:val="00D90F9E"/>
    <w:rsid w:val="00D9102E"/>
    <w:rsid w:val="00D9139F"/>
    <w:rsid w:val="00D913EB"/>
    <w:rsid w:val="00D914AE"/>
    <w:rsid w:val="00D914C1"/>
    <w:rsid w:val="00D9159A"/>
    <w:rsid w:val="00D919AC"/>
    <w:rsid w:val="00D91B3C"/>
    <w:rsid w:val="00D91B6D"/>
    <w:rsid w:val="00D91CA5"/>
    <w:rsid w:val="00D91D12"/>
    <w:rsid w:val="00D91DB7"/>
    <w:rsid w:val="00D91F1D"/>
    <w:rsid w:val="00D92026"/>
    <w:rsid w:val="00D92071"/>
    <w:rsid w:val="00D9214E"/>
    <w:rsid w:val="00D92167"/>
    <w:rsid w:val="00D92313"/>
    <w:rsid w:val="00D9248C"/>
    <w:rsid w:val="00D924E9"/>
    <w:rsid w:val="00D92501"/>
    <w:rsid w:val="00D92614"/>
    <w:rsid w:val="00D9271E"/>
    <w:rsid w:val="00D927EB"/>
    <w:rsid w:val="00D92811"/>
    <w:rsid w:val="00D92B20"/>
    <w:rsid w:val="00D92C09"/>
    <w:rsid w:val="00D92CF0"/>
    <w:rsid w:val="00D92D10"/>
    <w:rsid w:val="00D92E6A"/>
    <w:rsid w:val="00D92FF1"/>
    <w:rsid w:val="00D9301D"/>
    <w:rsid w:val="00D93408"/>
    <w:rsid w:val="00D93493"/>
    <w:rsid w:val="00D9362C"/>
    <w:rsid w:val="00D938CA"/>
    <w:rsid w:val="00D93917"/>
    <w:rsid w:val="00D939A3"/>
    <w:rsid w:val="00D93AAD"/>
    <w:rsid w:val="00D93AD3"/>
    <w:rsid w:val="00D93ADD"/>
    <w:rsid w:val="00D93BE8"/>
    <w:rsid w:val="00D93CC3"/>
    <w:rsid w:val="00D93CE4"/>
    <w:rsid w:val="00D93D1E"/>
    <w:rsid w:val="00D93D6C"/>
    <w:rsid w:val="00D93DE0"/>
    <w:rsid w:val="00D93E19"/>
    <w:rsid w:val="00D93EAC"/>
    <w:rsid w:val="00D93ECA"/>
    <w:rsid w:val="00D93F0A"/>
    <w:rsid w:val="00D93FB3"/>
    <w:rsid w:val="00D94080"/>
    <w:rsid w:val="00D94247"/>
    <w:rsid w:val="00D9439F"/>
    <w:rsid w:val="00D944E3"/>
    <w:rsid w:val="00D945B9"/>
    <w:rsid w:val="00D94621"/>
    <w:rsid w:val="00D947E7"/>
    <w:rsid w:val="00D94810"/>
    <w:rsid w:val="00D94A6B"/>
    <w:rsid w:val="00D94D2C"/>
    <w:rsid w:val="00D94DB3"/>
    <w:rsid w:val="00D94E75"/>
    <w:rsid w:val="00D94F41"/>
    <w:rsid w:val="00D950B0"/>
    <w:rsid w:val="00D95163"/>
    <w:rsid w:val="00D951BA"/>
    <w:rsid w:val="00D9529B"/>
    <w:rsid w:val="00D9534D"/>
    <w:rsid w:val="00D953DF"/>
    <w:rsid w:val="00D95521"/>
    <w:rsid w:val="00D95641"/>
    <w:rsid w:val="00D95866"/>
    <w:rsid w:val="00D958B1"/>
    <w:rsid w:val="00D9590A"/>
    <w:rsid w:val="00D959BA"/>
    <w:rsid w:val="00D95BF7"/>
    <w:rsid w:val="00D95DF9"/>
    <w:rsid w:val="00D95E3C"/>
    <w:rsid w:val="00D95EAE"/>
    <w:rsid w:val="00D95ED7"/>
    <w:rsid w:val="00D960CC"/>
    <w:rsid w:val="00D960D4"/>
    <w:rsid w:val="00D960E7"/>
    <w:rsid w:val="00D96110"/>
    <w:rsid w:val="00D96219"/>
    <w:rsid w:val="00D96273"/>
    <w:rsid w:val="00D96410"/>
    <w:rsid w:val="00D9664C"/>
    <w:rsid w:val="00D9666F"/>
    <w:rsid w:val="00D96749"/>
    <w:rsid w:val="00D96759"/>
    <w:rsid w:val="00D967D3"/>
    <w:rsid w:val="00D967DF"/>
    <w:rsid w:val="00D96892"/>
    <w:rsid w:val="00D968BC"/>
    <w:rsid w:val="00D968D6"/>
    <w:rsid w:val="00D96977"/>
    <w:rsid w:val="00D969E4"/>
    <w:rsid w:val="00D96BC2"/>
    <w:rsid w:val="00D96C8F"/>
    <w:rsid w:val="00D96CE5"/>
    <w:rsid w:val="00D96F4D"/>
    <w:rsid w:val="00D9700E"/>
    <w:rsid w:val="00D9708F"/>
    <w:rsid w:val="00D9720E"/>
    <w:rsid w:val="00D97249"/>
    <w:rsid w:val="00D97324"/>
    <w:rsid w:val="00D97372"/>
    <w:rsid w:val="00D9738C"/>
    <w:rsid w:val="00D975F8"/>
    <w:rsid w:val="00D9796F"/>
    <w:rsid w:val="00D979E2"/>
    <w:rsid w:val="00D979FC"/>
    <w:rsid w:val="00D97AA7"/>
    <w:rsid w:val="00DA006B"/>
    <w:rsid w:val="00DA0386"/>
    <w:rsid w:val="00DA053E"/>
    <w:rsid w:val="00DA05FE"/>
    <w:rsid w:val="00DA061B"/>
    <w:rsid w:val="00DA083A"/>
    <w:rsid w:val="00DA08B8"/>
    <w:rsid w:val="00DA0B32"/>
    <w:rsid w:val="00DA0B69"/>
    <w:rsid w:val="00DA0B8E"/>
    <w:rsid w:val="00DA0C4A"/>
    <w:rsid w:val="00DA0D4B"/>
    <w:rsid w:val="00DA0FD7"/>
    <w:rsid w:val="00DA10E7"/>
    <w:rsid w:val="00DA11B1"/>
    <w:rsid w:val="00DA11E4"/>
    <w:rsid w:val="00DA1296"/>
    <w:rsid w:val="00DA13CB"/>
    <w:rsid w:val="00DA14EC"/>
    <w:rsid w:val="00DA1516"/>
    <w:rsid w:val="00DA1530"/>
    <w:rsid w:val="00DA1593"/>
    <w:rsid w:val="00DA15BE"/>
    <w:rsid w:val="00DA17CD"/>
    <w:rsid w:val="00DA1825"/>
    <w:rsid w:val="00DA19DC"/>
    <w:rsid w:val="00DA1BB7"/>
    <w:rsid w:val="00DA1CCE"/>
    <w:rsid w:val="00DA1D48"/>
    <w:rsid w:val="00DA1F90"/>
    <w:rsid w:val="00DA1F98"/>
    <w:rsid w:val="00DA214B"/>
    <w:rsid w:val="00DA2265"/>
    <w:rsid w:val="00DA24A9"/>
    <w:rsid w:val="00DA2528"/>
    <w:rsid w:val="00DA2719"/>
    <w:rsid w:val="00DA2790"/>
    <w:rsid w:val="00DA2997"/>
    <w:rsid w:val="00DA2B1B"/>
    <w:rsid w:val="00DA2B83"/>
    <w:rsid w:val="00DA2D00"/>
    <w:rsid w:val="00DA2FF3"/>
    <w:rsid w:val="00DA3082"/>
    <w:rsid w:val="00DA3117"/>
    <w:rsid w:val="00DA3125"/>
    <w:rsid w:val="00DA315E"/>
    <w:rsid w:val="00DA3213"/>
    <w:rsid w:val="00DA3404"/>
    <w:rsid w:val="00DA3602"/>
    <w:rsid w:val="00DA3632"/>
    <w:rsid w:val="00DA37A2"/>
    <w:rsid w:val="00DA3816"/>
    <w:rsid w:val="00DA3896"/>
    <w:rsid w:val="00DA3AAD"/>
    <w:rsid w:val="00DA3C46"/>
    <w:rsid w:val="00DA3E1E"/>
    <w:rsid w:val="00DA3ED6"/>
    <w:rsid w:val="00DA40C9"/>
    <w:rsid w:val="00DA4226"/>
    <w:rsid w:val="00DA42D1"/>
    <w:rsid w:val="00DA42ED"/>
    <w:rsid w:val="00DA4602"/>
    <w:rsid w:val="00DA465A"/>
    <w:rsid w:val="00DA473A"/>
    <w:rsid w:val="00DA4781"/>
    <w:rsid w:val="00DA4CE8"/>
    <w:rsid w:val="00DA4DE2"/>
    <w:rsid w:val="00DA4E7F"/>
    <w:rsid w:val="00DA4F0C"/>
    <w:rsid w:val="00DA4F30"/>
    <w:rsid w:val="00DA50F2"/>
    <w:rsid w:val="00DA5221"/>
    <w:rsid w:val="00DA5303"/>
    <w:rsid w:val="00DA55B4"/>
    <w:rsid w:val="00DA5601"/>
    <w:rsid w:val="00DA56DD"/>
    <w:rsid w:val="00DA57CB"/>
    <w:rsid w:val="00DA5831"/>
    <w:rsid w:val="00DA5A0F"/>
    <w:rsid w:val="00DA5AF8"/>
    <w:rsid w:val="00DA5BA9"/>
    <w:rsid w:val="00DA5E67"/>
    <w:rsid w:val="00DA5E84"/>
    <w:rsid w:val="00DA5F0D"/>
    <w:rsid w:val="00DA6065"/>
    <w:rsid w:val="00DA6068"/>
    <w:rsid w:val="00DA614C"/>
    <w:rsid w:val="00DA61FA"/>
    <w:rsid w:val="00DA64DD"/>
    <w:rsid w:val="00DA64F8"/>
    <w:rsid w:val="00DA6617"/>
    <w:rsid w:val="00DA6676"/>
    <w:rsid w:val="00DA679E"/>
    <w:rsid w:val="00DA684C"/>
    <w:rsid w:val="00DA6976"/>
    <w:rsid w:val="00DA6A76"/>
    <w:rsid w:val="00DA6CBD"/>
    <w:rsid w:val="00DA6F96"/>
    <w:rsid w:val="00DA6FCC"/>
    <w:rsid w:val="00DA708E"/>
    <w:rsid w:val="00DA70CC"/>
    <w:rsid w:val="00DA710C"/>
    <w:rsid w:val="00DA7291"/>
    <w:rsid w:val="00DA7397"/>
    <w:rsid w:val="00DA75FF"/>
    <w:rsid w:val="00DA76C7"/>
    <w:rsid w:val="00DA773E"/>
    <w:rsid w:val="00DA7828"/>
    <w:rsid w:val="00DA79B5"/>
    <w:rsid w:val="00DA7B6D"/>
    <w:rsid w:val="00DA7CF8"/>
    <w:rsid w:val="00DA7F30"/>
    <w:rsid w:val="00DB00A7"/>
    <w:rsid w:val="00DB01BA"/>
    <w:rsid w:val="00DB0287"/>
    <w:rsid w:val="00DB02DD"/>
    <w:rsid w:val="00DB0306"/>
    <w:rsid w:val="00DB06D1"/>
    <w:rsid w:val="00DB070D"/>
    <w:rsid w:val="00DB0713"/>
    <w:rsid w:val="00DB08D2"/>
    <w:rsid w:val="00DB0BD1"/>
    <w:rsid w:val="00DB0D5C"/>
    <w:rsid w:val="00DB0DD2"/>
    <w:rsid w:val="00DB0E66"/>
    <w:rsid w:val="00DB1123"/>
    <w:rsid w:val="00DB1183"/>
    <w:rsid w:val="00DB1272"/>
    <w:rsid w:val="00DB127A"/>
    <w:rsid w:val="00DB16F0"/>
    <w:rsid w:val="00DB17B5"/>
    <w:rsid w:val="00DB17B8"/>
    <w:rsid w:val="00DB19C8"/>
    <w:rsid w:val="00DB1A7E"/>
    <w:rsid w:val="00DB1C5D"/>
    <w:rsid w:val="00DB1CA3"/>
    <w:rsid w:val="00DB1D0D"/>
    <w:rsid w:val="00DB1E6F"/>
    <w:rsid w:val="00DB1F3B"/>
    <w:rsid w:val="00DB20ED"/>
    <w:rsid w:val="00DB22A4"/>
    <w:rsid w:val="00DB2839"/>
    <w:rsid w:val="00DB28B5"/>
    <w:rsid w:val="00DB293A"/>
    <w:rsid w:val="00DB2948"/>
    <w:rsid w:val="00DB2A85"/>
    <w:rsid w:val="00DB2B7D"/>
    <w:rsid w:val="00DB2CED"/>
    <w:rsid w:val="00DB2DC6"/>
    <w:rsid w:val="00DB2DF6"/>
    <w:rsid w:val="00DB2F62"/>
    <w:rsid w:val="00DB2F6C"/>
    <w:rsid w:val="00DB3323"/>
    <w:rsid w:val="00DB339B"/>
    <w:rsid w:val="00DB33A8"/>
    <w:rsid w:val="00DB347E"/>
    <w:rsid w:val="00DB34CB"/>
    <w:rsid w:val="00DB353C"/>
    <w:rsid w:val="00DB3650"/>
    <w:rsid w:val="00DB38A3"/>
    <w:rsid w:val="00DB3906"/>
    <w:rsid w:val="00DB3907"/>
    <w:rsid w:val="00DB394B"/>
    <w:rsid w:val="00DB39A5"/>
    <w:rsid w:val="00DB3A64"/>
    <w:rsid w:val="00DB3B86"/>
    <w:rsid w:val="00DB3BD0"/>
    <w:rsid w:val="00DB3BD2"/>
    <w:rsid w:val="00DB405C"/>
    <w:rsid w:val="00DB4207"/>
    <w:rsid w:val="00DB451D"/>
    <w:rsid w:val="00DB45C9"/>
    <w:rsid w:val="00DB46FA"/>
    <w:rsid w:val="00DB475A"/>
    <w:rsid w:val="00DB47AC"/>
    <w:rsid w:val="00DB47C9"/>
    <w:rsid w:val="00DB4A49"/>
    <w:rsid w:val="00DB4BAF"/>
    <w:rsid w:val="00DB4C4D"/>
    <w:rsid w:val="00DB4DC0"/>
    <w:rsid w:val="00DB4E76"/>
    <w:rsid w:val="00DB5146"/>
    <w:rsid w:val="00DB51CC"/>
    <w:rsid w:val="00DB51ED"/>
    <w:rsid w:val="00DB5379"/>
    <w:rsid w:val="00DB53E8"/>
    <w:rsid w:val="00DB53EE"/>
    <w:rsid w:val="00DB5544"/>
    <w:rsid w:val="00DB5749"/>
    <w:rsid w:val="00DB57D8"/>
    <w:rsid w:val="00DB57FB"/>
    <w:rsid w:val="00DB5AC7"/>
    <w:rsid w:val="00DB5ACE"/>
    <w:rsid w:val="00DB5B72"/>
    <w:rsid w:val="00DB5C2A"/>
    <w:rsid w:val="00DB5C61"/>
    <w:rsid w:val="00DB5CFA"/>
    <w:rsid w:val="00DB5DEA"/>
    <w:rsid w:val="00DB5F55"/>
    <w:rsid w:val="00DB5F9C"/>
    <w:rsid w:val="00DB62A5"/>
    <w:rsid w:val="00DB649F"/>
    <w:rsid w:val="00DB6654"/>
    <w:rsid w:val="00DB669B"/>
    <w:rsid w:val="00DB670E"/>
    <w:rsid w:val="00DB675E"/>
    <w:rsid w:val="00DB67BC"/>
    <w:rsid w:val="00DB6885"/>
    <w:rsid w:val="00DB6EF6"/>
    <w:rsid w:val="00DB6F63"/>
    <w:rsid w:val="00DB6FAE"/>
    <w:rsid w:val="00DB70BB"/>
    <w:rsid w:val="00DB718C"/>
    <w:rsid w:val="00DB71A0"/>
    <w:rsid w:val="00DB71D3"/>
    <w:rsid w:val="00DB755B"/>
    <w:rsid w:val="00DB7576"/>
    <w:rsid w:val="00DB7626"/>
    <w:rsid w:val="00DB76F9"/>
    <w:rsid w:val="00DB78D7"/>
    <w:rsid w:val="00DB7971"/>
    <w:rsid w:val="00DB7985"/>
    <w:rsid w:val="00DB7A13"/>
    <w:rsid w:val="00DB7A27"/>
    <w:rsid w:val="00DB7A95"/>
    <w:rsid w:val="00DB7AF2"/>
    <w:rsid w:val="00DB7C00"/>
    <w:rsid w:val="00DB7C13"/>
    <w:rsid w:val="00DB7C76"/>
    <w:rsid w:val="00DC0177"/>
    <w:rsid w:val="00DC0197"/>
    <w:rsid w:val="00DC021F"/>
    <w:rsid w:val="00DC02D3"/>
    <w:rsid w:val="00DC035B"/>
    <w:rsid w:val="00DC04CC"/>
    <w:rsid w:val="00DC04D7"/>
    <w:rsid w:val="00DC061C"/>
    <w:rsid w:val="00DC06DB"/>
    <w:rsid w:val="00DC0A4B"/>
    <w:rsid w:val="00DC0A56"/>
    <w:rsid w:val="00DC0A76"/>
    <w:rsid w:val="00DC0ABE"/>
    <w:rsid w:val="00DC0B89"/>
    <w:rsid w:val="00DC0D7C"/>
    <w:rsid w:val="00DC101D"/>
    <w:rsid w:val="00DC119B"/>
    <w:rsid w:val="00DC12EF"/>
    <w:rsid w:val="00DC1333"/>
    <w:rsid w:val="00DC13E4"/>
    <w:rsid w:val="00DC1575"/>
    <w:rsid w:val="00DC1613"/>
    <w:rsid w:val="00DC162A"/>
    <w:rsid w:val="00DC164F"/>
    <w:rsid w:val="00DC17DD"/>
    <w:rsid w:val="00DC17EE"/>
    <w:rsid w:val="00DC1878"/>
    <w:rsid w:val="00DC18A0"/>
    <w:rsid w:val="00DC1906"/>
    <w:rsid w:val="00DC1A48"/>
    <w:rsid w:val="00DC1B98"/>
    <w:rsid w:val="00DC1BD0"/>
    <w:rsid w:val="00DC1CB7"/>
    <w:rsid w:val="00DC1D6A"/>
    <w:rsid w:val="00DC1D8D"/>
    <w:rsid w:val="00DC1F3A"/>
    <w:rsid w:val="00DC2188"/>
    <w:rsid w:val="00DC219D"/>
    <w:rsid w:val="00DC2304"/>
    <w:rsid w:val="00DC239D"/>
    <w:rsid w:val="00DC24DB"/>
    <w:rsid w:val="00DC25E6"/>
    <w:rsid w:val="00DC260D"/>
    <w:rsid w:val="00DC27AE"/>
    <w:rsid w:val="00DC2818"/>
    <w:rsid w:val="00DC299D"/>
    <w:rsid w:val="00DC2A37"/>
    <w:rsid w:val="00DC2A80"/>
    <w:rsid w:val="00DC2AB7"/>
    <w:rsid w:val="00DC2E57"/>
    <w:rsid w:val="00DC2E91"/>
    <w:rsid w:val="00DC2F90"/>
    <w:rsid w:val="00DC3125"/>
    <w:rsid w:val="00DC316B"/>
    <w:rsid w:val="00DC31AF"/>
    <w:rsid w:val="00DC32BD"/>
    <w:rsid w:val="00DC3491"/>
    <w:rsid w:val="00DC353C"/>
    <w:rsid w:val="00DC3578"/>
    <w:rsid w:val="00DC3663"/>
    <w:rsid w:val="00DC36BB"/>
    <w:rsid w:val="00DC370E"/>
    <w:rsid w:val="00DC37D6"/>
    <w:rsid w:val="00DC381F"/>
    <w:rsid w:val="00DC3828"/>
    <w:rsid w:val="00DC390A"/>
    <w:rsid w:val="00DC393F"/>
    <w:rsid w:val="00DC39E9"/>
    <w:rsid w:val="00DC3A24"/>
    <w:rsid w:val="00DC3AA4"/>
    <w:rsid w:val="00DC3F9F"/>
    <w:rsid w:val="00DC404B"/>
    <w:rsid w:val="00DC423E"/>
    <w:rsid w:val="00DC46F6"/>
    <w:rsid w:val="00DC4718"/>
    <w:rsid w:val="00DC4755"/>
    <w:rsid w:val="00DC4762"/>
    <w:rsid w:val="00DC47D7"/>
    <w:rsid w:val="00DC492E"/>
    <w:rsid w:val="00DC4A29"/>
    <w:rsid w:val="00DC4A64"/>
    <w:rsid w:val="00DC4BE0"/>
    <w:rsid w:val="00DC4C71"/>
    <w:rsid w:val="00DC4D9F"/>
    <w:rsid w:val="00DC4E8D"/>
    <w:rsid w:val="00DC4F5D"/>
    <w:rsid w:val="00DC5105"/>
    <w:rsid w:val="00DC512D"/>
    <w:rsid w:val="00DC5232"/>
    <w:rsid w:val="00DC5659"/>
    <w:rsid w:val="00DC574C"/>
    <w:rsid w:val="00DC58E0"/>
    <w:rsid w:val="00DC5A7A"/>
    <w:rsid w:val="00DC5E0A"/>
    <w:rsid w:val="00DC5E90"/>
    <w:rsid w:val="00DC5EC0"/>
    <w:rsid w:val="00DC5F63"/>
    <w:rsid w:val="00DC6113"/>
    <w:rsid w:val="00DC6156"/>
    <w:rsid w:val="00DC626C"/>
    <w:rsid w:val="00DC6550"/>
    <w:rsid w:val="00DC68E1"/>
    <w:rsid w:val="00DC68E2"/>
    <w:rsid w:val="00DC6B6C"/>
    <w:rsid w:val="00DC6BCF"/>
    <w:rsid w:val="00DC6CFB"/>
    <w:rsid w:val="00DC6D96"/>
    <w:rsid w:val="00DC6E3D"/>
    <w:rsid w:val="00DC6EE2"/>
    <w:rsid w:val="00DC6FA6"/>
    <w:rsid w:val="00DC7234"/>
    <w:rsid w:val="00DC7276"/>
    <w:rsid w:val="00DC727E"/>
    <w:rsid w:val="00DC7432"/>
    <w:rsid w:val="00DC748A"/>
    <w:rsid w:val="00DC74C5"/>
    <w:rsid w:val="00DC750E"/>
    <w:rsid w:val="00DC7545"/>
    <w:rsid w:val="00DC7640"/>
    <w:rsid w:val="00DC76D5"/>
    <w:rsid w:val="00DC7793"/>
    <w:rsid w:val="00DC7A87"/>
    <w:rsid w:val="00DC7AE0"/>
    <w:rsid w:val="00DC7CE3"/>
    <w:rsid w:val="00DC7D9A"/>
    <w:rsid w:val="00DC7DE7"/>
    <w:rsid w:val="00DC8864"/>
    <w:rsid w:val="00DD00FE"/>
    <w:rsid w:val="00DD0187"/>
    <w:rsid w:val="00DD037B"/>
    <w:rsid w:val="00DD0474"/>
    <w:rsid w:val="00DD0563"/>
    <w:rsid w:val="00DD056D"/>
    <w:rsid w:val="00DD069B"/>
    <w:rsid w:val="00DD0710"/>
    <w:rsid w:val="00DD079F"/>
    <w:rsid w:val="00DD083E"/>
    <w:rsid w:val="00DD0A5C"/>
    <w:rsid w:val="00DD0D67"/>
    <w:rsid w:val="00DD0FB7"/>
    <w:rsid w:val="00DD1137"/>
    <w:rsid w:val="00DD1409"/>
    <w:rsid w:val="00DD155E"/>
    <w:rsid w:val="00DD17AD"/>
    <w:rsid w:val="00DD188F"/>
    <w:rsid w:val="00DD1918"/>
    <w:rsid w:val="00DD1A4E"/>
    <w:rsid w:val="00DD1A5F"/>
    <w:rsid w:val="00DD1AC2"/>
    <w:rsid w:val="00DD1AED"/>
    <w:rsid w:val="00DD1BA3"/>
    <w:rsid w:val="00DD1E83"/>
    <w:rsid w:val="00DD1EDD"/>
    <w:rsid w:val="00DD205C"/>
    <w:rsid w:val="00DD20B2"/>
    <w:rsid w:val="00DD2249"/>
    <w:rsid w:val="00DD22D7"/>
    <w:rsid w:val="00DD2590"/>
    <w:rsid w:val="00DD277B"/>
    <w:rsid w:val="00DD2A90"/>
    <w:rsid w:val="00DD2DB4"/>
    <w:rsid w:val="00DD2E18"/>
    <w:rsid w:val="00DD2FBA"/>
    <w:rsid w:val="00DD3037"/>
    <w:rsid w:val="00DD3168"/>
    <w:rsid w:val="00DD332B"/>
    <w:rsid w:val="00DD36AE"/>
    <w:rsid w:val="00DD38A9"/>
    <w:rsid w:val="00DD39B4"/>
    <w:rsid w:val="00DD3B75"/>
    <w:rsid w:val="00DD3DD9"/>
    <w:rsid w:val="00DD3EB0"/>
    <w:rsid w:val="00DD40EC"/>
    <w:rsid w:val="00DD43ED"/>
    <w:rsid w:val="00DD465D"/>
    <w:rsid w:val="00DD46BA"/>
    <w:rsid w:val="00DD47FC"/>
    <w:rsid w:val="00DD4841"/>
    <w:rsid w:val="00DD4984"/>
    <w:rsid w:val="00DD4A44"/>
    <w:rsid w:val="00DD4C33"/>
    <w:rsid w:val="00DD4D0D"/>
    <w:rsid w:val="00DD4E05"/>
    <w:rsid w:val="00DD4FE2"/>
    <w:rsid w:val="00DD50F8"/>
    <w:rsid w:val="00DD511D"/>
    <w:rsid w:val="00DD56B0"/>
    <w:rsid w:val="00DD57B1"/>
    <w:rsid w:val="00DD5A90"/>
    <w:rsid w:val="00DD5AD2"/>
    <w:rsid w:val="00DD5EAD"/>
    <w:rsid w:val="00DD6067"/>
    <w:rsid w:val="00DD63AD"/>
    <w:rsid w:val="00DD6477"/>
    <w:rsid w:val="00DD653D"/>
    <w:rsid w:val="00DD68EC"/>
    <w:rsid w:val="00DD6907"/>
    <w:rsid w:val="00DD6996"/>
    <w:rsid w:val="00DD6BEB"/>
    <w:rsid w:val="00DD6DDB"/>
    <w:rsid w:val="00DD6E71"/>
    <w:rsid w:val="00DD702C"/>
    <w:rsid w:val="00DD7089"/>
    <w:rsid w:val="00DD70E1"/>
    <w:rsid w:val="00DD7219"/>
    <w:rsid w:val="00DD736E"/>
    <w:rsid w:val="00DD737D"/>
    <w:rsid w:val="00DD742E"/>
    <w:rsid w:val="00DD778F"/>
    <w:rsid w:val="00DD7851"/>
    <w:rsid w:val="00DD78D5"/>
    <w:rsid w:val="00DD79F3"/>
    <w:rsid w:val="00DD7A09"/>
    <w:rsid w:val="00DD7C8E"/>
    <w:rsid w:val="00DD7CD1"/>
    <w:rsid w:val="00DD7D96"/>
    <w:rsid w:val="00DD7F93"/>
    <w:rsid w:val="00DD7FFE"/>
    <w:rsid w:val="00DE00B1"/>
    <w:rsid w:val="00DE036C"/>
    <w:rsid w:val="00DE040B"/>
    <w:rsid w:val="00DE045D"/>
    <w:rsid w:val="00DE04F6"/>
    <w:rsid w:val="00DE05A0"/>
    <w:rsid w:val="00DE0882"/>
    <w:rsid w:val="00DE098F"/>
    <w:rsid w:val="00DE0990"/>
    <w:rsid w:val="00DE0AE6"/>
    <w:rsid w:val="00DE0B1D"/>
    <w:rsid w:val="00DE0B57"/>
    <w:rsid w:val="00DE0BB1"/>
    <w:rsid w:val="00DE0CA0"/>
    <w:rsid w:val="00DE0EAF"/>
    <w:rsid w:val="00DE0FC2"/>
    <w:rsid w:val="00DE1012"/>
    <w:rsid w:val="00DE124D"/>
    <w:rsid w:val="00DE15DA"/>
    <w:rsid w:val="00DE1770"/>
    <w:rsid w:val="00DE18E5"/>
    <w:rsid w:val="00DE1952"/>
    <w:rsid w:val="00DE1B23"/>
    <w:rsid w:val="00DE1C4B"/>
    <w:rsid w:val="00DE1CC6"/>
    <w:rsid w:val="00DE1D8F"/>
    <w:rsid w:val="00DE1E9F"/>
    <w:rsid w:val="00DE2013"/>
    <w:rsid w:val="00DE206E"/>
    <w:rsid w:val="00DE20B0"/>
    <w:rsid w:val="00DE20E1"/>
    <w:rsid w:val="00DE2171"/>
    <w:rsid w:val="00DE21CC"/>
    <w:rsid w:val="00DE2291"/>
    <w:rsid w:val="00DE24F1"/>
    <w:rsid w:val="00DE2619"/>
    <w:rsid w:val="00DE2833"/>
    <w:rsid w:val="00DE2A61"/>
    <w:rsid w:val="00DE2BA8"/>
    <w:rsid w:val="00DE2BF7"/>
    <w:rsid w:val="00DE2C69"/>
    <w:rsid w:val="00DE2CA2"/>
    <w:rsid w:val="00DE2D5A"/>
    <w:rsid w:val="00DE2DF0"/>
    <w:rsid w:val="00DE2E89"/>
    <w:rsid w:val="00DE2E8F"/>
    <w:rsid w:val="00DE2F4C"/>
    <w:rsid w:val="00DE3011"/>
    <w:rsid w:val="00DE30C0"/>
    <w:rsid w:val="00DE34BB"/>
    <w:rsid w:val="00DE3862"/>
    <w:rsid w:val="00DE39B2"/>
    <w:rsid w:val="00DE39D4"/>
    <w:rsid w:val="00DE3A07"/>
    <w:rsid w:val="00DE3A43"/>
    <w:rsid w:val="00DE3B2A"/>
    <w:rsid w:val="00DE3D25"/>
    <w:rsid w:val="00DE3D37"/>
    <w:rsid w:val="00DE3E34"/>
    <w:rsid w:val="00DE3F40"/>
    <w:rsid w:val="00DE402D"/>
    <w:rsid w:val="00DE40F9"/>
    <w:rsid w:val="00DE41CC"/>
    <w:rsid w:val="00DE4398"/>
    <w:rsid w:val="00DE43C6"/>
    <w:rsid w:val="00DE451B"/>
    <w:rsid w:val="00DE4742"/>
    <w:rsid w:val="00DE47DF"/>
    <w:rsid w:val="00DE4A22"/>
    <w:rsid w:val="00DE4A39"/>
    <w:rsid w:val="00DE4B3D"/>
    <w:rsid w:val="00DE4D39"/>
    <w:rsid w:val="00DE4D48"/>
    <w:rsid w:val="00DE4E13"/>
    <w:rsid w:val="00DE4F84"/>
    <w:rsid w:val="00DE50CF"/>
    <w:rsid w:val="00DE50DC"/>
    <w:rsid w:val="00DE58A4"/>
    <w:rsid w:val="00DE5929"/>
    <w:rsid w:val="00DE59DE"/>
    <w:rsid w:val="00DE5B28"/>
    <w:rsid w:val="00DE5B90"/>
    <w:rsid w:val="00DE5C4F"/>
    <w:rsid w:val="00DE5CD9"/>
    <w:rsid w:val="00DE5D0D"/>
    <w:rsid w:val="00DE5DCB"/>
    <w:rsid w:val="00DE6228"/>
    <w:rsid w:val="00DE629F"/>
    <w:rsid w:val="00DE6303"/>
    <w:rsid w:val="00DE646B"/>
    <w:rsid w:val="00DE6496"/>
    <w:rsid w:val="00DE665E"/>
    <w:rsid w:val="00DE676A"/>
    <w:rsid w:val="00DE6773"/>
    <w:rsid w:val="00DE6834"/>
    <w:rsid w:val="00DE6877"/>
    <w:rsid w:val="00DE68E0"/>
    <w:rsid w:val="00DE6940"/>
    <w:rsid w:val="00DE695F"/>
    <w:rsid w:val="00DE6C55"/>
    <w:rsid w:val="00DE6E92"/>
    <w:rsid w:val="00DE6F7C"/>
    <w:rsid w:val="00DE6FEB"/>
    <w:rsid w:val="00DE724D"/>
    <w:rsid w:val="00DE751C"/>
    <w:rsid w:val="00DE75C2"/>
    <w:rsid w:val="00DE7974"/>
    <w:rsid w:val="00DE7A6C"/>
    <w:rsid w:val="00DE7AB5"/>
    <w:rsid w:val="00DE7AE9"/>
    <w:rsid w:val="00DE7B70"/>
    <w:rsid w:val="00DE7B75"/>
    <w:rsid w:val="00DE7C5A"/>
    <w:rsid w:val="00DE7CC7"/>
    <w:rsid w:val="00DE7D66"/>
    <w:rsid w:val="00DE7D78"/>
    <w:rsid w:val="00DE7E08"/>
    <w:rsid w:val="00DE7E37"/>
    <w:rsid w:val="00DE7EF3"/>
    <w:rsid w:val="00DF0088"/>
    <w:rsid w:val="00DF00E1"/>
    <w:rsid w:val="00DF016D"/>
    <w:rsid w:val="00DF029D"/>
    <w:rsid w:val="00DF03F7"/>
    <w:rsid w:val="00DF0490"/>
    <w:rsid w:val="00DF04AA"/>
    <w:rsid w:val="00DF071B"/>
    <w:rsid w:val="00DF0747"/>
    <w:rsid w:val="00DF07B1"/>
    <w:rsid w:val="00DF0D6A"/>
    <w:rsid w:val="00DF0DBB"/>
    <w:rsid w:val="00DF0E64"/>
    <w:rsid w:val="00DF0E91"/>
    <w:rsid w:val="00DF103F"/>
    <w:rsid w:val="00DF111C"/>
    <w:rsid w:val="00DF1141"/>
    <w:rsid w:val="00DF11FB"/>
    <w:rsid w:val="00DF1367"/>
    <w:rsid w:val="00DF1620"/>
    <w:rsid w:val="00DF176D"/>
    <w:rsid w:val="00DF176F"/>
    <w:rsid w:val="00DF179E"/>
    <w:rsid w:val="00DF17CC"/>
    <w:rsid w:val="00DF1805"/>
    <w:rsid w:val="00DF19B0"/>
    <w:rsid w:val="00DF1A46"/>
    <w:rsid w:val="00DF1C34"/>
    <w:rsid w:val="00DF1D77"/>
    <w:rsid w:val="00DF1D9C"/>
    <w:rsid w:val="00DF1DF7"/>
    <w:rsid w:val="00DF1F49"/>
    <w:rsid w:val="00DF1FC1"/>
    <w:rsid w:val="00DF2022"/>
    <w:rsid w:val="00DF2425"/>
    <w:rsid w:val="00DF2432"/>
    <w:rsid w:val="00DF256C"/>
    <w:rsid w:val="00DF2976"/>
    <w:rsid w:val="00DF29D8"/>
    <w:rsid w:val="00DF2AA0"/>
    <w:rsid w:val="00DF2AD8"/>
    <w:rsid w:val="00DF2B7B"/>
    <w:rsid w:val="00DF2BF6"/>
    <w:rsid w:val="00DF2D3E"/>
    <w:rsid w:val="00DF2F6B"/>
    <w:rsid w:val="00DF308A"/>
    <w:rsid w:val="00DF3236"/>
    <w:rsid w:val="00DF33EB"/>
    <w:rsid w:val="00DF34E8"/>
    <w:rsid w:val="00DF3523"/>
    <w:rsid w:val="00DF3727"/>
    <w:rsid w:val="00DF3776"/>
    <w:rsid w:val="00DF37C4"/>
    <w:rsid w:val="00DF384E"/>
    <w:rsid w:val="00DF38C3"/>
    <w:rsid w:val="00DF396B"/>
    <w:rsid w:val="00DF3AD5"/>
    <w:rsid w:val="00DF3BBF"/>
    <w:rsid w:val="00DF3D08"/>
    <w:rsid w:val="00DF3DFA"/>
    <w:rsid w:val="00DF3FB9"/>
    <w:rsid w:val="00DF414F"/>
    <w:rsid w:val="00DF4205"/>
    <w:rsid w:val="00DF433A"/>
    <w:rsid w:val="00DF46C9"/>
    <w:rsid w:val="00DF4735"/>
    <w:rsid w:val="00DF499F"/>
    <w:rsid w:val="00DF49D3"/>
    <w:rsid w:val="00DF4A06"/>
    <w:rsid w:val="00DF4AF8"/>
    <w:rsid w:val="00DF4C89"/>
    <w:rsid w:val="00DF4ED9"/>
    <w:rsid w:val="00DF4FA0"/>
    <w:rsid w:val="00DF5010"/>
    <w:rsid w:val="00DF5076"/>
    <w:rsid w:val="00DF51C8"/>
    <w:rsid w:val="00DF52A8"/>
    <w:rsid w:val="00DF538D"/>
    <w:rsid w:val="00DF5544"/>
    <w:rsid w:val="00DF5590"/>
    <w:rsid w:val="00DF55B5"/>
    <w:rsid w:val="00DF56C5"/>
    <w:rsid w:val="00DF593C"/>
    <w:rsid w:val="00DF59EB"/>
    <w:rsid w:val="00DF5BCE"/>
    <w:rsid w:val="00DF5BDF"/>
    <w:rsid w:val="00DF5CF4"/>
    <w:rsid w:val="00DF5D57"/>
    <w:rsid w:val="00DF5EE4"/>
    <w:rsid w:val="00DF5F6C"/>
    <w:rsid w:val="00DF5F7C"/>
    <w:rsid w:val="00DF602E"/>
    <w:rsid w:val="00DF6115"/>
    <w:rsid w:val="00DF6139"/>
    <w:rsid w:val="00DF61C0"/>
    <w:rsid w:val="00DF6307"/>
    <w:rsid w:val="00DF64D9"/>
    <w:rsid w:val="00DF669E"/>
    <w:rsid w:val="00DF6809"/>
    <w:rsid w:val="00DF6945"/>
    <w:rsid w:val="00DF69B6"/>
    <w:rsid w:val="00DF6DCA"/>
    <w:rsid w:val="00DF6E97"/>
    <w:rsid w:val="00DF6EB4"/>
    <w:rsid w:val="00DF6EE0"/>
    <w:rsid w:val="00DF7159"/>
    <w:rsid w:val="00DF7205"/>
    <w:rsid w:val="00DF7286"/>
    <w:rsid w:val="00DF7291"/>
    <w:rsid w:val="00DF72CE"/>
    <w:rsid w:val="00DF741B"/>
    <w:rsid w:val="00DF786F"/>
    <w:rsid w:val="00DF78A2"/>
    <w:rsid w:val="00DF78E1"/>
    <w:rsid w:val="00DF7910"/>
    <w:rsid w:val="00DF7AD8"/>
    <w:rsid w:val="00DF7D0B"/>
    <w:rsid w:val="00DF7D1A"/>
    <w:rsid w:val="00DF7DB9"/>
    <w:rsid w:val="00DF7E1E"/>
    <w:rsid w:val="00DF7ED8"/>
    <w:rsid w:val="00DF7F08"/>
    <w:rsid w:val="00E0015B"/>
    <w:rsid w:val="00E003FE"/>
    <w:rsid w:val="00E005FD"/>
    <w:rsid w:val="00E00872"/>
    <w:rsid w:val="00E009CC"/>
    <w:rsid w:val="00E00A7E"/>
    <w:rsid w:val="00E00AAE"/>
    <w:rsid w:val="00E00BB7"/>
    <w:rsid w:val="00E00C76"/>
    <w:rsid w:val="00E00CC2"/>
    <w:rsid w:val="00E00D0A"/>
    <w:rsid w:val="00E00D9B"/>
    <w:rsid w:val="00E0110A"/>
    <w:rsid w:val="00E01157"/>
    <w:rsid w:val="00E011EF"/>
    <w:rsid w:val="00E012F0"/>
    <w:rsid w:val="00E012F9"/>
    <w:rsid w:val="00E01317"/>
    <w:rsid w:val="00E01406"/>
    <w:rsid w:val="00E01693"/>
    <w:rsid w:val="00E016C0"/>
    <w:rsid w:val="00E01762"/>
    <w:rsid w:val="00E01819"/>
    <w:rsid w:val="00E0182D"/>
    <w:rsid w:val="00E0194A"/>
    <w:rsid w:val="00E01A9A"/>
    <w:rsid w:val="00E01C0B"/>
    <w:rsid w:val="00E01F09"/>
    <w:rsid w:val="00E01FF7"/>
    <w:rsid w:val="00E02116"/>
    <w:rsid w:val="00E0218F"/>
    <w:rsid w:val="00E021A7"/>
    <w:rsid w:val="00E0245E"/>
    <w:rsid w:val="00E02546"/>
    <w:rsid w:val="00E02575"/>
    <w:rsid w:val="00E026D1"/>
    <w:rsid w:val="00E0287F"/>
    <w:rsid w:val="00E02B19"/>
    <w:rsid w:val="00E02B70"/>
    <w:rsid w:val="00E02D17"/>
    <w:rsid w:val="00E02F41"/>
    <w:rsid w:val="00E02F4F"/>
    <w:rsid w:val="00E03089"/>
    <w:rsid w:val="00E0311C"/>
    <w:rsid w:val="00E032F5"/>
    <w:rsid w:val="00E032FF"/>
    <w:rsid w:val="00E03315"/>
    <w:rsid w:val="00E0338E"/>
    <w:rsid w:val="00E03556"/>
    <w:rsid w:val="00E0358B"/>
    <w:rsid w:val="00E037D1"/>
    <w:rsid w:val="00E039C5"/>
    <w:rsid w:val="00E03ABA"/>
    <w:rsid w:val="00E03B92"/>
    <w:rsid w:val="00E03C0B"/>
    <w:rsid w:val="00E03CBC"/>
    <w:rsid w:val="00E03E1F"/>
    <w:rsid w:val="00E03E26"/>
    <w:rsid w:val="00E04064"/>
    <w:rsid w:val="00E0413A"/>
    <w:rsid w:val="00E042A8"/>
    <w:rsid w:val="00E0435F"/>
    <w:rsid w:val="00E044FE"/>
    <w:rsid w:val="00E04544"/>
    <w:rsid w:val="00E04615"/>
    <w:rsid w:val="00E046B3"/>
    <w:rsid w:val="00E050F3"/>
    <w:rsid w:val="00E050F4"/>
    <w:rsid w:val="00E051B4"/>
    <w:rsid w:val="00E051ED"/>
    <w:rsid w:val="00E05530"/>
    <w:rsid w:val="00E05543"/>
    <w:rsid w:val="00E05898"/>
    <w:rsid w:val="00E0594D"/>
    <w:rsid w:val="00E05A1C"/>
    <w:rsid w:val="00E05A57"/>
    <w:rsid w:val="00E05A74"/>
    <w:rsid w:val="00E05B75"/>
    <w:rsid w:val="00E05D28"/>
    <w:rsid w:val="00E05D6C"/>
    <w:rsid w:val="00E05FC3"/>
    <w:rsid w:val="00E0626C"/>
    <w:rsid w:val="00E0627F"/>
    <w:rsid w:val="00E066C1"/>
    <w:rsid w:val="00E066D4"/>
    <w:rsid w:val="00E067B7"/>
    <w:rsid w:val="00E067E9"/>
    <w:rsid w:val="00E067EA"/>
    <w:rsid w:val="00E068C0"/>
    <w:rsid w:val="00E068CB"/>
    <w:rsid w:val="00E06DB8"/>
    <w:rsid w:val="00E0741B"/>
    <w:rsid w:val="00E0761E"/>
    <w:rsid w:val="00E07692"/>
    <w:rsid w:val="00E07737"/>
    <w:rsid w:val="00E077CF"/>
    <w:rsid w:val="00E078BE"/>
    <w:rsid w:val="00E07971"/>
    <w:rsid w:val="00E079E3"/>
    <w:rsid w:val="00E07AE2"/>
    <w:rsid w:val="00E07BCE"/>
    <w:rsid w:val="00E07C8C"/>
    <w:rsid w:val="00E07F50"/>
    <w:rsid w:val="00E10285"/>
    <w:rsid w:val="00E105C0"/>
    <w:rsid w:val="00E10875"/>
    <w:rsid w:val="00E109EA"/>
    <w:rsid w:val="00E10A25"/>
    <w:rsid w:val="00E10AF9"/>
    <w:rsid w:val="00E10AFA"/>
    <w:rsid w:val="00E10B75"/>
    <w:rsid w:val="00E10EA2"/>
    <w:rsid w:val="00E11198"/>
    <w:rsid w:val="00E1125E"/>
    <w:rsid w:val="00E11372"/>
    <w:rsid w:val="00E1185E"/>
    <w:rsid w:val="00E119C1"/>
    <w:rsid w:val="00E119DE"/>
    <w:rsid w:val="00E11A11"/>
    <w:rsid w:val="00E11DBB"/>
    <w:rsid w:val="00E11FD0"/>
    <w:rsid w:val="00E11FE4"/>
    <w:rsid w:val="00E12061"/>
    <w:rsid w:val="00E12128"/>
    <w:rsid w:val="00E12191"/>
    <w:rsid w:val="00E1220C"/>
    <w:rsid w:val="00E123AB"/>
    <w:rsid w:val="00E125FE"/>
    <w:rsid w:val="00E1260A"/>
    <w:rsid w:val="00E126D9"/>
    <w:rsid w:val="00E127B9"/>
    <w:rsid w:val="00E127C6"/>
    <w:rsid w:val="00E1289D"/>
    <w:rsid w:val="00E12955"/>
    <w:rsid w:val="00E12AEA"/>
    <w:rsid w:val="00E12BC8"/>
    <w:rsid w:val="00E12DF5"/>
    <w:rsid w:val="00E12E21"/>
    <w:rsid w:val="00E12F7B"/>
    <w:rsid w:val="00E12FF5"/>
    <w:rsid w:val="00E13058"/>
    <w:rsid w:val="00E1335A"/>
    <w:rsid w:val="00E13380"/>
    <w:rsid w:val="00E13392"/>
    <w:rsid w:val="00E1389E"/>
    <w:rsid w:val="00E139A0"/>
    <w:rsid w:val="00E13A0F"/>
    <w:rsid w:val="00E13A4E"/>
    <w:rsid w:val="00E13AAA"/>
    <w:rsid w:val="00E13C8D"/>
    <w:rsid w:val="00E13E0B"/>
    <w:rsid w:val="00E13F1D"/>
    <w:rsid w:val="00E14077"/>
    <w:rsid w:val="00E140C0"/>
    <w:rsid w:val="00E142FB"/>
    <w:rsid w:val="00E1458B"/>
    <w:rsid w:val="00E14596"/>
    <w:rsid w:val="00E14598"/>
    <w:rsid w:val="00E1464D"/>
    <w:rsid w:val="00E146CD"/>
    <w:rsid w:val="00E146D4"/>
    <w:rsid w:val="00E1482A"/>
    <w:rsid w:val="00E148DA"/>
    <w:rsid w:val="00E149DB"/>
    <w:rsid w:val="00E14B03"/>
    <w:rsid w:val="00E14C32"/>
    <w:rsid w:val="00E14C43"/>
    <w:rsid w:val="00E14E96"/>
    <w:rsid w:val="00E14F6B"/>
    <w:rsid w:val="00E15065"/>
    <w:rsid w:val="00E1512D"/>
    <w:rsid w:val="00E1538A"/>
    <w:rsid w:val="00E1539A"/>
    <w:rsid w:val="00E153DD"/>
    <w:rsid w:val="00E15510"/>
    <w:rsid w:val="00E15521"/>
    <w:rsid w:val="00E155D6"/>
    <w:rsid w:val="00E15743"/>
    <w:rsid w:val="00E1579B"/>
    <w:rsid w:val="00E1590E"/>
    <w:rsid w:val="00E15A08"/>
    <w:rsid w:val="00E15A5B"/>
    <w:rsid w:val="00E15BE0"/>
    <w:rsid w:val="00E15C3B"/>
    <w:rsid w:val="00E15C63"/>
    <w:rsid w:val="00E15F8D"/>
    <w:rsid w:val="00E160D4"/>
    <w:rsid w:val="00E16263"/>
    <w:rsid w:val="00E164C6"/>
    <w:rsid w:val="00E16662"/>
    <w:rsid w:val="00E16684"/>
    <w:rsid w:val="00E16714"/>
    <w:rsid w:val="00E167D0"/>
    <w:rsid w:val="00E16980"/>
    <w:rsid w:val="00E16CCB"/>
    <w:rsid w:val="00E16CF2"/>
    <w:rsid w:val="00E16DA0"/>
    <w:rsid w:val="00E16F2A"/>
    <w:rsid w:val="00E16FCD"/>
    <w:rsid w:val="00E1702E"/>
    <w:rsid w:val="00E170B5"/>
    <w:rsid w:val="00E17131"/>
    <w:rsid w:val="00E17164"/>
    <w:rsid w:val="00E1752C"/>
    <w:rsid w:val="00E175F8"/>
    <w:rsid w:val="00E1777D"/>
    <w:rsid w:val="00E17826"/>
    <w:rsid w:val="00E17864"/>
    <w:rsid w:val="00E17886"/>
    <w:rsid w:val="00E178DE"/>
    <w:rsid w:val="00E179E1"/>
    <w:rsid w:val="00E17A73"/>
    <w:rsid w:val="00E17AA8"/>
    <w:rsid w:val="00E17B13"/>
    <w:rsid w:val="00E17C1F"/>
    <w:rsid w:val="00E17C60"/>
    <w:rsid w:val="00E17E22"/>
    <w:rsid w:val="00E17E41"/>
    <w:rsid w:val="00E17E66"/>
    <w:rsid w:val="00E2015A"/>
    <w:rsid w:val="00E2023F"/>
    <w:rsid w:val="00E20256"/>
    <w:rsid w:val="00E2041E"/>
    <w:rsid w:val="00E204F3"/>
    <w:rsid w:val="00E20671"/>
    <w:rsid w:val="00E206C1"/>
    <w:rsid w:val="00E20777"/>
    <w:rsid w:val="00E20A8A"/>
    <w:rsid w:val="00E20DA3"/>
    <w:rsid w:val="00E20F0D"/>
    <w:rsid w:val="00E2119E"/>
    <w:rsid w:val="00E2125B"/>
    <w:rsid w:val="00E2129B"/>
    <w:rsid w:val="00E21310"/>
    <w:rsid w:val="00E214A9"/>
    <w:rsid w:val="00E217B7"/>
    <w:rsid w:val="00E217F4"/>
    <w:rsid w:val="00E219B8"/>
    <w:rsid w:val="00E219F1"/>
    <w:rsid w:val="00E21A1E"/>
    <w:rsid w:val="00E21A25"/>
    <w:rsid w:val="00E21A39"/>
    <w:rsid w:val="00E21AFC"/>
    <w:rsid w:val="00E21B4A"/>
    <w:rsid w:val="00E21BE7"/>
    <w:rsid w:val="00E21F5F"/>
    <w:rsid w:val="00E220D4"/>
    <w:rsid w:val="00E2215D"/>
    <w:rsid w:val="00E221D2"/>
    <w:rsid w:val="00E2229F"/>
    <w:rsid w:val="00E222A1"/>
    <w:rsid w:val="00E22459"/>
    <w:rsid w:val="00E2252D"/>
    <w:rsid w:val="00E2279B"/>
    <w:rsid w:val="00E22A8E"/>
    <w:rsid w:val="00E22B38"/>
    <w:rsid w:val="00E22E27"/>
    <w:rsid w:val="00E2301C"/>
    <w:rsid w:val="00E23495"/>
    <w:rsid w:val="00E23925"/>
    <w:rsid w:val="00E23B03"/>
    <w:rsid w:val="00E23B9B"/>
    <w:rsid w:val="00E23BA4"/>
    <w:rsid w:val="00E24174"/>
    <w:rsid w:val="00E241CB"/>
    <w:rsid w:val="00E24280"/>
    <w:rsid w:val="00E24344"/>
    <w:rsid w:val="00E2447E"/>
    <w:rsid w:val="00E24670"/>
    <w:rsid w:val="00E247F7"/>
    <w:rsid w:val="00E247FA"/>
    <w:rsid w:val="00E24970"/>
    <w:rsid w:val="00E24BA3"/>
    <w:rsid w:val="00E24C64"/>
    <w:rsid w:val="00E24C96"/>
    <w:rsid w:val="00E250AB"/>
    <w:rsid w:val="00E25134"/>
    <w:rsid w:val="00E2527E"/>
    <w:rsid w:val="00E25308"/>
    <w:rsid w:val="00E254C5"/>
    <w:rsid w:val="00E25874"/>
    <w:rsid w:val="00E25A24"/>
    <w:rsid w:val="00E25AF1"/>
    <w:rsid w:val="00E25DBC"/>
    <w:rsid w:val="00E25E27"/>
    <w:rsid w:val="00E25F61"/>
    <w:rsid w:val="00E25FAC"/>
    <w:rsid w:val="00E26006"/>
    <w:rsid w:val="00E26034"/>
    <w:rsid w:val="00E262BE"/>
    <w:rsid w:val="00E26399"/>
    <w:rsid w:val="00E264C4"/>
    <w:rsid w:val="00E264D6"/>
    <w:rsid w:val="00E26691"/>
    <w:rsid w:val="00E26A11"/>
    <w:rsid w:val="00E26A4E"/>
    <w:rsid w:val="00E26AE7"/>
    <w:rsid w:val="00E26B55"/>
    <w:rsid w:val="00E26B9F"/>
    <w:rsid w:val="00E26CD5"/>
    <w:rsid w:val="00E26F80"/>
    <w:rsid w:val="00E2701B"/>
    <w:rsid w:val="00E270B3"/>
    <w:rsid w:val="00E27121"/>
    <w:rsid w:val="00E27212"/>
    <w:rsid w:val="00E2732F"/>
    <w:rsid w:val="00E2733C"/>
    <w:rsid w:val="00E2736A"/>
    <w:rsid w:val="00E2746B"/>
    <w:rsid w:val="00E274BE"/>
    <w:rsid w:val="00E275D7"/>
    <w:rsid w:val="00E27605"/>
    <w:rsid w:val="00E27619"/>
    <w:rsid w:val="00E278DF"/>
    <w:rsid w:val="00E279F9"/>
    <w:rsid w:val="00E27A26"/>
    <w:rsid w:val="00E3005C"/>
    <w:rsid w:val="00E30097"/>
    <w:rsid w:val="00E30158"/>
    <w:rsid w:val="00E3026E"/>
    <w:rsid w:val="00E30560"/>
    <w:rsid w:val="00E30661"/>
    <w:rsid w:val="00E3066D"/>
    <w:rsid w:val="00E30789"/>
    <w:rsid w:val="00E30792"/>
    <w:rsid w:val="00E309A6"/>
    <w:rsid w:val="00E30A81"/>
    <w:rsid w:val="00E30AB4"/>
    <w:rsid w:val="00E30B0B"/>
    <w:rsid w:val="00E30B71"/>
    <w:rsid w:val="00E30BE9"/>
    <w:rsid w:val="00E30EF3"/>
    <w:rsid w:val="00E31025"/>
    <w:rsid w:val="00E31035"/>
    <w:rsid w:val="00E311E2"/>
    <w:rsid w:val="00E313B9"/>
    <w:rsid w:val="00E31522"/>
    <w:rsid w:val="00E31631"/>
    <w:rsid w:val="00E3169C"/>
    <w:rsid w:val="00E31791"/>
    <w:rsid w:val="00E317C1"/>
    <w:rsid w:val="00E31812"/>
    <w:rsid w:val="00E318D4"/>
    <w:rsid w:val="00E319A2"/>
    <w:rsid w:val="00E319D0"/>
    <w:rsid w:val="00E31A49"/>
    <w:rsid w:val="00E31B9B"/>
    <w:rsid w:val="00E31C02"/>
    <w:rsid w:val="00E31EC4"/>
    <w:rsid w:val="00E31F86"/>
    <w:rsid w:val="00E3203C"/>
    <w:rsid w:val="00E320A0"/>
    <w:rsid w:val="00E320D6"/>
    <w:rsid w:val="00E32158"/>
    <w:rsid w:val="00E3227C"/>
    <w:rsid w:val="00E324C9"/>
    <w:rsid w:val="00E32514"/>
    <w:rsid w:val="00E32528"/>
    <w:rsid w:val="00E32602"/>
    <w:rsid w:val="00E32683"/>
    <w:rsid w:val="00E326AB"/>
    <w:rsid w:val="00E326F8"/>
    <w:rsid w:val="00E32798"/>
    <w:rsid w:val="00E327FB"/>
    <w:rsid w:val="00E32901"/>
    <w:rsid w:val="00E329E2"/>
    <w:rsid w:val="00E32B0A"/>
    <w:rsid w:val="00E32CE6"/>
    <w:rsid w:val="00E32D11"/>
    <w:rsid w:val="00E32D78"/>
    <w:rsid w:val="00E32F1F"/>
    <w:rsid w:val="00E33076"/>
    <w:rsid w:val="00E330FF"/>
    <w:rsid w:val="00E33347"/>
    <w:rsid w:val="00E33472"/>
    <w:rsid w:val="00E335C1"/>
    <w:rsid w:val="00E33773"/>
    <w:rsid w:val="00E3379D"/>
    <w:rsid w:val="00E33901"/>
    <w:rsid w:val="00E33904"/>
    <w:rsid w:val="00E33A73"/>
    <w:rsid w:val="00E33AC9"/>
    <w:rsid w:val="00E33CA3"/>
    <w:rsid w:val="00E33D46"/>
    <w:rsid w:val="00E33E07"/>
    <w:rsid w:val="00E33E39"/>
    <w:rsid w:val="00E34054"/>
    <w:rsid w:val="00E340AB"/>
    <w:rsid w:val="00E34191"/>
    <w:rsid w:val="00E34292"/>
    <w:rsid w:val="00E3430E"/>
    <w:rsid w:val="00E34320"/>
    <w:rsid w:val="00E34350"/>
    <w:rsid w:val="00E34368"/>
    <w:rsid w:val="00E3448E"/>
    <w:rsid w:val="00E344B2"/>
    <w:rsid w:val="00E3461B"/>
    <w:rsid w:val="00E34728"/>
    <w:rsid w:val="00E349BE"/>
    <w:rsid w:val="00E34B00"/>
    <w:rsid w:val="00E34C43"/>
    <w:rsid w:val="00E34DF0"/>
    <w:rsid w:val="00E34E2F"/>
    <w:rsid w:val="00E35161"/>
    <w:rsid w:val="00E352CF"/>
    <w:rsid w:val="00E35599"/>
    <w:rsid w:val="00E35640"/>
    <w:rsid w:val="00E357BA"/>
    <w:rsid w:val="00E3595A"/>
    <w:rsid w:val="00E359E7"/>
    <w:rsid w:val="00E35AAF"/>
    <w:rsid w:val="00E35AC7"/>
    <w:rsid w:val="00E35B93"/>
    <w:rsid w:val="00E35D3C"/>
    <w:rsid w:val="00E35D96"/>
    <w:rsid w:val="00E35FB0"/>
    <w:rsid w:val="00E35FD0"/>
    <w:rsid w:val="00E36018"/>
    <w:rsid w:val="00E360AC"/>
    <w:rsid w:val="00E361C4"/>
    <w:rsid w:val="00E36576"/>
    <w:rsid w:val="00E365DB"/>
    <w:rsid w:val="00E36778"/>
    <w:rsid w:val="00E367EB"/>
    <w:rsid w:val="00E36822"/>
    <w:rsid w:val="00E36849"/>
    <w:rsid w:val="00E368BD"/>
    <w:rsid w:val="00E368FF"/>
    <w:rsid w:val="00E36914"/>
    <w:rsid w:val="00E36930"/>
    <w:rsid w:val="00E369A5"/>
    <w:rsid w:val="00E36AAF"/>
    <w:rsid w:val="00E36ACB"/>
    <w:rsid w:val="00E36C85"/>
    <w:rsid w:val="00E36D64"/>
    <w:rsid w:val="00E36E46"/>
    <w:rsid w:val="00E36E7E"/>
    <w:rsid w:val="00E36F26"/>
    <w:rsid w:val="00E37495"/>
    <w:rsid w:val="00E374DA"/>
    <w:rsid w:val="00E37590"/>
    <w:rsid w:val="00E375D9"/>
    <w:rsid w:val="00E37611"/>
    <w:rsid w:val="00E3762B"/>
    <w:rsid w:val="00E376E3"/>
    <w:rsid w:val="00E377BD"/>
    <w:rsid w:val="00E3782A"/>
    <w:rsid w:val="00E37B1F"/>
    <w:rsid w:val="00E37B48"/>
    <w:rsid w:val="00E37BE7"/>
    <w:rsid w:val="00E37DA1"/>
    <w:rsid w:val="00E37DB7"/>
    <w:rsid w:val="00E37F71"/>
    <w:rsid w:val="00E4039D"/>
    <w:rsid w:val="00E405AB"/>
    <w:rsid w:val="00E405FE"/>
    <w:rsid w:val="00E40734"/>
    <w:rsid w:val="00E407CA"/>
    <w:rsid w:val="00E4085A"/>
    <w:rsid w:val="00E408E3"/>
    <w:rsid w:val="00E40935"/>
    <w:rsid w:val="00E40B3D"/>
    <w:rsid w:val="00E40CD0"/>
    <w:rsid w:val="00E40CFC"/>
    <w:rsid w:val="00E40E33"/>
    <w:rsid w:val="00E41299"/>
    <w:rsid w:val="00E41321"/>
    <w:rsid w:val="00E41364"/>
    <w:rsid w:val="00E4138C"/>
    <w:rsid w:val="00E4156E"/>
    <w:rsid w:val="00E41627"/>
    <w:rsid w:val="00E41717"/>
    <w:rsid w:val="00E41AB9"/>
    <w:rsid w:val="00E41AF7"/>
    <w:rsid w:val="00E41CB3"/>
    <w:rsid w:val="00E42053"/>
    <w:rsid w:val="00E42077"/>
    <w:rsid w:val="00E420D5"/>
    <w:rsid w:val="00E42115"/>
    <w:rsid w:val="00E4215C"/>
    <w:rsid w:val="00E42389"/>
    <w:rsid w:val="00E423FC"/>
    <w:rsid w:val="00E42722"/>
    <w:rsid w:val="00E42AA6"/>
    <w:rsid w:val="00E42B83"/>
    <w:rsid w:val="00E42BC0"/>
    <w:rsid w:val="00E42CEC"/>
    <w:rsid w:val="00E42E94"/>
    <w:rsid w:val="00E430DE"/>
    <w:rsid w:val="00E43104"/>
    <w:rsid w:val="00E43129"/>
    <w:rsid w:val="00E432AE"/>
    <w:rsid w:val="00E4331D"/>
    <w:rsid w:val="00E434A1"/>
    <w:rsid w:val="00E434B5"/>
    <w:rsid w:val="00E4351B"/>
    <w:rsid w:val="00E4353C"/>
    <w:rsid w:val="00E435F5"/>
    <w:rsid w:val="00E436BE"/>
    <w:rsid w:val="00E43767"/>
    <w:rsid w:val="00E437CF"/>
    <w:rsid w:val="00E437D3"/>
    <w:rsid w:val="00E43946"/>
    <w:rsid w:val="00E43AEA"/>
    <w:rsid w:val="00E43D60"/>
    <w:rsid w:val="00E43E78"/>
    <w:rsid w:val="00E43F40"/>
    <w:rsid w:val="00E43FC0"/>
    <w:rsid w:val="00E43FC6"/>
    <w:rsid w:val="00E4408D"/>
    <w:rsid w:val="00E4430B"/>
    <w:rsid w:val="00E4431A"/>
    <w:rsid w:val="00E44391"/>
    <w:rsid w:val="00E4447E"/>
    <w:rsid w:val="00E44755"/>
    <w:rsid w:val="00E44832"/>
    <w:rsid w:val="00E4495B"/>
    <w:rsid w:val="00E449E8"/>
    <w:rsid w:val="00E44AFC"/>
    <w:rsid w:val="00E44DF4"/>
    <w:rsid w:val="00E44E81"/>
    <w:rsid w:val="00E450BA"/>
    <w:rsid w:val="00E453C5"/>
    <w:rsid w:val="00E45569"/>
    <w:rsid w:val="00E45607"/>
    <w:rsid w:val="00E456BE"/>
    <w:rsid w:val="00E457E5"/>
    <w:rsid w:val="00E4598F"/>
    <w:rsid w:val="00E459AB"/>
    <w:rsid w:val="00E45AF8"/>
    <w:rsid w:val="00E45DB1"/>
    <w:rsid w:val="00E45DC5"/>
    <w:rsid w:val="00E45DD5"/>
    <w:rsid w:val="00E45EF3"/>
    <w:rsid w:val="00E46089"/>
    <w:rsid w:val="00E460C1"/>
    <w:rsid w:val="00E4618A"/>
    <w:rsid w:val="00E46372"/>
    <w:rsid w:val="00E46424"/>
    <w:rsid w:val="00E46634"/>
    <w:rsid w:val="00E46B3E"/>
    <w:rsid w:val="00E46D60"/>
    <w:rsid w:val="00E46D67"/>
    <w:rsid w:val="00E46E99"/>
    <w:rsid w:val="00E46ECF"/>
    <w:rsid w:val="00E46EE4"/>
    <w:rsid w:val="00E4709B"/>
    <w:rsid w:val="00E475C0"/>
    <w:rsid w:val="00E47693"/>
    <w:rsid w:val="00E47735"/>
    <w:rsid w:val="00E47B91"/>
    <w:rsid w:val="00E47E5B"/>
    <w:rsid w:val="00E47E69"/>
    <w:rsid w:val="00E50128"/>
    <w:rsid w:val="00E50239"/>
    <w:rsid w:val="00E503FE"/>
    <w:rsid w:val="00E50615"/>
    <w:rsid w:val="00E50629"/>
    <w:rsid w:val="00E50681"/>
    <w:rsid w:val="00E50760"/>
    <w:rsid w:val="00E5078E"/>
    <w:rsid w:val="00E507F9"/>
    <w:rsid w:val="00E5084C"/>
    <w:rsid w:val="00E50A5B"/>
    <w:rsid w:val="00E50AE0"/>
    <w:rsid w:val="00E50CF4"/>
    <w:rsid w:val="00E51289"/>
    <w:rsid w:val="00E512E7"/>
    <w:rsid w:val="00E51376"/>
    <w:rsid w:val="00E513A6"/>
    <w:rsid w:val="00E51400"/>
    <w:rsid w:val="00E51481"/>
    <w:rsid w:val="00E51539"/>
    <w:rsid w:val="00E516FE"/>
    <w:rsid w:val="00E51B73"/>
    <w:rsid w:val="00E51BE5"/>
    <w:rsid w:val="00E51BF3"/>
    <w:rsid w:val="00E51C11"/>
    <w:rsid w:val="00E51C35"/>
    <w:rsid w:val="00E52062"/>
    <w:rsid w:val="00E5212D"/>
    <w:rsid w:val="00E522F6"/>
    <w:rsid w:val="00E52330"/>
    <w:rsid w:val="00E523E3"/>
    <w:rsid w:val="00E52533"/>
    <w:rsid w:val="00E528D1"/>
    <w:rsid w:val="00E52901"/>
    <w:rsid w:val="00E5296E"/>
    <w:rsid w:val="00E52975"/>
    <w:rsid w:val="00E52994"/>
    <w:rsid w:val="00E52C4A"/>
    <w:rsid w:val="00E52E88"/>
    <w:rsid w:val="00E52E8B"/>
    <w:rsid w:val="00E52FCA"/>
    <w:rsid w:val="00E531E1"/>
    <w:rsid w:val="00E53209"/>
    <w:rsid w:val="00E5322D"/>
    <w:rsid w:val="00E532EE"/>
    <w:rsid w:val="00E532F7"/>
    <w:rsid w:val="00E53444"/>
    <w:rsid w:val="00E534F4"/>
    <w:rsid w:val="00E535CD"/>
    <w:rsid w:val="00E53A8F"/>
    <w:rsid w:val="00E53D33"/>
    <w:rsid w:val="00E53E24"/>
    <w:rsid w:val="00E53EC6"/>
    <w:rsid w:val="00E541EE"/>
    <w:rsid w:val="00E542CF"/>
    <w:rsid w:val="00E54314"/>
    <w:rsid w:val="00E54522"/>
    <w:rsid w:val="00E5474E"/>
    <w:rsid w:val="00E54847"/>
    <w:rsid w:val="00E5491B"/>
    <w:rsid w:val="00E549D0"/>
    <w:rsid w:val="00E54A3D"/>
    <w:rsid w:val="00E54B56"/>
    <w:rsid w:val="00E54B9D"/>
    <w:rsid w:val="00E54BFE"/>
    <w:rsid w:val="00E54C2E"/>
    <w:rsid w:val="00E54C5E"/>
    <w:rsid w:val="00E54CF9"/>
    <w:rsid w:val="00E54D37"/>
    <w:rsid w:val="00E54E98"/>
    <w:rsid w:val="00E551AD"/>
    <w:rsid w:val="00E55203"/>
    <w:rsid w:val="00E55411"/>
    <w:rsid w:val="00E554ED"/>
    <w:rsid w:val="00E555BF"/>
    <w:rsid w:val="00E556D2"/>
    <w:rsid w:val="00E556D8"/>
    <w:rsid w:val="00E55702"/>
    <w:rsid w:val="00E5594B"/>
    <w:rsid w:val="00E55950"/>
    <w:rsid w:val="00E559C7"/>
    <w:rsid w:val="00E55D24"/>
    <w:rsid w:val="00E55D57"/>
    <w:rsid w:val="00E55F66"/>
    <w:rsid w:val="00E5600A"/>
    <w:rsid w:val="00E5608B"/>
    <w:rsid w:val="00E56113"/>
    <w:rsid w:val="00E56545"/>
    <w:rsid w:val="00E5658B"/>
    <w:rsid w:val="00E565D3"/>
    <w:rsid w:val="00E568E0"/>
    <w:rsid w:val="00E56985"/>
    <w:rsid w:val="00E56AD0"/>
    <w:rsid w:val="00E56C01"/>
    <w:rsid w:val="00E56C14"/>
    <w:rsid w:val="00E56C4E"/>
    <w:rsid w:val="00E56C52"/>
    <w:rsid w:val="00E56D69"/>
    <w:rsid w:val="00E56D80"/>
    <w:rsid w:val="00E56EB2"/>
    <w:rsid w:val="00E56F2D"/>
    <w:rsid w:val="00E5723A"/>
    <w:rsid w:val="00E5734D"/>
    <w:rsid w:val="00E573E6"/>
    <w:rsid w:val="00E57408"/>
    <w:rsid w:val="00E57482"/>
    <w:rsid w:val="00E57522"/>
    <w:rsid w:val="00E576BE"/>
    <w:rsid w:val="00E57753"/>
    <w:rsid w:val="00E57849"/>
    <w:rsid w:val="00E57A76"/>
    <w:rsid w:val="00E57AD3"/>
    <w:rsid w:val="00E57D75"/>
    <w:rsid w:val="00E57DE5"/>
    <w:rsid w:val="00E57EC2"/>
    <w:rsid w:val="00E6012A"/>
    <w:rsid w:val="00E60272"/>
    <w:rsid w:val="00E602B6"/>
    <w:rsid w:val="00E60304"/>
    <w:rsid w:val="00E604CE"/>
    <w:rsid w:val="00E604F4"/>
    <w:rsid w:val="00E606C2"/>
    <w:rsid w:val="00E607C7"/>
    <w:rsid w:val="00E60830"/>
    <w:rsid w:val="00E609D0"/>
    <w:rsid w:val="00E609D6"/>
    <w:rsid w:val="00E60A28"/>
    <w:rsid w:val="00E60A6D"/>
    <w:rsid w:val="00E60AAB"/>
    <w:rsid w:val="00E60AF6"/>
    <w:rsid w:val="00E60B65"/>
    <w:rsid w:val="00E60D14"/>
    <w:rsid w:val="00E60D62"/>
    <w:rsid w:val="00E60E75"/>
    <w:rsid w:val="00E6106F"/>
    <w:rsid w:val="00E6109D"/>
    <w:rsid w:val="00E610BB"/>
    <w:rsid w:val="00E61426"/>
    <w:rsid w:val="00E61596"/>
    <w:rsid w:val="00E616A1"/>
    <w:rsid w:val="00E61847"/>
    <w:rsid w:val="00E61883"/>
    <w:rsid w:val="00E618AF"/>
    <w:rsid w:val="00E61950"/>
    <w:rsid w:val="00E619A5"/>
    <w:rsid w:val="00E61C80"/>
    <w:rsid w:val="00E61CC5"/>
    <w:rsid w:val="00E61DFC"/>
    <w:rsid w:val="00E61F1C"/>
    <w:rsid w:val="00E62272"/>
    <w:rsid w:val="00E6234B"/>
    <w:rsid w:val="00E62387"/>
    <w:rsid w:val="00E624B7"/>
    <w:rsid w:val="00E626C3"/>
    <w:rsid w:val="00E628EC"/>
    <w:rsid w:val="00E6294B"/>
    <w:rsid w:val="00E62B6E"/>
    <w:rsid w:val="00E62BC6"/>
    <w:rsid w:val="00E62C52"/>
    <w:rsid w:val="00E62C69"/>
    <w:rsid w:val="00E62C81"/>
    <w:rsid w:val="00E62E66"/>
    <w:rsid w:val="00E62FFB"/>
    <w:rsid w:val="00E63029"/>
    <w:rsid w:val="00E63061"/>
    <w:rsid w:val="00E63221"/>
    <w:rsid w:val="00E6332D"/>
    <w:rsid w:val="00E6346B"/>
    <w:rsid w:val="00E63485"/>
    <w:rsid w:val="00E6362E"/>
    <w:rsid w:val="00E63903"/>
    <w:rsid w:val="00E63A2B"/>
    <w:rsid w:val="00E63B48"/>
    <w:rsid w:val="00E63C06"/>
    <w:rsid w:val="00E63D78"/>
    <w:rsid w:val="00E63DE1"/>
    <w:rsid w:val="00E63E41"/>
    <w:rsid w:val="00E64006"/>
    <w:rsid w:val="00E64242"/>
    <w:rsid w:val="00E64284"/>
    <w:rsid w:val="00E6435A"/>
    <w:rsid w:val="00E6439F"/>
    <w:rsid w:val="00E64481"/>
    <w:rsid w:val="00E64621"/>
    <w:rsid w:val="00E646C2"/>
    <w:rsid w:val="00E646CC"/>
    <w:rsid w:val="00E647AF"/>
    <w:rsid w:val="00E647C6"/>
    <w:rsid w:val="00E6484A"/>
    <w:rsid w:val="00E64862"/>
    <w:rsid w:val="00E64A4D"/>
    <w:rsid w:val="00E64ABA"/>
    <w:rsid w:val="00E6505D"/>
    <w:rsid w:val="00E6508C"/>
    <w:rsid w:val="00E65107"/>
    <w:rsid w:val="00E65175"/>
    <w:rsid w:val="00E651A5"/>
    <w:rsid w:val="00E65236"/>
    <w:rsid w:val="00E65278"/>
    <w:rsid w:val="00E6533A"/>
    <w:rsid w:val="00E653CA"/>
    <w:rsid w:val="00E653D4"/>
    <w:rsid w:val="00E654AE"/>
    <w:rsid w:val="00E654D0"/>
    <w:rsid w:val="00E655AF"/>
    <w:rsid w:val="00E65652"/>
    <w:rsid w:val="00E65C6E"/>
    <w:rsid w:val="00E65D72"/>
    <w:rsid w:val="00E65D88"/>
    <w:rsid w:val="00E65DD6"/>
    <w:rsid w:val="00E65DE6"/>
    <w:rsid w:val="00E65E17"/>
    <w:rsid w:val="00E65E46"/>
    <w:rsid w:val="00E65EC0"/>
    <w:rsid w:val="00E6604D"/>
    <w:rsid w:val="00E6609D"/>
    <w:rsid w:val="00E660CB"/>
    <w:rsid w:val="00E66140"/>
    <w:rsid w:val="00E661E4"/>
    <w:rsid w:val="00E662A0"/>
    <w:rsid w:val="00E66453"/>
    <w:rsid w:val="00E665C9"/>
    <w:rsid w:val="00E66610"/>
    <w:rsid w:val="00E666B4"/>
    <w:rsid w:val="00E669A7"/>
    <w:rsid w:val="00E66AF5"/>
    <w:rsid w:val="00E66B31"/>
    <w:rsid w:val="00E66D33"/>
    <w:rsid w:val="00E66D7E"/>
    <w:rsid w:val="00E66DDD"/>
    <w:rsid w:val="00E66E28"/>
    <w:rsid w:val="00E66EBF"/>
    <w:rsid w:val="00E66FB7"/>
    <w:rsid w:val="00E67036"/>
    <w:rsid w:val="00E670AA"/>
    <w:rsid w:val="00E67261"/>
    <w:rsid w:val="00E67357"/>
    <w:rsid w:val="00E6737B"/>
    <w:rsid w:val="00E67468"/>
    <w:rsid w:val="00E6755D"/>
    <w:rsid w:val="00E67593"/>
    <w:rsid w:val="00E6761B"/>
    <w:rsid w:val="00E67681"/>
    <w:rsid w:val="00E6772B"/>
    <w:rsid w:val="00E679D9"/>
    <w:rsid w:val="00E67A43"/>
    <w:rsid w:val="00E67EDB"/>
    <w:rsid w:val="00E67F0E"/>
    <w:rsid w:val="00E70159"/>
    <w:rsid w:val="00E701FB"/>
    <w:rsid w:val="00E70356"/>
    <w:rsid w:val="00E703B9"/>
    <w:rsid w:val="00E70516"/>
    <w:rsid w:val="00E7052B"/>
    <w:rsid w:val="00E705D2"/>
    <w:rsid w:val="00E70638"/>
    <w:rsid w:val="00E706C5"/>
    <w:rsid w:val="00E70824"/>
    <w:rsid w:val="00E7086B"/>
    <w:rsid w:val="00E708E6"/>
    <w:rsid w:val="00E70A31"/>
    <w:rsid w:val="00E70AA9"/>
    <w:rsid w:val="00E70B37"/>
    <w:rsid w:val="00E70C1A"/>
    <w:rsid w:val="00E70D06"/>
    <w:rsid w:val="00E70EED"/>
    <w:rsid w:val="00E70F86"/>
    <w:rsid w:val="00E71014"/>
    <w:rsid w:val="00E710F8"/>
    <w:rsid w:val="00E71110"/>
    <w:rsid w:val="00E7113A"/>
    <w:rsid w:val="00E71197"/>
    <w:rsid w:val="00E7129A"/>
    <w:rsid w:val="00E71456"/>
    <w:rsid w:val="00E7145F"/>
    <w:rsid w:val="00E71507"/>
    <w:rsid w:val="00E7159D"/>
    <w:rsid w:val="00E7171E"/>
    <w:rsid w:val="00E71803"/>
    <w:rsid w:val="00E719D1"/>
    <w:rsid w:val="00E71B2C"/>
    <w:rsid w:val="00E71C1E"/>
    <w:rsid w:val="00E71CCB"/>
    <w:rsid w:val="00E71EB6"/>
    <w:rsid w:val="00E71ED4"/>
    <w:rsid w:val="00E71F15"/>
    <w:rsid w:val="00E71F37"/>
    <w:rsid w:val="00E71F5A"/>
    <w:rsid w:val="00E71F5E"/>
    <w:rsid w:val="00E7210B"/>
    <w:rsid w:val="00E725B8"/>
    <w:rsid w:val="00E7263C"/>
    <w:rsid w:val="00E72670"/>
    <w:rsid w:val="00E726BE"/>
    <w:rsid w:val="00E7273F"/>
    <w:rsid w:val="00E72867"/>
    <w:rsid w:val="00E72B4B"/>
    <w:rsid w:val="00E72B98"/>
    <w:rsid w:val="00E72BBD"/>
    <w:rsid w:val="00E72ECD"/>
    <w:rsid w:val="00E72FC8"/>
    <w:rsid w:val="00E730A9"/>
    <w:rsid w:val="00E731BC"/>
    <w:rsid w:val="00E732E7"/>
    <w:rsid w:val="00E73322"/>
    <w:rsid w:val="00E7354A"/>
    <w:rsid w:val="00E73778"/>
    <w:rsid w:val="00E737DE"/>
    <w:rsid w:val="00E73933"/>
    <w:rsid w:val="00E73CEC"/>
    <w:rsid w:val="00E73E02"/>
    <w:rsid w:val="00E73E67"/>
    <w:rsid w:val="00E73EAB"/>
    <w:rsid w:val="00E7422C"/>
    <w:rsid w:val="00E743AF"/>
    <w:rsid w:val="00E743C6"/>
    <w:rsid w:val="00E745E9"/>
    <w:rsid w:val="00E747E0"/>
    <w:rsid w:val="00E74827"/>
    <w:rsid w:val="00E74CF7"/>
    <w:rsid w:val="00E74D17"/>
    <w:rsid w:val="00E74D5D"/>
    <w:rsid w:val="00E74D84"/>
    <w:rsid w:val="00E74DCC"/>
    <w:rsid w:val="00E74F3B"/>
    <w:rsid w:val="00E74F7C"/>
    <w:rsid w:val="00E74F85"/>
    <w:rsid w:val="00E75378"/>
    <w:rsid w:val="00E75490"/>
    <w:rsid w:val="00E754E5"/>
    <w:rsid w:val="00E756F7"/>
    <w:rsid w:val="00E75707"/>
    <w:rsid w:val="00E757A0"/>
    <w:rsid w:val="00E757A2"/>
    <w:rsid w:val="00E758EF"/>
    <w:rsid w:val="00E75B48"/>
    <w:rsid w:val="00E75BA0"/>
    <w:rsid w:val="00E75CD2"/>
    <w:rsid w:val="00E75D26"/>
    <w:rsid w:val="00E75E4A"/>
    <w:rsid w:val="00E75F45"/>
    <w:rsid w:val="00E75F65"/>
    <w:rsid w:val="00E761D5"/>
    <w:rsid w:val="00E761E6"/>
    <w:rsid w:val="00E7623A"/>
    <w:rsid w:val="00E76612"/>
    <w:rsid w:val="00E76734"/>
    <w:rsid w:val="00E7683C"/>
    <w:rsid w:val="00E76933"/>
    <w:rsid w:val="00E76A86"/>
    <w:rsid w:val="00E76AF0"/>
    <w:rsid w:val="00E76B85"/>
    <w:rsid w:val="00E76B86"/>
    <w:rsid w:val="00E76BB5"/>
    <w:rsid w:val="00E76C39"/>
    <w:rsid w:val="00E76D12"/>
    <w:rsid w:val="00E76D5E"/>
    <w:rsid w:val="00E76DA5"/>
    <w:rsid w:val="00E77027"/>
    <w:rsid w:val="00E7707A"/>
    <w:rsid w:val="00E77170"/>
    <w:rsid w:val="00E77223"/>
    <w:rsid w:val="00E773E7"/>
    <w:rsid w:val="00E77632"/>
    <w:rsid w:val="00E77664"/>
    <w:rsid w:val="00E77882"/>
    <w:rsid w:val="00E77893"/>
    <w:rsid w:val="00E77C61"/>
    <w:rsid w:val="00E77CEC"/>
    <w:rsid w:val="00E77DCE"/>
    <w:rsid w:val="00E80051"/>
    <w:rsid w:val="00E8005A"/>
    <w:rsid w:val="00E8038F"/>
    <w:rsid w:val="00E803E7"/>
    <w:rsid w:val="00E803FC"/>
    <w:rsid w:val="00E8048A"/>
    <w:rsid w:val="00E8050C"/>
    <w:rsid w:val="00E80552"/>
    <w:rsid w:val="00E808ED"/>
    <w:rsid w:val="00E80A36"/>
    <w:rsid w:val="00E80C0A"/>
    <w:rsid w:val="00E80C6A"/>
    <w:rsid w:val="00E80C9B"/>
    <w:rsid w:val="00E80D04"/>
    <w:rsid w:val="00E80EFD"/>
    <w:rsid w:val="00E80F51"/>
    <w:rsid w:val="00E80F7B"/>
    <w:rsid w:val="00E8110E"/>
    <w:rsid w:val="00E8116E"/>
    <w:rsid w:val="00E813AD"/>
    <w:rsid w:val="00E8157B"/>
    <w:rsid w:val="00E815E7"/>
    <w:rsid w:val="00E816CA"/>
    <w:rsid w:val="00E81735"/>
    <w:rsid w:val="00E8180C"/>
    <w:rsid w:val="00E81FAF"/>
    <w:rsid w:val="00E82061"/>
    <w:rsid w:val="00E822E4"/>
    <w:rsid w:val="00E8231E"/>
    <w:rsid w:val="00E824BD"/>
    <w:rsid w:val="00E825EE"/>
    <w:rsid w:val="00E8260B"/>
    <w:rsid w:val="00E826B9"/>
    <w:rsid w:val="00E829CA"/>
    <w:rsid w:val="00E82A70"/>
    <w:rsid w:val="00E82AFB"/>
    <w:rsid w:val="00E82B68"/>
    <w:rsid w:val="00E82E8F"/>
    <w:rsid w:val="00E82F19"/>
    <w:rsid w:val="00E83300"/>
    <w:rsid w:val="00E835ED"/>
    <w:rsid w:val="00E8361B"/>
    <w:rsid w:val="00E8361C"/>
    <w:rsid w:val="00E83655"/>
    <w:rsid w:val="00E836C4"/>
    <w:rsid w:val="00E83780"/>
    <w:rsid w:val="00E838C2"/>
    <w:rsid w:val="00E83BF8"/>
    <w:rsid w:val="00E83D61"/>
    <w:rsid w:val="00E83DDC"/>
    <w:rsid w:val="00E83ECB"/>
    <w:rsid w:val="00E83EFE"/>
    <w:rsid w:val="00E8410B"/>
    <w:rsid w:val="00E8430C"/>
    <w:rsid w:val="00E84326"/>
    <w:rsid w:val="00E84378"/>
    <w:rsid w:val="00E84386"/>
    <w:rsid w:val="00E844B9"/>
    <w:rsid w:val="00E8463C"/>
    <w:rsid w:val="00E8488D"/>
    <w:rsid w:val="00E8490A"/>
    <w:rsid w:val="00E84B51"/>
    <w:rsid w:val="00E84BC1"/>
    <w:rsid w:val="00E84BFC"/>
    <w:rsid w:val="00E84C01"/>
    <w:rsid w:val="00E84C41"/>
    <w:rsid w:val="00E84E77"/>
    <w:rsid w:val="00E84F9D"/>
    <w:rsid w:val="00E84FF5"/>
    <w:rsid w:val="00E8515B"/>
    <w:rsid w:val="00E8516F"/>
    <w:rsid w:val="00E853A0"/>
    <w:rsid w:val="00E853AE"/>
    <w:rsid w:val="00E854FE"/>
    <w:rsid w:val="00E85528"/>
    <w:rsid w:val="00E8557F"/>
    <w:rsid w:val="00E855BD"/>
    <w:rsid w:val="00E85693"/>
    <w:rsid w:val="00E856F8"/>
    <w:rsid w:val="00E85782"/>
    <w:rsid w:val="00E85A36"/>
    <w:rsid w:val="00E85D37"/>
    <w:rsid w:val="00E85D91"/>
    <w:rsid w:val="00E85DFC"/>
    <w:rsid w:val="00E85EF4"/>
    <w:rsid w:val="00E85F65"/>
    <w:rsid w:val="00E86007"/>
    <w:rsid w:val="00E86046"/>
    <w:rsid w:val="00E8608E"/>
    <w:rsid w:val="00E8621C"/>
    <w:rsid w:val="00E862BB"/>
    <w:rsid w:val="00E86576"/>
    <w:rsid w:val="00E86666"/>
    <w:rsid w:val="00E86672"/>
    <w:rsid w:val="00E866BB"/>
    <w:rsid w:val="00E86956"/>
    <w:rsid w:val="00E86A39"/>
    <w:rsid w:val="00E86A89"/>
    <w:rsid w:val="00E86C06"/>
    <w:rsid w:val="00E86E7D"/>
    <w:rsid w:val="00E86EDB"/>
    <w:rsid w:val="00E86EF3"/>
    <w:rsid w:val="00E87037"/>
    <w:rsid w:val="00E87304"/>
    <w:rsid w:val="00E87429"/>
    <w:rsid w:val="00E8742D"/>
    <w:rsid w:val="00E87476"/>
    <w:rsid w:val="00E87590"/>
    <w:rsid w:val="00E876E7"/>
    <w:rsid w:val="00E87814"/>
    <w:rsid w:val="00E87A24"/>
    <w:rsid w:val="00E87B12"/>
    <w:rsid w:val="00E87D53"/>
    <w:rsid w:val="00E87D59"/>
    <w:rsid w:val="00E87D5B"/>
    <w:rsid w:val="00E87E9D"/>
    <w:rsid w:val="00E87FC9"/>
    <w:rsid w:val="00E9002A"/>
    <w:rsid w:val="00E90031"/>
    <w:rsid w:val="00E900BC"/>
    <w:rsid w:val="00E90177"/>
    <w:rsid w:val="00E902FA"/>
    <w:rsid w:val="00E90507"/>
    <w:rsid w:val="00E90584"/>
    <w:rsid w:val="00E90947"/>
    <w:rsid w:val="00E909F0"/>
    <w:rsid w:val="00E90AB8"/>
    <w:rsid w:val="00E90B22"/>
    <w:rsid w:val="00E90BDB"/>
    <w:rsid w:val="00E90F16"/>
    <w:rsid w:val="00E91239"/>
    <w:rsid w:val="00E9135A"/>
    <w:rsid w:val="00E914D4"/>
    <w:rsid w:val="00E91725"/>
    <w:rsid w:val="00E918B9"/>
    <w:rsid w:val="00E918E3"/>
    <w:rsid w:val="00E91973"/>
    <w:rsid w:val="00E919B8"/>
    <w:rsid w:val="00E91A2C"/>
    <w:rsid w:val="00E91AC2"/>
    <w:rsid w:val="00E91B5E"/>
    <w:rsid w:val="00E91C32"/>
    <w:rsid w:val="00E91C43"/>
    <w:rsid w:val="00E91D50"/>
    <w:rsid w:val="00E91E66"/>
    <w:rsid w:val="00E9200D"/>
    <w:rsid w:val="00E922D1"/>
    <w:rsid w:val="00E923AB"/>
    <w:rsid w:val="00E923FC"/>
    <w:rsid w:val="00E92516"/>
    <w:rsid w:val="00E92573"/>
    <w:rsid w:val="00E926B6"/>
    <w:rsid w:val="00E92988"/>
    <w:rsid w:val="00E92A92"/>
    <w:rsid w:val="00E92D05"/>
    <w:rsid w:val="00E92DD1"/>
    <w:rsid w:val="00E92F35"/>
    <w:rsid w:val="00E92FA9"/>
    <w:rsid w:val="00E93172"/>
    <w:rsid w:val="00E934CB"/>
    <w:rsid w:val="00E93800"/>
    <w:rsid w:val="00E9391E"/>
    <w:rsid w:val="00E93B09"/>
    <w:rsid w:val="00E93D42"/>
    <w:rsid w:val="00E94192"/>
    <w:rsid w:val="00E941B1"/>
    <w:rsid w:val="00E94250"/>
    <w:rsid w:val="00E94543"/>
    <w:rsid w:val="00E9461B"/>
    <w:rsid w:val="00E946A7"/>
    <w:rsid w:val="00E948C1"/>
    <w:rsid w:val="00E948DE"/>
    <w:rsid w:val="00E949DF"/>
    <w:rsid w:val="00E94B11"/>
    <w:rsid w:val="00E94BCF"/>
    <w:rsid w:val="00E94C46"/>
    <w:rsid w:val="00E94C96"/>
    <w:rsid w:val="00E94E2C"/>
    <w:rsid w:val="00E94ED4"/>
    <w:rsid w:val="00E94EED"/>
    <w:rsid w:val="00E94F7F"/>
    <w:rsid w:val="00E9547E"/>
    <w:rsid w:val="00E95676"/>
    <w:rsid w:val="00E957DA"/>
    <w:rsid w:val="00E9580F"/>
    <w:rsid w:val="00E958BE"/>
    <w:rsid w:val="00E9590A"/>
    <w:rsid w:val="00E959B6"/>
    <w:rsid w:val="00E95A6C"/>
    <w:rsid w:val="00E95AD8"/>
    <w:rsid w:val="00E95C6B"/>
    <w:rsid w:val="00E95CDA"/>
    <w:rsid w:val="00E95DC8"/>
    <w:rsid w:val="00E95EC8"/>
    <w:rsid w:val="00E96122"/>
    <w:rsid w:val="00E96231"/>
    <w:rsid w:val="00E96395"/>
    <w:rsid w:val="00E9639E"/>
    <w:rsid w:val="00E96435"/>
    <w:rsid w:val="00E96479"/>
    <w:rsid w:val="00E965AB"/>
    <w:rsid w:val="00E96704"/>
    <w:rsid w:val="00E96757"/>
    <w:rsid w:val="00E967D2"/>
    <w:rsid w:val="00E9683E"/>
    <w:rsid w:val="00E9690D"/>
    <w:rsid w:val="00E96988"/>
    <w:rsid w:val="00E96B45"/>
    <w:rsid w:val="00E96D5E"/>
    <w:rsid w:val="00E96D80"/>
    <w:rsid w:val="00E96D92"/>
    <w:rsid w:val="00E96D94"/>
    <w:rsid w:val="00E96F24"/>
    <w:rsid w:val="00E970B8"/>
    <w:rsid w:val="00E9713B"/>
    <w:rsid w:val="00E971A0"/>
    <w:rsid w:val="00E9720A"/>
    <w:rsid w:val="00E9738A"/>
    <w:rsid w:val="00E97625"/>
    <w:rsid w:val="00E9767F"/>
    <w:rsid w:val="00E976A0"/>
    <w:rsid w:val="00E9794C"/>
    <w:rsid w:val="00E97CD8"/>
    <w:rsid w:val="00E97D35"/>
    <w:rsid w:val="00E97DE0"/>
    <w:rsid w:val="00EA020F"/>
    <w:rsid w:val="00EA027F"/>
    <w:rsid w:val="00EA033B"/>
    <w:rsid w:val="00EA09F7"/>
    <w:rsid w:val="00EA0A71"/>
    <w:rsid w:val="00EA0AA5"/>
    <w:rsid w:val="00EA0CA5"/>
    <w:rsid w:val="00EA0D04"/>
    <w:rsid w:val="00EA0DE6"/>
    <w:rsid w:val="00EA0F21"/>
    <w:rsid w:val="00EA108C"/>
    <w:rsid w:val="00EA124B"/>
    <w:rsid w:val="00EA1450"/>
    <w:rsid w:val="00EA152B"/>
    <w:rsid w:val="00EA167D"/>
    <w:rsid w:val="00EA172C"/>
    <w:rsid w:val="00EA180C"/>
    <w:rsid w:val="00EA1A28"/>
    <w:rsid w:val="00EA1A3B"/>
    <w:rsid w:val="00EA1BF2"/>
    <w:rsid w:val="00EA1D2A"/>
    <w:rsid w:val="00EA209F"/>
    <w:rsid w:val="00EA20DD"/>
    <w:rsid w:val="00EA21B0"/>
    <w:rsid w:val="00EA230E"/>
    <w:rsid w:val="00EA237E"/>
    <w:rsid w:val="00EA2405"/>
    <w:rsid w:val="00EA264B"/>
    <w:rsid w:val="00EA2667"/>
    <w:rsid w:val="00EA2917"/>
    <w:rsid w:val="00EA29DE"/>
    <w:rsid w:val="00EA2A57"/>
    <w:rsid w:val="00EA2AED"/>
    <w:rsid w:val="00EA2B32"/>
    <w:rsid w:val="00EA2B68"/>
    <w:rsid w:val="00EA2C8F"/>
    <w:rsid w:val="00EA2CC2"/>
    <w:rsid w:val="00EA2CDB"/>
    <w:rsid w:val="00EA2D88"/>
    <w:rsid w:val="00EA2EF5"/>
    <w:rsid w:val="00EA3610"/>
    <w:rsid w:val="00EA3961"/>
    <w:rsid w:val="00EA3B07"/>
    <w:rsid w:val="00EA3BB5"/>
    <w:rsid w:val="00EA3BCE"/>
    <w:rsid w:val="00EA3CC7"/>
    <w:rsid w:val="00EA3E2B"/>
    <w:rsid w:val="00EA3EA5"/>
    <w:rsid w:val="00EA40D2"/>
    <w:rsid w:val="00EA43D7"/>
    <w:rsid w:val="00EA46E1"/>
    <w:rsid w:val="00EA47B2"/>
    <w:rsid w:val="00EA47BA"/>
    <w:rsid w:val="00EA4960"/>
    <w:rsid w:val="00EA4A78"/>
    <w:rsid w:val="00EA508D"/>
    <w:rsid w:val="00EA517A"/>
    <w:rsid w:val="00EA51D3"/>
    <w:rsid w:val="00EA51E7"/>
    <w:rsid w:val="00EA51F1"/>
    <w:rsid w:val="00EA52B3"/>
    <w:rsid w:val="00EA5529"/>
    <w:rsid w:val="00EA5817"/>
    <w:rsid w:val="00EA583E"/>
    <w:rsid w:val="00EA585A"/>
    <w:rsid w:val="00EA5885"/>
    <w:rsid w:val="00EA5923"/>
    <w:rsid w:val="00EA59F5"/>
    <w:rsid w:val="00EA5E40"/>
    <w:rsid w:val="00EA5E95"/>
    <w:rsid w:val="00EA5EC5"/>
    <w:rsid w:val="00EA5F1E"/>
    <w:rsid w:val="00EA5F39"/>
    <w:rsid w:val="00EA5FD8"/>
    <w:rsid w:val="00EA60D1"/>
    <w:rsid w:val="00EA622F"/>
    <w:rsid w:val="00EA63E0"/>
    <w:rsid w:val="00EA6507"/>
    <w:rsid w:val="00EA66A9"/>
    <w:rsid w:val="00EA66B4"/>
    <w:rsid w:val="00EA66E5"/>
    <w:rsid w:val="00EA676E"/>
    <w:rsid w:val="00EA6795"/>
    <w:rsid w:val="00EA67D8"/>
    <w:rsid w:val="00EA6903"/>
    <w:rsid w:val="00EA6962"/>
    <w:rsid w:val="00EA6AE2"/>
    <w:rsid w:val="00EA6CE0"/>
    <w:rsid w:val="00EA6D61"/>
    <w:rsid w:val="00EA71A7"/>
    <w:rsid w:val="00EA731B"/>
    <w:rsid w:val="00EA73CC"/>
    <w:rsid w:val="00EA7629"/>
    <w:rsid w:val="00EA7696"/>
    <w:rsid w:val="00EA76B2"/>
    <w:rsid w:val="00EA76F7"/>
    <w:rsid w:val="00EA778F"/>
    <w:rsid w:val="00EA77E5"/>
    <w:rsid w:val="00EA78E0"/>
    <w:rsid w:val="00EA78E6"/>
    <w:rsid w:val="00EA7B14"/>
    <w:rsid w:val="00EA7B8F"/>
    <w:rsid w:val="00EA7BA9"/>
    <w:rsid w:val="00EA7C89"/>
    <w:rsid w:val="00EA7D55"/>
    <w:rsid w:val="00EA7D9A"/>
    <w:rsid w:val="00EA7E12"/>
    <w:rsid w:val="00EA7E39"/>
    <w:rsid w:val="00EA7E3F"/>
    <w:rsid w:val="00EA7EEF"/>
    <w:rsid w:val="00EA7F8C"/>
    <w:rsid w:val="00EB001B"/>
    <w:rsid w:val="00EB0021"/>
    <w:rsid w:val="00EB016E"/>
    <w:rsid w:val="00EB0222"/>
    <w:rsid w:val="00EB023B"/>
    <w:rsid w:val="00EB02ED"/>
    <w:rsid w:val="00EB038A"/>
    <w:rsid w:val="00EB03AB"/>
    <w:rsid w:val="00EB044C"/>
    <w:rsid w:val="00EB0461"/>
    <w:rsid w:val="00EB04BC"/>
    <w:rsid w:val="00EB07C7"/>
    <w:rsid w:val="00EB0A1F"/>
    <w:rsid w:val="00EB0B3C"/>
    <w:rsid w:val="00EB0B45"/>
    <w:rsid w:val="00EB0C80"/>
    <w:rsid w:val="00EB0D81"/>
    <w:rsid w:val="00EB0D90"/>
    <w:rsid w:val="00EB0EEE"/>
    <w:rsid w:val="00EB0F34"/>
    <w:rsid w:val="00EB0F80"/>
    <w:rsid w:val="00EB10C2"/>
    <w:rsid w:val="00EB1138"/>
    <w:rsid w:val="00EB11AC"/>
    <w:rsid w:val="00EB1246"/>
    <w:rsid w:val="00EB12FF"/>
    <w:rsid w:val="00EB1358"/>
    <w:rsid w:val="00EB155F"/>
    <w:rsid w:val="00EB1609"/>
    <w:rsid w:val="00EB1635"/>
    <w:rsid w:val="00EB1637"/>
    <w:rsid w:val="00EB174F"/>
    <w:rsid w:val="00EB17A5"/>
    <w:rsid w:val="00EB193A"/>
    <w:rsid w:val="00EB19FF"/>
    <w:rsid w:val="00EB1A1C"/>
    <w:rsid w:val="00EB1C06"/>
    <w:rsid w:val="00EB1DCB"/>
    <w:rsid w:val="00EB1EDE"/>
    <w:rsid w:val="00EB2069"/>
    <w:rsid w:val="00EB208C"/>
    <w:rsid w:val="00EB21D6"/>
    <w:rsid w:val="00EB2207"/>
    <w:rsid w:val="00EB227A"/>
    <w:rsid w:val="00EB246B"/>
    <w:rsid w:val="00EB2791"/>
    <w:rsid w:val="00EB2813"/>
    <w:rsid w:val="00EB28BF"/>
    <w:rsid w:val="00EB2A42"/>
    <w:rsid w:val="00EB2ADB"/>
    <w:rsid w:val="00EB2B0B"/>
    <w:rsid w:val="00EB2B3E"/>
    <w:rsid w:val="00EB2BE5"/>
    <w:rsid w:val="00EB2E72"/>
    <w:rsid w:val="00EB2EFD"/>
    <w:rsid w:val="00EB2F7D"/>
    <w:rsid w:val="00EB31E9"/>
    <w:rsid w:val="00EB32AD"/>
    <w:rsid w:val="00EB3377"/>
    <w:rsid w:val="00EB368C"/>
    <w:rsid w:val="00EB3749"/>
    <w:rsid w:val="00EB383C"/>
    <w:rsid w:val="00EB3956"/>
    <w:rsid w:val="00EB3981"/>
    <w:rsid w:val="00EB39A2"/>
    <w:rsid w:val="00EB39D8"/>
    <w:rsid w:val="00EB39F5"/>
    <w:rsid w:val="00EB3B81"/>
    <w:rsid w:val="00EB3BB1"/>
    <w:rsid w:val="00EB3CE1"/>
    <w:rsid w:val="00EB3EB4"/>
    <w:rsid w:val="00EB3EE5"/>
    <w:rsid w:val="00EB3F73"/>
    <w:rsid w:val="00EB3FFC"/>
    <w:rsid w:val="00EB4019"/>
    <w:rsid w:val="00EB421A"/>
    <w:rsid w:val="00EB437E"/>
    <w:rsid w:val="00EB4416"/>
    <w:rsid w:val="00EB45B4"/>
    <w:rsid w:val="00EB45F7"/>
    <w:rsid w:val="00EB4735"/>
    <w:rsid w:val="00EB4869"/>
    <w:rsid w:val="00EB48DF"/>
    <w:rsid w:val="00EB48F5"/>
    <w:rsid w:val="00EB4948"/>
    <w:rsid w:val="00EB4A32"/>
    <w:rsid w:val="00EB4C6E"/>
    <w:rsid w:val="00EB4D65"/>
    <w:rsid w:val="00EB4D88"/>
    <w:rsid w:val="00EB4E47"/>
    <w:rsid w:val="00EB4F7D"/>
    <w:rsid w:val="00EB4FA2"/>
    <w:rsid w:val="00EB4FC9"/>
    <w:rsid w:val="00EB5043"/>
    <w:rsid w:val="00EB50C5"/>
    <w:rsid w:val="00EB50D8"/>
    <w:rsid w:val="00EB510C"/>
    <w:rsid w:val="00EB52E1"/>
    <w:rsid w:val="00EB5310"/>
    <w:rsid w:val="00EB5365"/>
    <w:rsid w:val="00EB5437"/>
    <w:rsid w:val="00EB55CB"/>
    <w:rsid w:val="00EB58C1"/>
    <w:rsid w:val="00EB58D7"/>
    <w:rsid w:val="00EB5A82"/>
    <w:rsid w:val="00EB5AAE"/>
    <w:rsid w:val="00EB5BBE"/>
    <w:rsid w:val="00EB5BE1"/>
    <w:rsid w:val="00EB5C83"/>
    <w:rsid w:val="00EB5C91"/>
    <w:rsid w:val="00EB5CA1"/>
    <w:rsid w:val="00EB5CB0"/>
    <w:rsid w:val="00EB60A1"/>
    <w:rsid w:val="00EB60AA"/>
    <w:rsid w:val="00EB6359"/>
    <w:rsid w:val="00EB63EE"/>
    <w:rsid w:val="00EB6558"/>
    <w:rsid w:val="00EB66E6"/>
    <w:rsid w:val="00EB6839"/>
    <w:rsid w:val="00EB6990"/>
    <w:rsid w:val="00EB6DF8"/>
    <w:rsid w:val="00EB6E20"/>
    <w:rsid w:val="00EB6EA9"/>
    <w:rsid w:val="00EB6F55"/>
    <w:rsid w:val="00EB7079"/>
    <w:rsid w:val="00EB723B"/>
    <w:rsid w:val="00EB733A"/>
    <w:rsid w:val="00EB749E"/>
    <w:rsid w:val="00EB76DA"/>
    <w:rsid w:val="00EB77BA"/>
    <w:rsid w:val="00EB77D1"/>
    <w:rsid w:val="00EB7B3C"/>
    <w:rsid w:val="00EB7BA1"/>
    <w:rsid w:val="00EB7BCD"/>
    <w:rsid w:val="00EB7C97"/>
    <w:rsid w:val="00EB7CE6"/>
    <w:rsid w:val="00EB7CF5"/>
    <w:rsid w:val="00EB7E42"/>
    <w:rsid w:val="00EC001C"/>
    <w:rsid w:val="00EC0199"/>
    <w:rsid w:val="00EC045B"/>
    <w:rsid w:val="00EC047E"/>
    <w:rsid w:val="00EC04BC"/>
    <w:rsid w:val="00EC0691"/>
    <w:rsid w:val="00EC0726"/>
    <w:rsid w:val="00EC08A5"/>
    <w:rsid w:val="00EC08B7"/>
    <w:rsid w:val="00EC0A6C"/>
    <w:rsid w:val="00EC0CD3"/>
    <w:rsid w:val="00EC0D3C"/>
    <w:rsid w:val="00EC15C9"/>
    <w:rsid w:val="00EC171F"/>
    <w:rsid w:val="00EC18BC"/>
    <w:rsid w:val="00EC19F1"/>
    <w:rsid w:val="00EC1C8A"/>
    <w:rsid w:val="00EC1DE9"/>
    <w:rsid w:val="00EC2056"/>
    <w:rsid w:val="00EC2097"/>
    <w:rsid w:val="00EC22B8"/>
    <w:rsid w:val="00EC236F"/>
    <w:rsid w:val="00EC271B"/>
    <w:rsid w:val="00EC27CE"/>
    <w:rsid w:val="00EC2874"/>
    <w:rsid w:val="00EC2883"/>
    <w:rsid w:val="00EC29C1"/>
    <w:rsid w:val="00EC2A4F"/>
    <w:rsid w:val="00EC2BFE"/>
    <w:rsid w:val="00EC2C42"/>
    <w:rsid w:val="00EC2C55"/>
    <w:rsid w:val="00EC2C5C"/>
    <w:rsid w:val="00EC2CB1"/>
    <w:rsid w:val="00EC2D68"/>
    <w:rsid w:val="00EC2EFD"/>
    <w:rsid w:val="00EC2F29"/>
    <w:rsid w:val="00EC2FDB"/>
    <w:rsid w:val="00EC2FEC"/>
    <w:rsid w:val="00EC311C"/>
    <w:rsid w:val="00EC322C"/>
    <w:rsid w:val="00EC32C5"/>
    <w:rsid w:val="00EC33B0"/>
    <w:rsid w:val="00EC33F6"/>
    <w:rsid w:val="00EC3442"/>
    <w:rsid w:val="00EC364E"/>
    <w:rsid w:val="00EC3652"/>
    <w:rsid w:val="00EC37E1"/>
    <w:rsid w:val="00EC3915"/>
    <w:rsid w:val="00EC3B95"/>
    <w:rsid w:val="00EC3C3D"/>
    <w:rsid w:val="00EC3C8B"/>
    <w:rsid w:val="00EC3D25"/>
    <w:rsid w:val="00EC3DC0"/>
    <w:rsid w:val="00EC41D5"/>
    <w:rsid w:val="00EC43B9"/>
    <w:rsid w:val="00EC43F0"/>
    <w:rsid w:val="00EC458C"/>
    <w:rsid w:val="00EC4682"/>
    <w:rsid w:val="00EC46A0"/>
    <w:rsid w:val="00EC46DF"/>
    <w:rsid w:val="00EC499F"/>
    <w:rsid w:val="00EC49A4"/>
    <w:rsid w:val="00EC4C55"/>
    <w:rsid w:val="00EC4E62"/>
    <w:rsid w:val="00EC4EB0"/>
    <w:rsid w:val="00EC4F13"/>
    <w:rsid w:val="00EC50D2"/>
    <w:rsid w:val="00EC5629"/>
    <w:rsid w:val="00EC56D4"/>
    <w:rsid w:val="00EC57E0"/>
    <w:rsid w:val="00EC5894"/>
    <w:rsid w:val="00EC5A53"/>
    <w:rsid w:val="00EC5A72"/>
    <w:rsid w:val="00EC5F0D"/>
    <w:rsid w:val="00EC5FEB"/>
    <w:rsid w:val="00EC601D"/>
    <w:rsid w:val="00EC606E"/>
    <w:rsid w:val="00EC625C"/>
    <w:rsid w:val="00EC68FD"/>
    <w:rsid w:val="00EC6AAF"/>
    <w:rsid w:val="00EC6B2E"/>
    <w:rsid w:val="00EC6BE9"/>
    <w:rsid w:val="00EC6D53"/>
    <w:rsid w:val="00EC6E16"/>
    <w:rsid w:val="00EC6EC3"/>
    <w:rsid w:val="00EC6F10"/>
    <w:rsid w:val="00EC6FAD"/>
    <w:rsid w:val="00EC7071"/>
    <w:rsid w:val="00EC7270"/>
    <w:rsid w:val="00EC72A6"/>
    <w:rsid w:val="00EC72FB"/>
    <w:rsid w:val="00EC73A3"/>
    <w:rsid w:val="00EC7609"/>
    <w:rsid w:val="00EC7698"/>
    <w:rsid w:val="00EC76D6"/>
    <w:rsid w:val="00EC77DD"/>
    <w:rsid w:val="00EC78DF"/>
    <w:rsid w:val="00EC79AC"/>
    <w:rsid w:val="00EC7A25"/>
    <w:rsid w:val="00EC7B5B"/>
    <w:rsid w:val="00EC7FE4"/>
    <w:rsid w:val="00ED0205"/>
    <w:rsid w:val="00ED0237"/>
    <w:rsid w:val="00ED0363"/>
    <w:rsid w:val="00ED0492"/>
    <w:rsid w:val="00ED062A"/>
    <w:rsid w:val="00ED06E1"/>
    <w:rsid w:val="00ED0710"/>
    <w:rsid w:val="00ED0744"/>
    <w:rsid w:val="00ED086D"/>
    <w:rsid w:val="00ED0976"/>
    <w:rsid w:val="00ED0A4B"/>
    <w:rsid w:val="00ED0A9D"/>
    <w:rsid w:val="00ED0DF8"/>
    <w:rsid w:val="00ED0E03"/>
    <w:rsid w:val="00ED1103"/>
    <w:rsid w:val="00ED1242"/>
    <w:rsid w:val="00ED1317"/>
    <w:rsid w:val="00ED147E"/>
    <w:rsid w:val="00ED150D"/>
    <w:rsid w:val="00ED151E"/>
    <w:rsid w:val="00ED1671"/>
    <w:rsid w:val="00ED188D"/>
    <w:rsid w:val="00ED18EF"/>
    <w:rsid w:val="00ED1971"/>
    <w:rsid w:val="00ED1A94"/>
    <w:rsid w:val="00ED1B08"/>
    <w:rsid w:val="00ED1BDC"/>
    <w:rsid w:val="00ED1EB1"/>
    <w:rsid w:val="00ED1EE8"/>
    <w:rsid w:val="00ED1F02"/>
    <w:rsid w:val="00ED20E7"/>
    <w:rsid w:val="00ED2199"/>
    <w:rsid w:val="00ED2318"/>
    <w:rsid w:val="00ED24DC"/>
    <w:rsid w:val="00ED25E8"/>
    <w:rsid w:val="00ED2967"/>
    <w:rsid w:val="00ED2A1C"/>
    <w:rsid w:val="00ED2CEE"/>
    <w:rsid w:val="00ED2DB9"/>
    <w:rsid w:val="00ED2E9E"/>
    <w:rsid w:val="00ED31ED"/>
    <w:rsid w:val="00ED332C"/>
    <w:rsid w:val="00ED35A9"/>
    <w:rsid w:val="00ED36D3"/>
    <w:rsid w:val="00ED37A9"/>
    <w:rsid w:val="00ED38E5"/>
    <w:rsid w:val="00ED3A08"/>
    <w:rsid w:val="00ED3AFE"/>
    <w:rsid w:val="00ED3DA0"/>
    <w:rsid w:val="00ED3EC5"/>
    <w:rsid w:val="00ED3F54"/>
    <w:rsid w:val="00ED3FA0"/>
    <w:rsid w:val="00ED3FF5"/>
    <w:rsid w:val="00ED412D"/>
    <w:rsid w:val="00ED4169"/>
    <w:rsid w:val="00ED41BB"/>
    <w:rsid w:val="00ED41ED"/>
    <w:rsid w:val="00ED4238"/>
    <w:rsid w:val="00ED4246"/>
    <w:rsid w:val="00ED42B5"/>
    <w:rsid w:val="00ED42BD"/>
    <w:rsid w:val="00ED47DB"/>
    <w:rsid w:val="00ED48B0"/>
    <w:rsid w:val="00ED49D3"/>
    <w:rsid w:val="00ED4A65"/>
    <w:rsid w:val="00ED4B4E"/>
    <w:rsid w:val="00ED4BBB"/>
    <w:rsid w:val="00ED4D88"/>
    <w:rsid w:val="00ED4DC9"/>
    <w:rsid w:val="00ED4DFF"/>
    <w:rsid w:val="00ED4E85"/>
    <w:rsid w:val="00ED4FA1"/>
    <w:rsid w:val="00ED511A"/>
    <w:rsid w:val="00ED5133"/>
    <w:rsid w:val="00ED5166"/>
    <w:rsid w:val="00ED544B"/>
    <w:rsid w:val="00ED55DF"/>
    <w:rsid w:val="00ED5646"/>
    <w:rsid w:val="00ED5799"/>
    <w:rsid w:val="00ED579F"/>
    <w:rsid w:val="00ED5804"/>
    <w:rsid w:val="00ED5882"/>
    <w:rsid w:val="00ED5B10"/>
    <w:rsid w:val="00ED5DC4"/>
    <w:rsid w:val="00ED60B0"/>
    <w:rsid w:val="00ED60B2"/>
    <w:rsid w:val="00ED6109"/>
    <w:rsid w:val="00ED641D"/>
    <w:rsid w:val="00ED663F"/>
    <w:rsid w:val="00ED6925"/>
    <w:rsid w:val="00ED6A2B"/>
    <w:rsid w:val="00ED6A5D"/>
    <w:rsid w:val="00ED6AE0"/>
    <w:rsid w:val="00ED6F2E"/>
    <w:rsid w:val="00ED6FC6"/>
    <w:rsid w:val="00ED7147"/>
    <w:rsid w:val="00ED739D"/>
    <w:rsid w:val="00ED73B9"/>
    <w:rsid w:val="00ED7400"/>
    <w:rsid w:val="00ED747F"/>
    <w:rsid w:val="00ED7586"/>
    <w:rsid w:val="00ED758C"/>
    <w:rsid w:val="00ED770D"/>
    <w:rsid w:val="00ED7838"/>
    <w:rsid w:val="00ED788B"/>
    <w:rsid w:val="00ED792C"/>
    <w:rsid w:val="00ED793C"/>
    <w:rsid w:val="00ED7D48"/>
    <w:rsid w:val="00ED7DF7"/>
    <w:rsid w:val="00ED7E9E"/>
    <w:rsid w:val="00ED7F59"/>
    <w:rsid w:val="00EE0024"/>
    <w:rsid w:val="00EE0215"/>
    <w:rsid w:val="00EE0402"/>
    <w:rsid w:val="00EE0471"/>
    <w:rsid w:val="00EE0534"/>
    <w:rsid w:val="00EE08FA"/>
    <w:rsid w:val="00EE0954"/>
    <w:rsid w:val="00EE0AC1"/>
    <w:rsid w:val="00EE0C8D"/>
    <w:rsid w:val="00EE0DAF"/>
    <w:rsid w:val="00EE0DFB"/>
    <w:rsid w:val="00EE0E79"/>
    <w:rsid w:val="00EE115B"/>
    <w:rsid w:val="00EE1281"/>
    <w:rsid w:val="00EE13E3"/>
    <w:rsid w:val="00EE157E"/>
    <w:rsid w:val="00EE173A"/>
    <w:rsid w:val="00EE1A1D"/>
    <w:rsid w:val="00EE1CAB"/>
    <w:rsid w:val="00EE1D35"/>
    <w:rsid w:val="00EE1D85"/>
    <w:rsid w:val="00EE1DCE"/>
    <w:rsid w:val="00EE1ED8"/>
    <w:rsid w:val="00EE20D8"/>
    <w:rsid w:val="00EE211E"/>
    <w:rsid w:val="00EE2224"/>
    <w:rsid w:val="00EE2241"/>
    <w:rsid w:val="00EE2408"/>
    <w:rsid w:val="00EE242E"/>
    <w:rsid w:val="00EE2526"/>
    <w:rsid w:val="00EE25AF"/>
    <w:rsid w:val="00EE25C5"/>
    <w:rsid w:val="00EE2726"/>
    <w:rsid w:val="00EE28F9"/>
    <w:rsid w:val="00EE2C45"/>
    <w:rsid w:val="00EE2D4B"/>
    <w:rsid w:val="00EE2F0D"/>
    <w:rsid w:val="00EE2F19"/>
    <w:rsid w:val="00EE2F86"/>
    <w:rsid w:val="00EE3034"/>
    <w:rsid w:val="00EE3203"/>
    <w:rsid w:val="00EE32DF"/>
    <w:rsid w:val="00EE3339"/>
    <w:rsid w:val="00EE3351"/>
    <w:rsid w:val="00EE335E"/>
    <w:rsid w:val="00EE3379"/>
    <w:rsid w:val="00EE33D0"/>
    <w:rsid w:val="00EE3577"/>
    <w:rsid w:val="00EE38E1"/>
    <w:rsid w:val="00EE394D"/>
    <w:rsid w:val="00EE39B4"/>
    <w:rsid w:val="00EE3A1B"/>
    <w:rsid w:val="00EE3B94"/>
    <w:rsid w:val="00EE3C79"/>
    <w:rsid w:val="00EE3C9B"/>
    <w:rsid w:val="00EE3EA4"/>
    <w:rsid w:val="00EE3F4D"/>
    <w:rsid w:val="00EE423E"/>
    <w:rsid w:val="00EE4326"/>
    <w:rsid w:val="00EE438D"/>
    <w:rsid w:val="00EE43B7"/>
    <w:rsid w:val="00EE43D9"/>
    <w:rsid w:val="00EE4495"/>
    <w:rsid w:val="00EE4650"/>
    <w:rsid w:val="00EE4665"/>
    <w:rsid w:val="00EE486A"/>
    <w:rsid w:val="00EE4A6D"/>
    <w:rsid w:val="00EE4BB9"/>
    <w:rsid w:val="00EE4D00"/>
    <w:rsid w:val="00EE4E59"/>
    <w:rsid w:val="00EE5033"/>
    <w:rsid w:val="00EE52C6"/>
    <w:rsid w:val="00EE5307"/>
    <w:rsid w:val="00EE5496"/>
    <w:rsid w:val="00EE5658"/>
    <w:rsid w:val="00EE5A0E"/>
    <w:rsid w:val="00EE5A35"/>
    <w:rsid w:val="00EE5B9A"/>
    <w:rsid w:val="00EE5BA9"/>
    <w:rsid w:val="00EE5BBC"/>
    <w:rsid w:val="00EE5BF2"/>
    <w:rsid w:val="00EE5D32"/>
    <w:rsid w:val="00EE5D5F"/>
    <w:rsid w:val="00EE5FE3"/>
    <w:rsid w:val="00EE61B8"/>
    <w:rsid w:val="00EE6372"/>
    <w:rsid w:val="00EE639D"/>
    <w:rsid w:val="00EE63F9"/>
    <w:rsid w:val="00EE6753"/>
    <w:rsid w:val="00EE67B9"/>
    <w:rsid w:val="00EE67E3"/>
    <w:rsid w:val="00EE67F9"/>
    <w:rsid w:val="00EE6839"/>
    <w:rsid w:val="00EE6924"/>
    <w:rsid w:val="00EE6A0A"/>
    <w:rsid w:val="00EE6D54"/>
    <w:rsid w:val="00EE6DB2"/>
    <w:rsid w:val="00EE6E10"/>
    <w:rsid w:val="00EE6EFD"/>
    <w:rsid w:val="00EE6FB9"/>
    <w:rsid w:val="00EE722A"/>
    <w:rsid w:val="00EE725D"/>
    <w:rsid w:val="00EE72A0"/>
    <w:rsid w:val="00EE7620"/>
    <w:rsid w:val="00EE7622"/>
    <w:rsid w:val="00EE7B64"/>
    <w:rsid w:val="00EE7D41"/>
    <w:rsid w:val="00EE7E39"/>
    <w:rsid w:val="00EE7EC9"/>
    <w:rsid w:val="00EF0103"/>
    <w:rsid w:val="00EF0141"/>
    <w:rsid w:val="00EF014A"/>
    <w:rsid w:val="00EF0346"/>
    <w:rsid w:val="00EF03FE"/>
    <w:rsid w:val="00EF046E"/>
    <w:rsid w:val="00EF04C2"/>
    <w:rsid w:val="00EF050C"/>
    <w:rsid w:val="00EF05E5"/>
    <w:rsid w:val="00EF066F"/>
    <w:rsid w:val="00EF0962"/>
    <w:rsid w:val="00EF0A57"/>
    <w:rsid w:val="00EF0B8B"/>
    <w:rsid w:val="00EF0BBE"/>
    <w:rsid w:val="00EF0C58"/>
    <w:rsid w:val="00EF0EF7"/>
    <w:rsid w:val="00EF1085"/>
    <w:rsid w:val="00EF1127"/>
    <w:rsid w:val="00EF1219"/>
    <w:rsid w:val="00EF121F"/>
    <w:rsid w:val="00EF1318"/>
    <w:rsid w:val="00EF1471"/>
    <w:rsid w:val="00EF1618"/>
    <w:rsid w:val="00EF17A7"/>
    <w:rsid w:val="00EF17DA"/>
    <w:rsid w:val="00EF18DF"/>
    <w:rsid w:val="00EF1941"/>
    <w:rsid w:val="00EF1BAC"/>
    <w:rsid w:val="00EF1C47"/>
    <w:rsid w:val="00EF1CCD"/>
    <w:rsid w:val="00EF1ECF"/>
    <w:rsid w:val="00EF1F4C"/>
    <w:rsid w:val="00EF1F57"/>
    <w:rsid w:val="00EF2244"/>
    <w:rsid w:val="00EF23A9"/>
    <w:rsid w:val="00EF2721"/>
    <w:rsid w:val="00EF2741"/>
    <w:rsid w:val="00EF27F1"/>
    <w:rsid w:val="00EF2A6F"/>
    <w:rsid w:val="00EF2AC1"/>
    <w:rsid w:val="00EF2B3C"/>
    <w:rsid w:val="00EF2B67"/>
    <w:rsid w:val="00EF2BCE"/>
    <w:rsid w:val="00EF2EA3"/>
    <w:rsid w:val="00EF2EEA"/>
    <w:rsid w:val="00EF2F87"/>
    <w:rsid w:val="00EF30C3"/>
    <w:rsid w:val="00EF31B8"/>
    <w:rsid w:val="00EF31E3"/>
    <w:rsid w:val="00EF32BE"/>
    <w:rsid w:val="00EF32EE"/>
    <w:rsid w:val="00EF34A1"/>
    <w:rsid w:val="00EF382E"/>
    <w:rsid w:val="00EF38EA"/>
    <w:rsid w:val="00EF394A"/>
    <w:rsid w:val="00EF394C"/>
    <w:rsid w:val="00EF3C6A"/>
    <w:rsid w:val="00EF3DDE"/>
    <w:rsid w:val="00EF4345"/>
    <w:rsid w:val="00EF44BB"/>
    <w:rsid w:val="00EF4744"/>
    <w:rsid w:val="00EF476C"/>
    <w:rsid w:val="00EF4894"/>
    <w:rsid w:val="00EF4A3A"/>
    <w:rsid w:val="00EF4C64"/>
    <w:rsid w:val="00EF4C78"/>
    <w:rsid w:val="00EF4E14"/>
    <w:rsid w:val="00EF509F"/>
    <w:rsid w:val="00EF5414"/>
    <w:rsid w:val="00EF54E1"/>
    <w:rsid w:val="00EF56AA"/>
    <w:rsid w:val="00EF5855"/>
    <w:rsid w:val="00EF5878"/>
    <w:rsid w:val="00EF58C6"/>
    <w:rsid w:val="00EF58E8"/>
    <w:rsid w:val="00EF5B1C"/>
    <w:rsid w:val="00EF5BCC"/>
    <w:rsid w:val="00EF5CDE"/>
    <w:rsid w:val="00EF5DA1"/>
    <w:rsid w:val="00EF6412"/>
    <w:rsid w:val="00EF64D5"/>
    <w:rsid w:val="00EF6624"/>
    <w:rsid w:val="00EF662A"/>
    <w:rsid w:val="00EF66E2"/>
    <w:rsid w:val="00EF6743"/>
    <w:rsid w:val="00EF696D"/>
    <w:rsid w:val="00EF69A8"/>
    <w:rsid w:val="00EF6B1B"/>
    <w:rsid w:val="00EF6D96"/>
    <w:rsid w:val="00EF6E44"/>
    <w:rsid w:val="00EF6E6C"/>
    <w:rsid w:val="00EF6F4D"/>
    <w:rsid w:val="00EF7003"/>
    <w:rsid w:val="00EF71AB"/>
    <w:rsid w:val="00EF71E1"/>
    <w:rsid w:val="00EF72D7"/>
    <w:rsid w:val="00EF7310"/>
    <w:rsid w:val="00EF7418"/>
    <w:rsid w:val="00EF7485"/>
    <w:rsid w:val="00EF7601"/>
    <w:rsid w:val="00EF7625"/>
    <w:rsid w:val="00EF7645"/>
    <w:rsid w:val="00EF78B2"/>
    <w:rsid w:val="00EF7952"/>
    <w:rsid w:val="00EF795E"/>
    <w:rsid w:val="00EF7981"/>
    <w:rsid w:val="00EF7A6A"/>
    <w:rsid w:val="00EF7AD3"/>
    <w:rsid w:val="00EF7B0D"/>
    <w:rsid w:val="00EF7B87"/>
    <w:rsid w:val="00EF7BF4"/>
    <w:rsid w:val="00EF7D95"/>
    <w:rsid w:val="00F00058"/>
    <w:rsid w:val="00F00152"/>
    <w:rsid w:val="00F00259"/>
    <w:rsid w:val="00F00357"/>
    <w:rsid w:val="00F003F6"/>
    <w:rsid w:val="00F00411"/>
    <w:rsid w:val="00F00522"/>
    <w:rsid w:val="00F005DB"/>
    <w:rsid w:val="00F00656"/>
    <w:rsid w:val="00F00687"/>
    <w:rsid w:val="00F006E1"/>
    <w:rsid w:val="00F007AB"/>
    <w:rsid w:val="00F007E7"/>
    <w:rsid w:val="00F008E8"/>
    <w:rsid w:val="00F00AAF"/>
    <w:rsid w:val="00F00AD0"/>
    <w:rsid w:val="00F00D18"/>
    <w:rsid w:val="00F00D3E"/>
    <w:rsid w:val="00F00D6C"/>
    <w:rsid w:val="00F00F16"/>
    <w:rsid w:val="00F00FA8"/>
    <w:rsid w:val="00F01014"/>
    <w:rsid w:val="00F011A2"/>
    <w:rsid w:val="00F01335"/>
    <w:rsid w:val="00F013F0"/>
    <w:rsid w:val="00F01574"/>
    <w:rsid w:val="00F01632"/>
    <w:rsid w:val="00F01669"/>
    <w:rsid w:val="00F016AA"/>
    <w:rsid w:val="00F017B6"/>
    <w:rsid w:val="00F01886"/>
    <w:rsid w:val="00F01A42"/>
    <w:rsid w:val="00F01AD8"/>
    <w:rsid w:val="00F01B36"/>
    <w:rsid w:val="00F01C13"/>
    <w:rsid w:val="00F01FD9"/>
    <w:rsid w:val="00F02296"/>
    <w:rsid w:val="00F02362"/>
    <w:rsid w:val="00F0238D"/>
    <w:rsid w:val="00F024F5"/>
    <w:rsid w:val="00F025A4"/>
    <w:rsid w:val="00F0284A"/>
    <w:rsid w:val="00F02906"/>
    <w:rsid w:val="00F0294B"/>
    <w:rsid w:val="00F02CE0"/>
    <w:rsid w:val="00F02E4E"/>
    <w:rsid w:val="00F02F6A"/>
    <w:rsid w:val="00F02F96"/>
    <w:rsid w:val="00F031CC"/>
    <w:rsid w:val="00F03472"/>
    <w:rsid w:val="00F03497"/>
    <w:rsid w:val="00F03626"/>
    <w:rsid w:val="00F03718"/>
    <w:rsid w:val="00F037F8"/>
    <w:rsid w:val="00F03960"/>
    <w:rsid w:val="00F0398C"/>
    <w:rsid w:val="00F039B3"/>
    <w:rsid w:val="00F039E9"/>
    <w:rsid w:val="00F03B1E"/>
    <w:rsid w:val="00F03BBD"/>
    <w:rsid w:val="00F03C10"/>
    <w:rsid w:val="00F03C18"/>
    <w:rsid w:val="00F03C75"/>
    <w:rsid w:val="00F03DE8"/>
    <w:rsid w:val="00F03F00"/>
    <w:rsid w:val="00F0403A"/>
    <w:rsid w:val="00F040F2"/>
    <w:rsid w:val="00F044DB"/>
    <w:rsid w:val="00F046B3"/>
    <w:rsid w:val="00F04917"/>
    <w:rsid w:val="00F04AEF"/>
    <w:rsid w:val="00F04AF7"/>
    <w:rsid w:val="00F04C35"/>
    <w:rsid w:val="00F04F45"/>
    <w:rsid w:val="00F04F8B"/>
    <w:rsid w:val="00F05094"/>
    <w:rsid w:val="00F050A5"/>
    <w:rsid w:val="00F050CC"/>
    <w:rsid w:val="00F050F6"/>
    <w:rsid w:val="00F05106"/>
    <w:rsid w:val="00F05163"/>
    <w:rsid w:val="00F05342"/>
    <w:rsid w:val="00F05544"/>
    <w:rsid w:val="00F05612"/>
    <w:rsid w:val="00F056C5"/>
    <w:rsid w:val="00F057AA"/>
    <w:rsid w:val="00F05909"/>
    <w:rsid w:val="00F05998"/>
    <w:rsid w:val="00F05B60"/>
    <w:rsid w:val="00F05B84"/>
    <w:rsid w:val="00F05C29"/>
    <w:rsid w:val="00F05C63"/>
    <w:rsid w:val="00F05C71"/>
    <w:rsid w:val="00F05CFB"/>
    <w:rsid w:val="00F05F62"/>
    <w:rsid w:val="00F05FE7"/>
    <w:rsid w:val="00F06181"/>
    <w:rsid w:val="00F063F1"/>
    <w:rsid w:val="00F06408"/>
    <w:rsid w:val="00F064B9"/>
    <w:rsid w:val="00F064D9"/>
    <w:rsid w:val="00F06511"/>
    <w:rsid w:val="00F06535"/>
    <w:rsid w:val="00F0673B"/>
    <w:rsid w:val="00F0683E"/>
    <w:rsid w:val="00F068E9"/>
    <w:rsid w:val="00F06A80"/>
    <w:rsid w:val="00F06B58"/>
    <w:rsid w:val="00F06B71"/>
    <w:rsid w:val="00F06BDD"/>
    <w:rsid w:val="00F06C04"/>
    <w:rsid w:val="00F06CC2"/>
    <w:rsid w:val="00F06CDE"/>
    <w:rsid w:val="00F0701B"/>
    <w:rsid w:val="00F07052"/>
    <w:rsid w:val="00F0706E"/>
    <w:rsid w:val="00F070B3"/>
    <w:rsid w:val="00F071BD"/>
    <w:rsid w:val="00F07201"/>
    <w:rsid w:val="00F07232"/>
    <w:rsid w:val="00F07472"/>
    <w:rsid w:val="00F075A2"/>
    <w:rsid w:val="00F076FB"/>
    <w:rsid w:val="00F078A3"/>
    <w:rsid w:val="00F07A82"/>
    <w:rsid w:val="00F07C06"/>
    <w:rsid w:val="00F07E09"/>
    <w:rsid w:val="00F07E74"/>
    <w:rsid w:val="00F10071"/>
    <w:rsid w:val="00F10143"/>
    <w:rsid w:val="00F10788"/>
    <w:rsid w:val="00F1079A"/>
    <w:rsid w:val="00F10961"/>
    <w:rsid w:val="00F10983"/>
    <w:rsid w:val="00F109D1"/>
    <w:rsid w:val="00F10B84"/>
    <w:rsid w:val="00F10B94"/>
    <w:rsid w:val="00F10C37"/>
    <w:rsid w:val="00F10CEA"/>
    <w:rsid w:val="00F10EB1"/>
    <w:rsid w:val="00F11024"/>
    <w:rsid w:val="00F11266"/>
    <w:rsid w:val="00F112B3"/>
    <w:rsid w:val="00F114F5"/>
    <w:rsid w:val="00F11512"/>
    <w:rsid w:val="00F11547"/>
    <w:rsid w:val="00F11832"/>
    <w:rsid w:val="00F118E4"/>
    <w:rsid w:val="00F11A37"/>
    <w:rsid w:val="00F11B92"/>
    <w:rsid w:val="00F11D2E"/>
    <w:rsid w:val="00F11DD3"/>
    <w:rsid w:val="00F11F5B"/>
    <w:rsid w:val="00F12085"/>
    <w:rsid w:val="00F1214B"/>
    <w:rsid w:val="00F12321"/>
    <w:rsid w:val="00F123AC"/>
    <w:rsid w:val="00F12608"/>
    <w:rsid w:val="00F12622"/>
    <w:rsid w:val="00F12771"/>
    <w:rsid w:val="00F127A6"/>
    <w:rsid w:val="00F1285B"/>
    <w:rsid w:val="00F12B8C"/>
    <w:rsid w:val="00F12CBE"/>
    <w:rsid w:val="00F12D17"/>
    <w:rsid w:val="00F12E15"/>
    <w:rsid w:val="00F12E1B"/>
    <w:rsid w:val="00F12EAD"/>
    <w:rsid w:val="00F130BC"/>
    <w:rsid w:val="00F132C1"/>
    <w:rsid w:val="00F13418"/>
    <w:rsid w:val="00F134B2"/>
    <w:rsid w:val="00F1350C"/>
    <w:rsid w:val="00F138E9"/>
    <w:rsid w:val="00F138F8"/>
    <w:rsid w:val="00F139B5"/>
    <w:rsid w:val="00F13A0D"/>
    <w:rsid w:val="00F13A14"/>
    <w:rsid w:val="00F13A84"/>
    <w:rsid w:val="00F13C70"/>
    <w:rsid w:val="00F13E67"/>
    <w:rsid w:val="00F13EA1"/>
    <w:rsid w:val="00F1402F"/>
    <w:rsid w:val="00F14132"/>
    <w:rsid w:val="00F14143"/>
    <w:rsid w:val="00F14188"/>
    <w:rsid w:val="00F141E3"/>
    <w:rsid w:val="00F14287"/>
    <w:rsid w:val="00F142C6"/>
    <w:rsid w:val="00F1434F"/>
    <w:rsid w:val="00F1458C"/>
    <w:rsid w:val="00F14821"/>
    <w:rsid w:val="00F1486B"/>
    <w:rsid w:val="00F14AD3"/>
    <w:rsid w:val="00F14C45"/>
    <w:rsid w:val="00F14F8A"/>
    <w:rsid w:val="00F14FB3"/>
    <w:rsid w:val="00F150CF"/>
    <w:rsid w:val="00F15100"/>
    <w:rsid w:val="00F151D2"/>
    <w:rsid w:val="00F152A2"/>
    <w:rsid w:val="00F15459"/>
    <w:rsid w:val="00F155BC"/>
    <w:rsid w:val="00F15655"/>
    <w:rsid w:val="00F15711"/>
    <w:rsid w:val="00F1572D"/>
    <w:rsid w:val="00F15A23"/>
    <w:rsid w:val="00F15A2C"/>
    <w:rsid w:val="00F15F82"/>
    <w:rsid w:val="00F15FC7"/>
    <w:rsid w:val="00F162F8"/>
    <w:rsid w:val="00F16360"/>
    <w:rsid w:val="00F1636E"/>
    <w:rsid w:val="00F1643B"/>
    <w:rsid w:val="00F164E6"/>
    <w:rsid w:val="00F16785"/>
    <w:rsid w:val="00F167A5"/>
    <w:rsid w:val="00F167D8"/>
    <w:rsid w:val="00F16988"/>
    <w:rsid w:val="00F16A43"/>
    <w:rsid w:val="00F16B13"/>
    <w:rsid w:val="00F16BA6"/>
    <w:rsid w:val="00F16BD2"/>
    <w:rsid w:val="00F16C5E"/>
    <w:rsid w:val="00F16D6E"/>
    <w:rsid w:val="00F16DA2"/>
    <w:rsid w:val="00F16F60"/>
    <w:rsid w:val="00F16FE7"/>
    <w:rsid w:val="00F1705D"/>
    <w:rsid w:val="00F170FB"/>
    <w:rsid w:val="00F174FC"/>
    <w:rsid w:val="00F1776A"/>
    <w:rsid w:val="00F177D2"/>
    <w:rsid w:val="00F17894"/>
    <w:rsid w:val="00F179A3"/>
    <w:rsid w:val="00F17A71"/>
    <w:rsid w:val="00F17C00"/>
    <w:rsid w:val="00F17C8A"/>
    <w:rsid w:val="00F201B8"/>
    <w:rsid w:val="00F20214"/>
    <w:rsid w:val="00F202D2"/>
    <w:rsid w:val="00F2032C"/>
    <w:rsid w:val="00F203CB"/>
    <w:rsid w:val="00F204D9"/>
    <w:rsid w:val="00F20630"/>
    <w:rsid w:val="00F20669"/>
    <w:rsid w:val="00F20842"/>
    <w:rsid w:val="00F2091F"/>
    <w:rsid w:val="00F2092F"/>
    <w:rsid w:val="00F2094D"/>
    <w:rsid w:val="00F20962"/>
    <w:rsid w:val="00F20AAB"/>
    <w:rsid w:val="00F20E2D"/>
    <w:rsid w:val="00F20EC1"/>
    <w:rsid w:val="00F20EF5"/>
    <w:rsid w:val="00F20F3D"/>
    <w:rsid w:val="00F20F8B"/>
    <w:rsid w:val="00F2138E"/>
    <w:rsid w:val="00F21718"/>
    <w:rsid w:val="00F21776"/>
    <w:rsid w:val="00F217AD"/>
    <w:rsid w:val="00F219B6"/>
    <w:rsid w:val="00F21C88"/>
    <w:rsid w:val="00F21CDB"/>
    <w:rsid w:val="00F21D35"/>
    <w:rsid w:val="00F21F1A"/>
    <w:rsid w:val="00F21F77"/>
    <w:rsid w:val="00F22013"/>
    <w:rsid w:val="00F22384"/>
    <w:rsid w:val="00F22683"/>
    <w:rsid w:val="00F2285B"/>
    <w:rsid w:val="00F22945"/>
    <w:rsid w:val="00F22A69"/>
    <w:rsid w:val="00F22B2A"/>
    <w:rsid w:val="00F22BA7"/>
    <w:rsid w:val="00F231F0"/>
    <w:rsid w:val="00F2333B"/>
    <w:rsid w:val="00F2340A"/>
    <w:rsid w:val="00F2356C"/>
    <w:rsid w:val="00F235EE"/>
    <w:rsid w:val="00F2370A"/>
    <w:rsid w:val="00F2374A"/>
    <w:rsid w:val="00F238F9"/>
    <w:rsid w:val="00F23A9B"/>
    <w:rsid w:val="00F23AE0"/>
    <w:rsid w:val="00F23AE1"/>
    <w:rsid w:val="00F23C20"/>
    <w:rsid w:val="00F23C39"/>
    <w:rsid w:val="00F23C57"/>
    <w:rsid w:val="00F23CD7"/>
    <w:rsid w:val="00F23D34"/>
    <w:rsid w:val="00F23D4A"/>
    <w:rsid w:val="00F23DEB"/>
    <w:rsid w:val="00F23E81"/>
    <w:rsid w:val="00F23E95"/>
    <w:rsid w:val="00F24038"/>
    <w:rsid w:val="00F24061"/>
    <w:rsid w:val="00F24219"/>
    <w:rsid w:val="00F24365"/>
    <w:rsid w:val="00F245A5"/>
    <w:rsid w:val="00F2488F"/>
    <w:rsid w:val="00F248B7"/>
    <w:rsid w:val="00F24A39"/>
    <w:rsid w:val="00F24BD5"/>
    <w:rsid w:val="00F24C90"/>
    <w:rsid w:val="00F24F35"/>
    <w:rsid w:val="00F2507B"/>
    <w:rsid w:val="00F25101"/>
    <w:rsid w:val="00F25117"/>
    <w:rsid w:val="00F2513E"/>
    <w:rsid w:val="00F2528C"/>
    <w:rsid w:val="00F25328"/>
    <w:rsid w:val="00F253B1"/>
    <w:rsid w:val="00F253C5"/>
    <w:rsid w:val="00F25578"/>
    <w:rsid w:val="00F25608"/>
    <w:rsid w:val="00F25637"/>
    <w:rsid w:val="00F257AD"/>
    <w:rsid w:val="00F25834"/>
    <w:rsid w:val="00F258F2"/>
    <w:rsid w:val="00F259C0"/>
    <w:rsid w:val="00F25C11"/>
    <w:rsid w:val="00F25E01"/>
    <w:rsid w:val="00F25F9B"/>
    <w:rsid w:val="00F2606F"/>
    <w:rsid w:val="00F2607D"/>
    <w:rsid w:val="00F261DB"/>
    <w:rsid w:val="00F26259"/>
    <w:rsid w:val="00F2625C"/>
    <w:rsid w:val="00F26481"/>
    <w:rsid w:val="00F26798"/>
    <w:rsid w:val="00F26833"/>
    <w:rsid w:val="00F269DD"/>
    <w:rsid w:val="00F26A1F"/>
    <w:rsid w:val="00F26B13"/>
    <w:rsid w:val="00F26B4B"/>
    <w:rsid w:val="00F26B75"/>
    <w:rsid w:val="00F26C34"/>
    <w:rsid w:val="00F26E7B"/>
    <w:rsid w:val="00F27006"/>
    <w:rsid w:val="00F27205"/>
    <w:rsid w:val="00F27217"/>
    <w:rsid w:val="00F2726D"/>
    <w:rsid w:val="00F27496"/>
    <w:rsid w:val="00F2769A"/>
    <w:rsid w:val="00F27725"/>
    <w:rsid w:val="00F2774C"/>
    <w:rsid w:val="00F277AF"/>
    <w:rsid w:val="00F277E0"/>
    <w:rsid w:val="00F278E0"/>
    <w:rsid w:val="00F279D0"/>
    <w:rsid w:val="00F27A2D"/>
    <w:rsid w:val="00F27D18"/>
    <w:rsid w:val="00F27D20"/>
    <w:rsid w:val="00F27D3D"/>
    <w:rsid w:val="00F27ECB"/>
    <w:rsid w:val="00F27F8C"/>
    <w:rsid w:val="00F3029B"/>
    <w:rsid w:val="00F302AD"/>
    <w:rsid w:val="00F302E6"/>
    <w:rsid w:val="00F3050A"/>
    <w:rsid w:val="00F30670"/>
    <w:rsid w:val="00F30728"/>
    <w:rsid w:val="00F30730"/>
    <w:rsid w:val="00F30806"/>
    <w:rsid w:val="00F308BB"/>
    <w:rsid w:val="00F30AD4"/>
    <w:rsid w:val="00F30BE5"/>
    <w:rsid w:val="00F30D93"/>
    <w:rsid w:val="00F30F11"/>
    <w:rsid w:val="00F30F37"/>
    <w:rsid w:val="00F310F8"/>
    <w:rsid w:val="00F31376"/>
    <w:rsid w:val="00F31586"/>
    <w:rsid w:val="00F31633"/>
    <w:rsid w:val="00F31701"/>
    <w:rsid w:val="00F318C5"/>
    <w:rsid w:val="00F31912"/>
    <w:rsid w:val="00F319F8"/>
    <w:rsid w:val="00F31BA8"/>
    <w:rsid w:val="00F31D21"/>
    <w:rsid w:val="00F31D63"/>
    <w:rsid w:val="00F31F93"/>
    <w:rsid w:val="00F31FD8"/>
    <w:rsid w:val="00F31FFC"/>
    <w:rsid w:val="00F321E0"/>
    <w:rsid w:val="00F32333"/>
    <w:rsid w:val="00F323FA"/>
    <w:rsid w:val="00F32429"/>
    <w:rsid w:val="00F324AD"/>
    <w:rsid w:val="00F326E4"/>
    <w:rsid w:val="00F3270E"/>
    <w:rsid w:val="00F3277D"/>
    <w:rsid w:val="00F3295B"/>
    <w:rsid w:val="00F32EAB"/>
    <w:rsid w:val="00F32FBE"/>
    <w:rsid w:val="00F33100"/>
    <w:rsid w:val="00F33640"/>
    <w:rsid w:val="00F336CD"/>
    <w:rsid w:val="00F336DE"/>
    <w:rsid w:val="00F33754"/>
    <w:rsid w:val="00F338D0"/>
    <w:rsid w:val="00F33984"/>
    <w:rsid w:val="00F339E4"/>
    <w:rsid w:val="00F33ACB"/>
    <w:rsid w:val="00F33C21"/>
    <w:rsid w:val="00F33D27"/>
    <w:rsid w:val="00F33FD8"/>
    <w:rsid w:val="00F33FEE"/>
    <w:rsid w:val="00F343DC"/>
    <w:rsid w:val="00F34421"/>
    <w:rsid w:val="00F344BD"/>
    <w:rsid w:val="00F345B5"/>
    <w:rsid w:val="00F346CE"/>
    <w:rsid w:val="00F34A10"/>
    <w:rsid w:val="00F34AE6"/>
    <w:rsid w:val="00F34AFE"/>
    <w:rsid w:val="00F34B9B"/>
    <w:rsid w:val="00F34CCB"/>
    <w:rsid w:val="00F34DA0"/>
    <w:rsid w:val="00F34E31"/>
    <w:rsid w:val="00F34EF9"/>
    <w:rsid w:val="00F34F79"/>
    <w:rsid w:val="00F35132"/>
    <w:rsid w:val="00F352D8"/>
    <w:rsid w:val="00F35702"/>
    <w:rsid w:val="00F357CC"/>
    <w:rsid w:val="00F35848"/>
    <w:rsid w:val="00F35850"/>
    <w:rsid w:val="00F3593E"/>
    <w:rsid w:val="00F35A8E"/>
    <w:rsid w:val="00F35AF3"/>
    <w:rsid w:val="00F35BD5"/>
    <w:rsid w:val="00F35E93"/>
    <w:rsid w:val="00F35F67"/>
    <w:rsid w:val="00F36073"/>
    <w:rsid w:val="00F3620E"/>
    <w:rsid w:val="00F3632E"/>
    <w:rsid w:val="00F36337"/>
    <w:rsid w:val="00F36539"/>
    <w:rsid w:val="00F366AD"/>
    <w:rsid w:val="00F3680E"/>
    <w:rsid w:val="00F368F7"/>
    <w:rsid w:val="00F36A57"/>
    <w:rsid w:val="00F36A98"/>
    <w:rsid w:val="00F36B3F"/>
    <w:rsid w:val="00F36BDA"/>
    <w:rsid w:val="00F36C2D"/>
    <w:rsid w:val="00F36C3A"/>
    <w:rsid w:val="00F36DDF"/>
    <w:rsid w:val="00F370D1"/>
    <w:rsid w:val="00F37141"/>
    <w:rsid w:val="00F371FE"/>
    <w:rsid w:val="00F37286"/>
    <w:rsid w:val="00F37383"/>
    <w:rsid w:val="00F374A3"/>
    <w:rsid w:val="00F374CB"/>
    <w:rsid w:val="00F3759F"/>
    <w:rsid w:val="00F3776B"/>
    <w:rsid w:val="00F3792A"/>
    <w:rsid w:val="00F379C5"/>
    <w:rsid w:val="00F37C6E"/>
    <w:rsid w:val="00F37E0C"/>
    <w:rsid w:val="00F37EF9"/>
    <w:rsid w:val="00F37F6C"/>
    <w:rsid w:val="00F40125"/>
    <w:rsid w:val="00F4043F"/>
    <w:rsid w:val="00F405A5"/>
    <w:rsid w:val="00F40650"/>
    <w:rsid w:val="00F406B4"/>
    <w:rsid w:val="00F406D5"/>
    <w:rsid w:val="00F40826"/>
    <w:rsid w:val="00F40931"/>
    <w:rsid w:val="00F40971"/>
    <w:rsid w:val="00F409DA"/>
    <w:rsid w:val="00F40A2B"/>
    <w:rsid w:val="00F40BA9"/>
    <w:rsid w:val="00F40C25"/>
    <w:rsid w:val="00F40CEC"/>
    <w:rsid w:val="00F40DD2"/>
    <w:rsid w:val="00F40E3E"/>
    <w:rsid w:val="00F40EC8"/>
    <w:rsid w:val="00F40F73"/>
    <w:rsid w:val="00F41291"/>
    <w:rsid w:val="00F413EF"/>
    <w:rsid w:val="00F4161B"/>
    <w:rsid w:val="00F41643"/>
    <w:rsid w:val="00F41795"/>
    <w:rsid w:val="00F41941"/>
    <w:rsid w:val="00F41C0F"/>
    <w:rsid w:val="00F41C17"/>
    <w:rsid w:val="00F41C1D"/>
    <w:rsid w:val="00F41CC3"/>
    <w:rsid w:val="00F41DAE"/>
    <w:rsid w:val="00F41DD7"/>
    <w:rsid w:val="00F41E73"/>
    <w:rsid w:val="00F421B0"/>
    <w:rsid w:val="00F423AB"/>
    <w:rsid w:val="00F423C6"/>
    <w:rsid w:val="00F4251F"/>
    <w:rsid w:val="00F426A0"/>
    <w:rsid w:val="00F42734"/>
    <w:rsid w:val="00F427BB"/>
    <w:rsid w:val="00F427D4"/>
    <w:rsid w:val="00F427ED"/>
    <w:rsid w:val="00F42AD6"/>
    <w:rsid w:val="00F42B17"/>
    <w:rsid w:val="00F42CCA"/>
    <w:rsid w:val="00F42E39"/>
    <w:rsid w:val="00F42EDA"/>
    <w:rsid w:val="00F43014"/>
    <w:rsid w:val="00F43023"/>
    <w:rsid w:val="00F43189"/>
    <w:rsid w:val="00F4319A"/>
    <w:rsid w:val="00F431DA"/>
    <w:rsid w:val="00F43328"/>
    <w:rsid w:val="00F434D5"/>
    <w:rsid w:val="00F43629"/>
    <w:rsid w:val="00F437C2"/>
    <w:rsid w:val="00F43C51"/>
    <w:rsid w:val="00F43CE1"/>
    <w:rsid w:val="00F43D6D"/>
    <w:rsid w:val="00F43D90"/>
    <w:rsid w:val="00F43E28"/>
    <w:rsid w:val="00F43E48"/>
    <w:rsid w:val="00F43E6A"/>
    <w:rsid w:val="00F43F54"/>
    <w:rsid w:val="00F44035"/>
    <w:rsid w:val="00F440AA"/>
    <w:rsid w:val="00F441D3"/>
    <w:rsid w:val="00F4422F"/>
    <w:rsid w:val="00F4447C"/>
    <w:rsid w:val="00F4454C"/>
    <w:rsid w:val="00F445C2"/>
    <w:rsid w:val="00F448A4"/>
    <w:rsid w:val="00F44910"/>
    <w:rsid w:val="00F44979"/>
    <w:rsid w:val="00F44A51"/>
    <w:rsid w:val="00F44A92"/>
    <w:rsid w:val="00F44B81"/>
    <w:rsid w:val="00F44DBA"/>
    <w:rsid w:val="00F44E7B"/>
    <w:rsid w:val="00F45033"/>
    <w:rsid w:val="00F4504C"/>
    <w:rsid w:val="00F4504E"/>
    <w:rsid w:val="00F45085"/>
    <w:rsid w:val="00F452A0"/>
    <w:rsid w:val="00F4550C"/>
    <w:rsid w:val="00F455C0"/>
    <w:rsid w:val="00F45668"/>
    <w:rsid w:val="00F4567E"/>
    <w:rsid w:val="00F457C6"/>
    <w:rsid w:val="00F4591F"/>
    <w:rsid w:val="00F45A9F"/>
    <w:rsid w:val="00F45B20"/>
    <w:rsid w:val="00F45B7F"/>
    <w:rsid w:val="00F45BDA"/>
    <w:rsid w:val="00F45C63"/>
    <w:rsid w:val="00F45D84"/>
    <w:rsid w:val="00F45F51"/>
    <w:rsid w:val="00F4613D"/>
    <w:rsid w:val="00F46190"/>
    <w:rsid w:val="00F461D9"/>
    <w:rsid w:val="00F461EE"/>
    <w:rsid w:val="00F4648C"/>
    <w:rsid w:val="00F466D0"/>
    <w:rsid w:val="00F46889"/>
    <w:rsid w:val="00F46987"/>
    <w:rsid w:val="00F469F0"/>
    <w:rsid w:val="00F46B8B"/>
    <w:rsid w:val="00F46BDE"/>
    <w:rsid w:val="00F474DF"/>
    <w:rsid w:val="00F477B7"/>
    <w:rsid w:val="00F479DD"/>
    <w:rsid w:val="00F47A50"/>
    <w:rsid w:val="00F47AD1"/>
    <w:rsid w:val="00F47AFE"/>
    <w:rsid w:val="00F47B23"/>
    <w:rsid w:val="00F47BBF"/>
    <w:rsid w:val="00F47C9F"/>
    <w:rsid w:val="00F47DE1"/>
    <w:rsid w:val="00F47E32"/>
    <w:rsid w:val="00F5014E"/>
    <w:rsid w:val="00F501C2"/>
    <w:rsid w:val="00F501F4"/>
    <w:rsid w:val="00F502EE"/>
    <w:rsid w:val="00F5030B"/>
    <w:rsid w:val="00F505A3"/>
    <w:rsid w:val="00F50653"/>
    <w:rsid w:val="00F5075C"/>
    <w:rsid w:val="00F508D0"/>
    <w:rsid w:val="00F50A72"/>
    <w:rsid w:val="00F50CFE"/>
    <w:rsid w:val="00F50DC5"/>
    <w:rsid w:val="00F50E40"/>
    <w:rsid w:val="00F50E7F"/>
    <w:rsid w:val="00F50EA8"/>
    <w:rsid w:val="00F50EAF"/>
    <w:rsid w:val="00F50EED"/>
    <w:rsid w:val="00F51052"/>
    <w:rsid w:val="00F510BA"/>
    <w:rsid w:val="00F51187"/>
    <w:rsid w:val="00F511F6"/>
    <w:rsid w:val="00F5122B"/>
    <w:rsid w:val="00F514DA"/>
    <w:rsid w:val="00F5150B"/>
    <w:rsid w:val="00F51581"/>
    <w:rsid w:val="00F515CC"/>
    <w:rsid w:val="00F51629"/>
    <w:rsid w:val="00F516F2"/>
    <w:rsid w:val="00F5170F"/>
    <w:rsid w:val="00F5176D"/>
    <w:rsid w:val="00F51820"/>
    <w:rsid w:val="00F51B5A"/>
    <w:rsid w:val="00F51E51"/>
    <w:rsid w:val="00F5233D"/>
    <w:rsid w:val="00F525F6"/>
    <w:rsid w:val="00F525F7"/>
    <w:rsid w:val="00F52628"/>
    <w:rsid w:val="00F52795"/>
    <w:rsid w:val="00F527DD"/>
    <w:rsid w:val="00F527E3"/>
    <w:rsid w:val="00F52965"/>
    <w:rsid w:val="00F529CD"/>
    <w:rsid w:val="00F52A59"/>
    <w:rsid w:val="00F52B47"/>
    <w:rsid w:val="00F52C97"/>
    <w:rsid w:val="00F52E8D"/>
    <w:rsid w:val="00F530EF"/>
    <w:rsid w:val="00F53135"/>
    <w:rsid w:val="00F53486"/>
    <w:rsid w:val="00F53552"/>
    <w:rsid w:val="00F5367E"/>
    <w:rsid w:val="00F536D4"/>
    <w:rsid w:val="00F5377F"/>
    <w:rsid w:val="00F53AD8"/>
    <w:rsid w:val="00F53AEE"/>
    <w:rsid w:val="00F53B2C"/>
    <w:rsid w:val="00F53CCE"/>
    <w:rsid w:val="00F53CD8"/>
    <w:rsid w:val="00F53F64"/>
    <w:rsid w:val="00F53FAC"/>
    <w:rsid w:val="00F53FFA"/>
    <w:rsid w:val="00F540DF"/>
    <w:rsid w:val="00F54108"/>
    <w:rsid w:val="00F544DE"/>
    <w:rsid w:val="00F546A7"/>
    <w:rsid w:val="00F546CC"/>
    <w:rsid w:val="00F5475E"/>
    <w:rsid w:val="00F547D2"/>
    <w:rsid w:val="00F54872"/>
    <w:rsid w:val="00F54907"/>
    <w:rsid w:val="00F54AB7"/>
    <w:rsid w:val="00F54B07"/>
    <w:rsid w:val="00F54B09"/>
    <w:rsid w:val="00F54CE1"/>
    <w:rsid w:val="00F54E94"/>
    <w:rsid w:val="00F54EF9"/>
    <w:rsid w:val="00F55111"/>
    <w:rsid w:val="00F55133"/>
    <w:rsid w:val="00F55271"/>
    <w:rsid w:val="00F552EA"/>
    <w:rsid w:val="00F553FA"/>
    <w:rsid w:val="00F55449"/>
    <w:rsid w:val="00F55459"/>
    <w:rsid w:val="00F55495"/>
    <w:rsid w:val="00F55628"/>
    <w:rsid w:val="00F5593F"/>
    <w:rsid w:val="00F55A4A"/>
    <w:rsid w:val="00F55AE9"/>
    <w:rsid w:val="00F55CBE"/>
    <w:rsid w:val="00F55D12"/>
    <w:rsid w:val="00F55E88"/>
    <w:rsid w:val="00F55EAF"/>
    <w:rsid w:val="00F55EE8"/>
    <w:rsid w:val="00F5602E"/>
    <w:rsid w:val="00F56249"/>
    <w:rsid w:val="00F5624C"/>
    <w:rsid w:val="00F563EC"/>
    <w:rsid w:val="00F5644B"/>
    <w:rsid w:val="00F5655A"/>
    <w:rsid w:val="00F56574"/>
    <w:rsid w:val="00F5662E"/>
    <w:rsid w:val="00F56646"/>
    <w:rsid w:val="00F56688"/>
    <w:rsid w:val="00F56691"/>
    <w:rsid w:val="00F567C0"/>
    <w:rsid w:val="00F5684F"/>
    <w:rsid w:val="00F56A0C"/>
    <w:rsid w:val="00F56A5B"/>
    <w:rsid w:val="00F56AA3"/>
    <w:rsid w:val="00F56BAE"/>
    <w:rsid w:val="00F56BB8"/>
    <w:rsid w:val="00F56C20"/>
    <w:rsid w:val="00F56CC2"/>
    <w:rsid w:val="00F56D12"/>
    <w:rsid w:val="00F56D2C"/>
    <w:rsid w:val="00F56E1D"/>
    <w:rsid w:val="00F56F92"/>
    <w:rsid w:val="00F570C5"/>
    <w:rsid w:val="00F570CC"/>
    <w:rsid w:val="00F570D5"/>
    <w:rsid w:val="00F571ED"/>
    <w:rsid w:val="00F5725F"/>
    <w:rsid w:val="00F572AA"/>
    <w:rsid w:val="00F57363"/>
    <w:rsid w:val="00F57366"/>
    <w:rsid w:val="00F574C9"/>
    <w:rsid w:val="00F57637"/>
    <w:rsid w:val="00F57682"/>
    <w:rsid w:val="00F576E3"/>
    <w:rsid w:val="00F5770E"/>
    <w:rsid w:val="00F577F1"/>
    <w:rsid w:val="00F57859"/>
    <w:rsid w:val="00F57A1F"/>
    <w:rsid w:val="00F57DDA"/>
    <w:rsid w:val="00F57E42"/>
    <w:rsid w:val="00F57EF4"/>
    <w:rsid w:val="00F57F81"/>
    <w:rsid w:val="00F60168"/>
    <w:rsid w:val="00F601CD"/>
    <w:rsid w:val="00F60313"/>
    <w:rsid w:val="00F60483"/>
    <w:rsid w:val="00F604DE"/>
    <w:rsid w:val="00F6050F"/>
    <w:rsid w:val="00F60539"/>
    <w:rsid w:val="00F6055D"/>
    <w:rsid w:val="00F605CF"/>
    <w:rsid w:val="00F605E4"/>
    <w:rsid w:val="00F60725"/>
    <w:rsid w:val="00F60815"/>
    <w:rsid w:val="00F60922"/>
    <w:rsid w:val="00F60944"/>
    <w:rsid w:val="00F60E13"/>
    <w:rsid w:val="00F60FE6"/>
    <w:rsid w:val="00F61035"/>
    <w:rsid w:val="00F610D2"/>
    <w:rsid w:val="00F61203"/>
    <w:rsid w:val="00F612AE"/>
    <w:rsid w:val="00F613F2"/>
    <w:rsid w:val="00F61409"/>
    <w:rsid w:val="00F614C4"/>
    <w:rsid w:val="00F614F7"/>
    <w:rsid w:val="00F61662"/>
    <w:rsid w:val="00F61675"/>
    <w:rsid w:val="00F61995"/>
    <w:rsid w:val="00F61A37"/>
    <w:rsid w:val="00F61ADC"/>
    <w:rsid w:val="00F620A4"/>
    <w:rsid w:val="00F62205"/>
    <w:rsid w:val="00F623F1"/>
    <w:rsid w:val="00F623F2"/>
    <w:rsid w:val="00F6244B"/>
    <w:rsid w:val="00F6249C"/>
    <w:rsid w:val="00F624AC"/>
    <w:rsid w:val="00F624E5"/>
    <w:rsid w:val="00F62548"/>
    <w:rsid w:val="00F6290C"/>
    <w:rsid w:val="00F62993"/>
    <w:rsid w:val="00F62A6F"/>
    <w:rsid w:val="00F62BD9"/>
    <w:rsid w:val="00F62EF0"/>
    <w:rsid w:val="00F63031"/>
    <w:rsid w:val="00F631A8"/>
    <w:rsid w:val="00F63443"/>
    <w:rsid w:val="00F634DA"/>
    <w:rsid w:val="00F63620"/>
    <w:rsid w:val="00F636A1"/>
    <w:rsid w:val="00F63807"/>
    <w:rsid w:val="00F63969"/>
    <w:rsid w:val="00F63DEF"/>
    <w:rsid w:val="00F63EBD"/>
    <w:rsid w:val="00F63FC9"/>
    <w:rsid w:val="00F64065"/>
    <w:rsid w:val="00F640DE"/>
    <w:rsid w:val="00F64155"/>
    <w:rsid w:val="00F6428E"/>
    <w:rsid w:val="00F64293"/>
    <w:rsid w:val="00F64313"/>
    <w:rsid w:val="00F6434D"/>
    <w:rsid w:val="00F6435D"/>
    <w:rsid w:val="00F643D2"/>
    <w:rsid w:val="00F644F3"/>
    <w:rsid w:val="00F645FF"/>
    <w:rsid w:val="00F646A8"/>
    <w:rsid w:val="00F646BD"/>
    <w:rsid w:val="00F646F1"/>
    <w:rsid w:val="00F64766"/>
    <w:rsid w:val="00F648B9"/>
    <w:rsid w:val="00F64BC5"/>
    <w:rsid w:val="00F64C99"/>
    <w:rsid w:val="00F64E6C"/>
    <w:rsid w:val="00F6517C"/>
    <w:rsid w:val="00F65237"/>
    <w:rsid w:val="00F653CB"/>
    <w:rsid w:val="00F654A3"/>
    <w:rsid w:val="00F655A7"/>
    <w:rsid w:val="00F65817"/>
    <w:rsid w:val="00F65B6C"/>
    <w:rsid w:val="00F65BBB"/>
    <w:rsid w:val="00F65D8A"/>
    <w:rsid w:val="00F65F75"/>
    <w:rsid w:val="00F66084"/>
    <w:rsid w:val="00F660AF"/>
    <w:rsid w:val="00F660E0"/>
    <w:rsid w:val="00F6611E"/>
    <w:rsid w:val="00F6613E"/>
    <w:rsid w:val="00F661A7"/>
    <w:rsid w:val="00F66304"/>
    <w:rsid w:val="00F663A9"/>
    <w:rsid w:val="00F66444"/>
    <w:rsid w:val="00F6645C"/>
    <w:rsid w:val="00F664CA"/>
    <w:rsid w:val="00F66642"/>
    <w:rsid w:val="00F666B7"/>
    <w:rsid w:val="00F66814"/>
    <w:rsid w:val="00F66836"/>
    <w:rsid w:val="00F668EF"/>
    <w:rsid w:val="00F66975"/>
    <w:rsid w:val="00F66A2C"/>
    <w:rsid w:val="00F66A44"/>
    <w:rsid w:val="00F66AC3"/>
    <w:rsid w:val="00F66B5A"/>
    <w:rsid w:val="00F66D2C"/>
    <w:rsid w:val="00F66D82"/>
    <w:rsid w:val="00F66E5F"/>
    <w:rsid w:val="00F66EB5"/>
    <w:rsid w:val="00F66F32"/>
    <w:rsid w:val="00F66F39"/>
    <w:rsid w:val="00F66F5C"/>
    <w:rsid w:val="00F66FED"/>
    <w:rsid w:val="00F670FB"/>
    <w:rsid w:val="00F673C5"/>
    <w:rsid w:val="00F67402"/>
    <w:rsid w:val="00F67490"/>
    <w:rsid w:val="00F6750C"/>
    <w:rsid w:val="00F6773F"/>
    <w:rsid w:val="00F6775C"/>
    <w:rsid w:val="00F67A5C"/>
    <w:rsid w:val="00F67B84"/>
    <w:rsid w:val="00F67F18"/>
    <w:rsid w:val="00F704A8"/>
    <w:rsid w:val="00F704F5"/>
    <w:rsid w:val="00F706FE"/>
    <w:rsid w:val="00F707EA"/>
    <w:rsid w:val="00F707F0"/>
    <w:rsid w:val="00F7082C"/>
    <w:rsid w:val="00F7083F"/>
    <w:rsid w:val="00F70973"/>
    <w:rsid w:val="00F70B29"/>
    <w:rsid w:val="00F70BE2"/>
    <w:rsid w:val="00F70DC2"/>
    <w:rsid w:val="00F71155"/>
    <w:rsid w:val="00F7136F"/>
    <w:rsid w:val="00F716DE"/>
    <w:rsid w:val="00F71800"/>
    <w:rsid w:val="00F718D1"/>
    <w:rsid w:val="00F718EC"/>
    <w:rsid w:val="00F718F8"/>
    <w:rsid w:val="00F71A9F"/>
    <w:rsid w:val="00F71B80"/>
    <w:rsid w:val="00F71BB3"/>
    <w:rsid w:val="00F71C29"/>
    <w:rsid w:val="00F71E8D"/>
    <w:rsid w:val="00F71F42"/>
    <w:rsid w:val="00F720BF"/>
    <w:rsid w:val="00F7217C"/>
    <w:rsid w:val="00F721F8"/>
    <w:rsid w:val="00F7231A"/>
    <w:rsid w:val="00F72545"/>
    <w:rsid w:val="00F7257B"/>
    <w:rsid w:val="00F72596"/>
    <w:rsid w:val="00F7268E"/>
    <w:rsid w:val="00F727D1"/>
    <w:rsid w:val="00F7285F"/>
    <w:rsid w:val="00F72896"/>
    <w:rsid w:val="00F729BE"/>
    <w:rsid w:val="00F72A31"/>
    <w:rsid w:val="00F72C2E"/>
    <w:rsid w:val="00F72D5F"/>
    <w:rsid w:val="00F72D77"/>
    <w:rsid w:val="00F72D7A"/>
    <w:rsid w:val="00F72E86"/>
    <w:rsid w:val="00F72F54"/>
    <w:rsid w:val="00F730FE"/>
    <w:rsid w:val="00F732B9"/>
    <w:rsid w:val="00F7341A"/>
    <w:rsid w:val="00F7357E"/>
    <w:rsid w:val="00F73681"/>
    <w:rsid w:val="00F737DA"/>
    <w:rsid w:val="00F73890"/>
    <w:rsid w:val="00F73A82"/>
    <w:rsid w:val="00F73B26"/>
    <w:rsid w:val="00F73B27"/>
    <w:rsid w:val="00F73E32"/>
    <w:rsid w:val="00F73F35"/>
    <w:rsid w:val="00F73F8C"/>
    <w:rsid w:val="00F73FC7"/>
    <w:rsid w:val="00F7420C"/>
    <w:rsid w:val="00F745C0"/>
    <w:rsid w:val="00F746F2"/>
    <w:rsid w:val="00F74792"/>
    <w:rsid w:val="00F747C7"/>
    <w:rsid w:val="00F74969"/>
    <w:rsid w:val="00F74988"/>
    <w:rsid w:val="00F74A25"/>
    <w:rsid w:val="00F74BAE"/>
    <w:rsid w:val="00F74C06"/>
    <w:rsid w:val="00F74D7F"/>
    <w:rsid w:val="00F74DC3"/>
    <w:rsid w:val="00F75227"/>
    <w:rsid w:val="00F75292"/>
    <w:rsid w:val="00F752C6"/>
    <w:rsid w:val="00F75583"/>
    <w:rsid w:val="00F758F4"/>
    <w:rsid w:val="00F75903"/>
    <w:rsid w:val="00F75A53"/>
    <w:rsid w:val="00F75B86"/>
    <w:rsid w:val="00F75C41"/>
    <w:rsid w:val="00F75ECE"/>
    <w:rsid w:val="00F7605C"/>
    <w:rsid w:val="00F76071"/>
    <w:rsid w:val="00F760A8"/>
    <w:rsid w:val="00F760D0"/>
    <w:rsid w:val="00F76424"/>
    <w:rsid w:val="00F7665F"/>
    <w:rsid w:val="00F76717"/>
    <w:rsid w:val="00F7682B"/>
    <w:rsid w:val="00F769CB"/>
    <w:rsid w:val="00F76A6D"/>
    <w:rsid w:val="00F76A7C"/>
    <w:rsid w:val="00F76A84"/>
    <w:rsid w:val="00F76BB6"/>
    <w:rsid w:val="00F76BEC"/>
    <w:rsid w:val="00F76E4D"/>
    <w:rsid w:val="00F76E8F"/>
    <w:rsid w:val="00F76F3D"/>
    <w:rsid w:val="00F77070"/>
    <w:rsid w:val="00F77168"/>
    <w:rsid w:val="00F77206"/>
    <w:rsid w:val="00F772FB"/>
    <w:rsid w:val="00F7730C"/>
    <w:rsid w:val="00F7749D"/>
    <w:rsid w:val="00F774B3"/>
    <w:rsid w:val="00F77765"/>
    <w:rsid w:val="00F77822"/>
    <w:rsid w:val="00F77894"/>
    <w:rsid w:val="00F778B0"/>
    <w:rsid w:val="00F77911"/>
    <w:rsid w:val="00F77D7A"/>
    <w:rsid w:val="00F77F00"/>
    <w:rsid w:val="00F77F29"/>
    <w:rsid w:val="00F77F5C"/>
    <w:rsid w:val="00F80082"/>
    <w:rsid w:val="00F80313"/>
    <w:rsid w:val="00F8042F"/>
    <w:rsid w:val="00F804D5"/>
    <w:rsid w:val="00F80568"/>
    <w:rsid w:val="00F805E4"/>
    <w:rsid w:val="00F805EC"/>
    <w:rsid w:val="00F80856"/>
    <w:rsid w:val="00F8085E"/>
    <w:rsid w:val="00F80A16"/>
    <w:rsid w:val="00F80AAC"/>
    <w:rsid w:val="00F80E93"/>
    <w:rsid w:val="00F80F0F"/>
    <w:rsid w:val="00F80F21"/>
    <w:rsid w:val="00F80F7C"/>
    <w:rsid w:val="00F812D7"/>
    <w:rsid w:val="00F81466"/>
    <w:rsid w:val="00F8176E"/>
    <w:rsid w:val="00F81970"/>
    <w:rsid w:val="00F81B33"/>
    <w:rsid w:val="00F81CC8"/>
    <w:rsid w:val="00F81D15"/>
    <w:rsid w:val="00F81D65"/>
    <w:rsid w:val="00F81E61"/>
    <w:rsid w:val="00F8233A"/>
    <w:rsid w:val="00F8250C"/>
    <w:rsid w:val="00F8272D"/>
    <w:rsid w:val="00F82755"/>
    <w:rsid w:val="00F8278A"/>
    <w:rsid w:val="00F828A7"/>
    <w:rsid w:val="00F828F5"/>
    <w:rsid w:val="00F82922"/>
    <w:rsid w:val="00F8295C"/>
    <w:rsid w:val="00F829B8"/>
    <w:rsid w:val="00F82A8C"/>
    <w:rsid w:val="00F82B04"/>
    <w:rsid w:val="00F82CEA"/>
    <w:rsid w:val="00F82D59"/>
    <w:rsid w:val="00F82F3E"/>
    <w:rsid w:val="00F83005"/>
    <w:rsid w:val="00F8300A"/>
    <w:rsid w:val="00F8300C"/>
    <w:rsid w:val="00F830D0"/>
    <w:rsid w:val="00F83129"/>
    <w:rsid w:val="00F832CA"/>
    <w:rsid w:val="00F834EE"/>
    <w:rsid w:val="00F83502"/>
    <w:rsid w:val="00F835CB"/>
    <w:rsid w:val="00F835F2"/>
    <w:rsid w:val="00F838A5"/>
    <w:rsid w:val="00F83933"/>
    <w:rsid w:val="00F83A10"/>
    <w:rsid w:val="00F83BA6"/>
    <w:rsid w:val="00F83E97"/>
    <w:rsid w:val="00F83EB5"/>
    <w:rsid w:val="00F83FD7"/>
    <w:rsid w:val="00F840D9"/>
    <w:rsid w:val="00F841EB"/>
    <w:rsid w:val="00F843DD"/>
    <w:rsid w:val="00F845E9"/>
    <w:rsid w:val="00F84703"/>
    <w:rsid w:val="00F84760"/>
    <w:rsid w:val="00F847C3"/>
    <w:rsid w:val="00F847C9"/>
    <w:rsid w:val="00F84958"/>
    <w:rsid w:val="00F84BFA"/>
    <w:rsid w:val="00F84CB6"/>
    <w:rsid w:val="00F84EB6"/>
    <w:rsid w:val="00F84F0F"/>
    <w:rsid w:val="00F85020"/>
    <w:rsid w:val="00F8527A"/>
    <w:rsid w:val="00F85420"/>
    <w:rsid w:val="00F8554D"/>
    <w:rsid w:val="00F855AB"/>
    <w:rsid w:val="00F857AA"/>
    <w:rsid w:val="00F859C1"/>
    <w:rsid w:val="00F85C59"/>
    <w:rsid w:val="00F85CA7"/>
    <w:rsid w:val="00F85E4B"/>
    <w:rsid w:val="00F85EA3"/>
    <w:rsid w:val="00F85ED2"/>
    <w:rsid w:val="00F86168"/>
    <w:rsid w:val="00F86198"/>
    <w:rsid w:val="00F862FF"/>
    <w:rsid w:val="00F86334"/>
    <w:rsid w:val="00F86336"/>
    <w:rsid w:val="00F86643"/>
    <w:rsid w:val="00F86649"/>
    <w:rsid w:val="00F86744"/>
    <w:rsid w:val="00F867B1"/>
    <w:rsid w:val="00F86B70"/>
    <w:rsid w:val="00F86C7B"/>
    <w:rsid w:val="00F86F1B"/>
    <w:rsid w:val="00F87427"/>
    <w:rsid w:val="00F87598"/>
    <w:rsid w:val="00F875F9"/>
    <w:rsid w:val="00F876BF"/>
    <w:rsid w:val="00F87775"/>
    <w:rsid w:val="00F877A1"/>
    <w:rsid w:val="00F87A1A"/>
    <w:rsid w:val="00F87A67"/>
    <w:rsid w:val="00F87BE7"/>
    <w:rsid w:val="00F87E17"/>
    <w:rsid w:val="00F90012"/>
    <w:rsid w:val="00F90306"/>
    <w:rsid w:val="00F9056A"/>
    <w:rsid w:val="00F90673"/>
    <w:rsid w:val="00F907EC"/>
    <w:rsid w:val="00F9081E"/>
    <w:rsid w:val="00F908D8"/>
    <w:rsid w:val="00F90938"/>
    <w:rsid w:val="00F909E4"/>
    <w:rsid w:val="00F909FA"/>
    <w:rsid w:val="00F90C8A"/>
    <w:rsid w:val="00F90DBF"/>
    <w:rsid w:val="00F90EA6"/>
    <w:rsid w:val="00F90F18"/>
    <w:rsid w:val="00F9110F"/>
    <w:rsid w:val="00F9150A"/>
    <w:rsid w:val="00F915A6"/>
    <w:rsid w:val="00F9162F"/>
    <w:rsid w:val="00F91751"/>
    <w:rsid w:val="00F917E7"/>
    <w:rsid w:val="00F918FC"/>
    <w:rsid w:val="00F91982"/>
    <w:rsid w:val="00F919C5"/>
    <w:rsid w:val="00F91A6B"/>
    <w:rsid w:val="00F91AE9"/>
    <w:rsid w:val="00F91C03"/>
    <w:rsid w:val="00F91C47"/>
    <w:rsid w:val="00F91D77"/>
    <w:rsid w:val="00F91F38"/>
    <w:rsid w:val="00F9230C"/>
    <w:rsid w:val="00F92416"/>
    <w:rsid w:val="00F924BA"/>
    <w:rsid w:val="00F9265F"/>
    <w:rsid w:val="00F92742"/>
    <w:rsid w:val="00F9275D"/>
    <w:rsid w:val="00F92CEA"/>
    <w:rsid w:val="00F92D7D"/>
    <w:rsid w:val="00F92DDB"/>
    <w:rsid w:val="00F92E36"/>
    <w:rsid w:val="00F92E78"/>
    <w:rsid w:val="00F92F46"/>
    <w:rsid w:val="00F92FB6"/>
    <w:rsid w:val="00F930CA"/>
    <w:rsid w:val="00F9321A"/>
    <w:rsid w:val="00F93371"/>
    <w:rsid w:val="00F93374"/>
    <w:rsid w:val="00F9350D"/>
    <w:rsid w:val="00F93520"/>
    <w:rsid w:val="00F93599"/>
    <w:rsid w:val="00F93671"/>
    <w:rsid w:val="00F93720"/>
    <w:rsid w:val="00F937CB"/>
    <w:rsid w:val="00F93B48"/>
    <w:rsid w:val="00F93CA0"/>
    <w:rsid w:val="00F93DBC"/>
    <w:rsid w:val="00F93E1F"/>
    <w:rsid w:val="00F93E74"/>
    <w:rsid w:val="00F93F28"/>
    <w:rsid w:val="00F94074"/>
    <w:rsid w:val="00F94124"/>
    <w:rsid w:val="00F9419C"/>
    <w:rsid w:val="00F9422A"/>
    <w:rsid w:val="00F94382"/>
    <w:rsid w:val="00F9446E"/>
    <w:rsid w:val="00F945EB"/>
    <w:rsid w:val="00F946AD"/>
    <w:rsid w:val="00F946B2"/>
    <w:rsid w:val="00F94733"/>
    <w:rsid w:val="00F94736"/>
    <w:rsid w:val="00F94DDF"/>
    <w:rsid w:val="00F9501E"/>
    <w:rsid w:val="00F950AD"/>
    <w:rsid w:val="00F95144"/>
    <w:rsid w:val="00F9515E"/>
    <w:rsid w:val="00F9520A"/>
    <w:rsid w:val="00F9529B"/>
    <w:rsid w:val="00F953CB"/>
    <w:rsid w:val="00F95470"/>
    <w:rsid w:val="00F95555"/>
    <w:rsid w:val="00F9567A"/>
    <w:rsid w:val="00F958DB"/>
    <w:rsid w:val="00F95957"/>
    <w:rsid w:val="00F95BFF"/>
    <w:rsid w:val="00F95E9E"/>
    <w:rsid w:val="00F9603C"/>
    <w:rsid w:val="00F9604E"/>
    <w:rsid w:val="00F96061"/>
    <w:rsid w:val="00F960B5"/>
    <w:rsid w:val="00F9620B"/>
    <w:rsid w:val="00F96341"/>
    <w:rsid w:val="00F9635E"/>
    <w:rsid w:val="00F9649E"/>
    <w:rsid w:val="00F965A2"/>
    <w:rsid w:val="00F965CB"/>
    <w:rsid w:val="00F967B2"/>
    <w:rsid w:val="00F967DA"/>
    <w:rsid w:val="00F96858"/>
    <w:rsid w:val="00F969C5"/>
    <w:rsid w:val="00F96A6C"/>
    <w:rsid w:val="00F96D0F"/>
    <w:rsid w:val="00F96D57"/>
    <w:rsid w:val="00F96E00"/>
    <w:rsid w:val="00F96E47"/>
    <w:rsid w:val="00F96E88"/>
    <w:rsid w:val="00F96E97"/>
    <w:rsid w:val="00F96ED0"/>
    <w:rsid w:val="00F97138"/>
    <w:rsid w:val="00F9724A"/>
    <w:rsid w:val="00F972FE"/>
    <w:rsid w:val="00F9770F"/>
    <w:rsid w:val="00F97852"/>
    <w:rsid w:val="00F979D7"/>
    <w:rsid w:val="00F97A9E"/>
    <w:rsid w:val="00F97B0B"/>
    <w:rsid w:val="00F97B78"/>
    <w:rsid w:val="00F97C35"/>
    <w:rsid w:val="00F97C68"/>
    <w:rsid w:val="00F97CDD"/>
    <w:rsid w:val="00F97DA3"/>
    <w:rsid w:val="00F97F16"/>
    <w:rsid w:val="00FA0001"/>
    <w:rsid w:val="00FA0012"/>
    <w:rsid w:val="00FA0140"/>
    <w:rsid w:val="00FA01A2"/>
    <w:rsid w:val="00FA0362"/>
    <w:rsid w:val="00FA0364"/>
    <w:rsid w:val="00FA039C"/>
    <w:rsid w:val="00FA03F8"/>
    <w:rsid w:val="00FA0494"/>
    <w:rsid w:val="00FA0B8A"/>
    <w:rsid w:val="00FA0BAB"/>
    <w:rsid w:val="00FA0BAC"/>
    <w:rsid w:val="00FA0C51"/>
    <w:rsid w:val="00FA0C85"/>
    <w:rsid w:val="00FA0CB8"/>
    <w:rsid w:val="00FA0CE5"/>
    <w:rsid w:val="00FA0D04"/>
    <w:rsid w:val="00FA0EEE"/>
    <w:rsid w:val="00FA0F79"/>
    <w:rsid w:val="00FA104F"/>
    <w:rsid w:val="00FA135E"/>
    <w:rsid w:val="00FA1399"/>
    <w:rsid w:val="00FA13F4"/>
    <w:rsid w:val="00FA14BD"/>
    <w:rsid w:val="00FA1684"/>
    <w:rsid w:val="00FA1B7E"/>
    <w:rsid w:val="00FA1C16"/>
    <w:rsid w:val="00FA1C93"/>
    <w:rsid w:val="00FA1F95"/>
    <w:rsid w:val="00FA1FC5"/>
    <w:rsid w:val="00FA201E"/>
    <w:rsid w:val="00FA20FC"/>
    <w:rsid w:val="00FA22F8"/>
    <w:rsid w:val="00FA2560"/>
    <w:rsid w:val="00FA25BF"/>
    <w:rsid w:val="00FA288F"/>
    <w:rsid w:val="00FA28ED"/>
    <w:rsid w:val="00FA299A"/>
    <w:rsid w:val="00FA2A8D"/>
    <w:rsid w:val="00FA2BFE"/>
    <w:rsid w:val="00FA2C15"/>
    <w:rsid w:val="00FA2C1B"/>
    <w:rsid w:val="00FA2C50"/>
    <w:rsid w:val="00FA2CA7"/>
    <w:rsid w:val="00FA2E27"/>
    <w:rsid w:val="00FA2ED7"/>
    <w:rsid w:val="00FA3091"/>
    <w:rsid w:val="00FA3203"/>
    <w:rsid w:val="00FA3531"/>
    <w:rsid w:val="00FA37D4"/>
    <w:rsid w:val="00FA3885"/>
    <w:rsid w:val="00FA39D8"/>
    <w:rsid w:val="00FA3AAA"/>
    <w:rsid w:val="00FA3AF4"/>
    <w:rsid w:val="00FA3BB4"/>
    <w:rsid w:val="00FA3CD7"/>
    <w:rsid w:val="00FA3D9F"/>
    <w:rsid w:val="00FA423E"/>
    <w:rsid w:val="00FA429C"/>
    <w:rsid w:val="00FA45DC"/>
    <w:rsid w:val="00FA4723"/>
    <w:rsid w:val="00FA4751"/>
    <w:rsid w:val="00FA4786"/>
    <w:rsid w:val="00FA47D1"/>
    <w:rsid w:val="00FA49C6"/>
    <w:rsid w:val="00FA4B57"/>
    <w:rsid w:val="00FA4C0A"/>
    <w:rsid w:val="00FA4C5A"/>
    <w:rsid w:val="00FA4C61"/>
    <w:rsid w:val="00FA4E2C"/>
    <w:rsid w:val="00FA5321"/>
    <w:rsid w:val="00FA53A9"/>
    <w:rsid w:val="00FA53D7"/>
    <w:rsid w:val="00FA540B"/>
    <w:rsid w:val="00FA541F"/>
    <w:rsid w:val="00FA5549"/>
    <w:rsid w:val="00FA5680"/>
    <w:rsid w:val="00FA5692"/>
    <w:rsid w:val="00FA599E"/>
    <w:rsid w:val="00FA59CF"/>
    <w:rsid w:val="00FA5A60"/>
    <w:rsid w:val="00FA5B8F"/>
    <w:rsid w:val="00FA5D14"/>
    <w:rsid w:val="00FA5D70"/>
    <w:rsid w:val="00FA5D95"/>
    <w:rsid w:val="00FA60BD"/>
    <w:rsid w:val="00FA6251"/>
    <w:rsid w:val="00FA6327"/>
    <w:rsid w:val="00FA63D7"/>
    <w:rsid w:val="00FA64A7"/>
    <w:rsid w:val="00FA6576"/>
    <w:rsid w:val="00FA6709"/>
    <w:rsid w:val="00FA6719"/>
    <w:rsid w:val="00FA6858"/>
    <w:rsid w:val="00FA687C"/>
    <w:rsid w:val="00FA69DA"/>
    <w:rsid w:val="00FA6A34"/>
    <w:rsid w:val="00FA6C79"/>
    <w:rsid w:val="00FA6CD9"/>
    <w:rsid w:val="00FA6EE2"/>
    <w:rsid w:val="00FA7109"/>
    <w:rsid w:val="00FA722E"/>
    <w:rsid w:val="00FA73F7"/>
    <w:rsid w:val="00FA757B"/>
    <w:rsid w:val="00FA7776"/>
    <w:rsid w:val="00FA785A"/>
    <w:rsid w:val="00FA7BE7"/>
    <w:rsid w:val="00FA7D89"/>
    <w:rsid w:val="00FB0025"/>
    <w:rsid w:val="00FB003F"/>
    <w:rsid w:val="00FB0142"/>
    <w:rsid w:val="00FB019A"/>
    <w:rsid w:val="00FB026A"/>
    <w:rsid w:val="00FB03BB"/>
    <w:rsid w:val="00FB047F"/>
    <w:rsid w:val="00FB05F4"/>
    <w:rsid w:val="00FB0606"/>
    <w:rsid w:val="00FB06F4"/>
    <w:rsid w:val="00FB06F9"/>
    <w:rsid w:val="00FB07A6"/>
    <w:rsid w:val="00FB07D0"/>
    <w:rsid w:val="00FB0921"/>
    <w:rsid w:val="00FB0AA9"/>
    <w:rsid w:val="00FB0AB6"/>
    <w:rsid w:val="00FB0CD4"/>
    <w:rsid w:val="00FB0D0C"/>
    <w:rsid w:val="00FB0E0B"/>
    <w:rsid w:val="00FB0E43"/>
    <w:rsid w:val="00FB1159"/>
    <w:rsid w:val="00FB117A"/>
    <w:rsid w:val="00FB1222"/>
    <w:rsid w:val="00FB1298"/>
    <w:rsid w:val="00FB1330"/>
    <w:rsid w:val="00FB1456"/>
    <w:rsid w:val="00FB147B"/>
    <w:rsid w:val="00FB14D8"/>
    <w:rsid w:val="00FB15E5"/>
    <w:rsid w:val="00FB16BD"/>
    <w:rsid w:val="00FB16F9"/>
    <w:rsid w:val="00FB172C"/>
    <w:rsid w:val="00FB1798"/>
    <w:rsid w:val="00FB18C4"/>
    <w:rsid w:val="00FB18CE"/>
    <w:rsid w:val="00FB1905"/>
    <w:rsid w:val="00FB1A4E"/>
    <w:rsid w:val="00FB1AC3"/>
    <w:rsid w:val="00FB1ADB"/>
    <w:rsid w:val="00FB1B51"/>
    <w:rsid w:val="00FB1B58"/>
    <w:rsid w:val="00FB1C4E"/>
    <w:rsid w:val="00FB1F1C"/>
    <w:rsid w:val="00FB200E"/>
    <w:rsid w:val="00FB2040"/>
    <w:rsid w:val="00FB204F"/>
    <w:rsid w:val="00FB2201"/>
    <w:rsid w:val="00FB222F"/>
    <w:rsid w:val="00FB22B2"/>
    <w:rsid w:val="00FB24C0"/>
    <w:rsid w:val="00FB26A7"/>
    <w:rsid w:val="00FB26C6"/>
    <w:rsid w:val="00FB26E4"/>
    <w:rsid w:val="00FB2818"/>
    <w:rsid w:val="00FB29CE"/>
    <w:rsid w:val="00FB29EB"/>
    <w:rsid w:val="00FB2AE1"/>
    <w:rsid w:val="00FB2C91"/>
    <w:rsid w:val="00FB360A"/>
    <w:rsid w:val="00FB37A2"/>
    <w:rsid w:val="00FB3869"/>
    <w:rsid w:val="00FB38DC"/>
    <w:rsid w:val="00FB3AA6"/>
    <w:rsid w:val="00FB3C14"/>
    <w:rsid w:val="00FB3E91"/>
    <w:rsid w:val="00FB3EFA"/>
    <w:rsid w:val="00FB3FE7"/>
    <w:rsid w:val="00FB429B"/>
    <w:rsid w:val="00FB432F"/>
    <w:rsid w:val="00FB437B"/>
    <w:rsid w:val="00FB43FC"/>
    <w:rsid w:val="00FB450B"/>
    <w:rsid w:val="00FB4709"/>
    <w:rsid w:val="00FB4A3F"/>
    <w:rsid w:val="00FB4ACD"/>
    <w:rsid w:val="00FB4BA3"/>
    <w:rsid w:val="00FB4BAF"/>
    <w:rsid w:val="00FB506D"/>
    <w:rsid w:val="00FB5101"/>
    <w:rsid w:val="00FB5318"/>
    <w:rsid w:val="00FB53DC"/>
    <w:rsid w:val="00FB53EE"/>
    <w:rsid w:val="00FB54F4"/>
    <w:rsid w:val="00FB565E"/>
    <w:rsid w:val="00FB5684"/>
    <w:rsid w:val="00FB5794"/>
    <w:rsid w:val="00FB58A0"/>
    <w:rsid w:val="00FB58BB"/>
    <w:rsid w:val="00FB5952"/>
    <w:rsid w:val="00FB598E"/>
    <w:rsid w:val="00FB59FF"/>
    <w:rsid w:val="00FB5BE9"/>
    <w:rsid w:val="00FB5E70"/>
    <w:rsid w:val="00FB5FAB"/>
    <w:rsid w:val="00FB5FB5"/>
    <w:rsid w:val="00FB5FFF"/>
    <w:rsid w:val="00FB6156"/>
    <w:rsid w:val="00FB6213"/>
    <w:rsid w:val="00FB6359"/>
    <w:rsid w:val="00FB6483"/>
    <w:rsid w:val="00FB64A1"/>
    <w:rsid w:val="00FB6553"/>
    <w:rsid w:val="00FB6587"/>
    <w:rsid w:val="00FB65CD"/>
    <w:rsid w:val="00FB681D"/>
    <w:rsid w:val="00FB6992"/>
    <w:rsid w:val="00FB69C5"/>
    <w:rsid w:val="00FB69D9"/>
    <w:rsid w:val="00FB6A02"/>
    <w:rsid w:val="00FB6A73"/>
    <w:rsid w:val="00FB6A8A"/>
    <w:rsid w:val="00FB6A9A"/>
    <w:rsid w:val="00FB6D15"/>
    <w:rsid w:val="00FB6D4B"/>
    <w:rsid w:val="00FB6E0E"/>
    <w:rsid w:val="00FB7006"/>
    <w:rsid w:val="00FB7264"/>
    <w:rsid w:val="00FB7322"/>
    <w:rsid w:val="00FB732B"/>
    <w:rsid w:val="00FB7623"/>
    <w:rsid w:val="00FB7727"/>
    <w:rsid w:val="00FB77CE"/>
    <w:rsid w:val="00FB7972"/>
    <w:rsid w:val="00FB7D09"/>
    <w:rsid w:val="00FB7D41"/>
    <w:rsid w:val="00FB7EEE"/>
    <w:rsid w:val="00FC00AB"/>
    <w:rsid w:val="00FC00D4"/>
    <w:rsid w:val="00FC0112"/>
    <w:rsid w:val="00FC0161"/>
    <w:rsid w:val="00FC019E"/>
    <w:rsid w:val="00FC034A"/>
    <w:rsid w:val="00FC042F"/>
    <w:rsid w:val="00FC0464"/>
    <w:rsid w:val="00FC05D6"/>
    <w:rsid w:val="00FC063F"/>
    <w:rsid w:val="00FC07BF"/>
    <w:rsid w:val="00FC08BC"/>
    <w:rsid w:val="00FC0988"/>
    <w:rsid w:val="00FC0AA5"/>
    <w:rsid w:val="00FC0FE3"/>
    <w:rsid w:val="00FC10B2"/>
    <w:rsid w:val="00FC12DE"/>
    <w:rsid w:val="00FC155D"/>
    <w:rsid w:val="00FC16A2"/>
    <w:rsid w:val="00FC173A"/>
    <w:rsid w:val="00FC173E"/>
    <w:rsid w:val="00FC17CB"/>
    <w:rsid w:val="00FC17F5"/>
    <w:rsid w:val="00FC19EF"/>
    <w:rsid w:val="00FC1D21"/>
    <w:rsid w:val="00FC1D32"/>
    <w:rsid w:val="00FC1D50"/>
    <w:rsid w:val="00FC1DB5"/>
    <w:rsid w:val="00FC1DCF"/>
    <w:rsid w:val="00FC20F8"/>
    <w:rsid w:val="00FC21C8"/>
    <w:rsid w:val="00FC2457"/>
    <w:rsid w:val="00FC24BB"/>
    <w:rsid w:val="00FC27A0"/>
    <w:rsid w:val="00FC2856"/>
    <w:rsid w:val="00FC28EC"/>
    <w:rsid w:val="00FC2AF3"/>
    <w:rsid w:val="00FC2B3E"/>
    <w:rsid w:val="00FC2BF1"/>
    <w:rsid w:val="00FC2D69"/>
    <w:rsid w:val="00FC2E96"/>
    <w:rsid w:val="00FC30E9"/>
    <w:rsid w:val="00FC3202"/>
    <w:rsid w:val="00FC3592"/>
    <w:rsid w:val="00FC35DE"/>
    <w:rsid w:val="00FC3677"/>
    <w:rsid w:val="00FC36DF"/>
    <w:rsid w:val="00FC375B"/>
    <w:rsid w:val="00FC3B63"/>
    <w:rsid w:val="00FC3C08"/>
    <w:rsid w:val="00FC3D6C"/>
    <w:rsid w:val="00FC3D92"/>
    <w:rsid w:val="00FC3E8D"/>
    <w:rsid w:val="00FC3EFB"/>
    <w:rsid w:val="00FC3F4B"/>
    <w:rsid w:val="00FC3FF3"/>
    <w:rsid w:val="00FC41DB"/>
    <w:rsid w:val="00FC41E6"/>
    <w:rsid w:val="00FC42AA"/>
    <w:rsid w:val="00FC42C5"/>
    <w:rsid w:val="00FC46C9"/>
    <w:rsid w:val="00FC4A7B"/>
    <w:rsid w:val="00FC4B25"/>
    <w:rsid w:val="00FC4B2F"/>
    <w:rsid w:val="00FC4BB2"/>
    <w:rsid w:val="00FC4CFC"/>
    <w:rsid w:val="00FC4DC3"/>
    <w:rsid w:val="00FC4EF6"/>
    <w:rsid w:val="00FC4F37"/>
    <w:rsid w:val="00FC5076"/>
    <w:rsid w:val="00FC51AB"/>
    <w:rsid w:val="00FC54BD"/>
    <w:rsid w:val="00FC565D"/>
    <w:rsid w:val="00FC56D6"/>
    <w:rsid w:val="00FC5737"/>
    <w:rsid w:val="00FC59B9"/>
    <w:rsid w:val="00FC5A12"/>
    <w:rsid w:val="00FC5C3A"/>
    <w:rsid w:val="00FC5C3D"/>
    <w:rsid w:val="00FC5D16"/>
    <w:rsid w:val="00FC5DC2"/>
    <w:rsid w:val="00FC5DE6"/>
    <w:rsid w:val="00FC5E6B"/>
    <w:rsid w:val="00FC5EBF"/>
    <w:rsid w:val="00FC5F31"/>
    <w:rsid w:val="00FC60EB"/>
    <w:rsid w:val="00FC619A"/>
    <w:rsid w:val="00FC61A8"/>
    <w:rsid w:val="00FC61CA"/>
    <w:rsid w:val="00FC6452"/>
    <w:rsid w:val="00FC66C0"/>
    <w:rsid w:val="00FC66C7"/>
    <w:rsid w:val="00FC68D7"/>
    <w:rsid w:val="00FC6A91"/>
    <w:rsid w:val="00FC6A96"/>
    <w:rsid w:val="00FC6B0E"/>
    <w:rsid w:val="00FC6B6B"/>
    <w:rsid w:val="00FC6BC7"/>
    <w:rsid w:val="00FC6C56"/>
    <w:rsid w:val="00FC6D53"/>
    <w:rsid w:val="00FC6DBB"/>
    <w:rsid w:val="00FC6DCD"/>
    <w:rsid w:val="00FC70A8"/>
    <w:rsid w:val="00FC70D8"/>
    <w:rsid w:val="00FC7106"/>
    <w:rsid w:val="00FC726D"/>
    <w:rsid w:val="00FC7272"/>
    <w:rsid w:val="00FC7458"/>
    <w:rsid w:val="00FC7644"/>
    <w:rsid w:val="00FC76DD"/>
    <w:rsid w:val="00FC775A"/>
    <w:rsid w:val="00FC7971"/>
    <w:rsid w:val="00FC79FD"/>
    <w:rsid w:val="00FC7CA4"/>
    <w:rsid w:val="00FC7E1C"/>
    <w:rsid w:val="00FC7FF0"/>
    <w:rsid w:val="00FD007F"/>
    <w:rsid w:val="00FD00E9"/>
    <w:rsid w:val="00FD04FD"/>
    <w:rsid w:val="00FD0547"/>
    <w:rsid w:val="00FD0848"/>
    <w:rsid w:val="00FD0943"/>
    <w:rsid w:val="00FD0A19"/>
    <w:rsid w:val="00FD0AAC"/>
    <w:rsid w:val="00FD0AE2"/>
    <w:rsid w:val="00FD0AF8"/>
    <w:rsid w:val="00FD0B42"/>
    <w:rsid w:val="00FD0C45"/>
    <w:rsid w:val="00FD0DCF"/>
    <w:rsid w:val="00FD0FA7"/>
    <w:rsid w:val="00FD0FB0"/>
    <w:rsid w:val="00FD1154"/>
    <w:rsid w:val="00FD1427"/>
    <w:rsid w:val="00FD143F"/>
    <w:rsid w:val="00FD149E"/>
    <w:rsid w:val="00FD1594"/>
    <w:rsid w:val="00FD15F6"/>
    <w:rsid w:val="00FD176F"/>
    <w:rsid w:val="00FD1A77"/>
    <w:rsid w:val="00FD1AAD"/>
    <w:rsid w:val="00FD1F25"/>
    <w:rsid w:val="00FD1F84"/>
    <w:rsid w:val="00FD1FDB"/>
    <w:rsid w:val="00FD1FEB"/>
    <w:rsid w:val="00FD21B8"/>
    <w:rsid w:val="00FD2294"/>
    <w:rsid w:val="00FD23CA"/>
    <w:rsid w:val="00FD258A"/>
    <w:rsid w:val="00FD25CF"/>
    <w:rsid w:val="00FD26D8"/>
    <w:rsid w:val="00FD27E2"/>
    <w:rsid w:val="00FD27F4"/>
    <w:rsid w:val="00FD286E"/>
    <w:rsid w:val="00FD28E1"/>
    <w:rsid w:val="00FD29F6"/>
    <w:rsid w:val="00FD2A01"/>
    <w:rsid w:val="00FD2C34"/>
    <w:rsid w:val="00FD2C4C"/>
    <w:rsid w:val="00FD3151"/>
    <w:rsid w:val="00FD333A"/>
    <w:rsid w:val="00FD33AF"/>
    <w:rsid w:val="00FD3473"/>
    <w:rsid w:val="00FD34A2"/>
    <w:rsid w:val="00FD37FA"/>
    <w:rsid w:val="00FD3BC6"/>
    <w:rsid w:val="00FD3C8E"/>
    <w:rsid w:val="00FD3C93"/>
    <w:rsid w:val="00FD3CE5"/>
    <w:rsid w:val="00FD3D75"/>
    <w:rsid w:val="00FD3EF5"/>
    <w:rsid w:val="00FD409C"/>
    <w:rsid w:val="00FD4166"/>
    <w:rsid w:val="00FD41B1"/>
    <w:rsid w:val="00FD434D"/>
    <w:rsid w:val="00FD4376"/>
    <w:rsid w:val="00FD442D"/>
    <w:rsid w:val="00FD45CB"/>
    <w:rsid w:val="00FD46A5"/>
    <w:rsid w:val="00FD475B"/>
    <w:rsid w:val="00FD49D5"/>
    <w:rsid w:val="00FD4B97"/>
    <w:rsid w:val="00FD4CD1"/>
    <w:rsid w:val="00FD4E76"/>
    <w:rsid w:val="00FD4F0E"/>
    <w:rsid w:val="00FD5039"/>
    <w:rsid w:val="00FD5102"/>
    <w:rsid w:val="00FD5164"/>
    <w:rsid w:val="00FD5277"/>
    <w:rsid w:val="00FD52C0"/>
    <w:rsid w:val="00FD53B0"/>
    <w:rsid w:val="00FD558C"/>
    <w:rsid w:val="00FD55F2"/>
    <w:rsid w:val="00FD580C"/>
    <w:rsid w:val="00FD5957"/>
    <w:rsid w:val="00FD5AC4"/>
    <w:rsid w:val="00FD5B7E"/>
    <w:rsid w:val="00FD5C66"/>
    <w:rsid w:val="00FD5DC9"/>
    <w:rsid w:val="00FD5E22"/>
    <w:rsid w:val="00FD6119"/>
    <w:rsid w:val="00FD618D"/>
    <w:rsid w:val="00FD61CA"/>
    <w:rsid w:val="00FD62C6"/>
    <w:rsid w:val="00FD638D"/>
    <w:rsid w:val="00FD63A5"/>
    <w:rsid w:val="00FD642E"/>
    <w:rsid w:val="00FD6470"/>
    <w:rsid w:val="00FD65D4"/>
    <w:rsid w:val="00FD65E7"/>
    <w:rsid w:val="00FD66A3"/>
    <w:rsid w:val="00FD6729"/>
    <w:rsid w:val="00FD673D"/>
    <w:rsid w:val="00FD67D2"/>
    <w:rsid w:val="00FD6AEB"/>
    <w:rsid w:val="00FD6B05"/>
    <w:rsid w:val="00FD6B94"/>
    <w:rsid w:val="00FD6C2B"/>
    <w:rsid w:val="00FD6DD2"/>
    <w:rsid w:val="00FD6EA2"/>
    <w:rsid w:val="00FD7066"/>
    <w:rsid w:val="00FD7368"/>
    <w:rsid w:val="00FD73A2"/>
    <w:rsid w:val="00FD7559"/>
    <w:rsid w:val="00FD78CD"/>
    <w:rsid w:val="00FD7955"/>
    <w:rsid w:val="00FD7A7C"/>
    <w:rsid w:val="00FD7B28"/>
    <w:rsid w:val="00FD7BA3"/>
    <w:rsid w:val="00FD7BA5"/>
    <w:rsid w:val="00FD7BC0"/>
    <w:rsid w:val="00FD7CC2"/>
    <w:rsid w:val="00FD7D24"/>
    <w:rsid w:val="00FD7E0E"/>
    <w:rsid w:val="00FD7FA5"/>
    <w:rsid w:val="00FE0056"/>
    <w:rsid w:val="00FE020F"/>
    <w:rsid w:val="00FE0251"/>
    <w:rsid w:val="00FE02A8"/>
    <w:rsid w:val="00FE02C3"/>
    <w:rsid w:val="00FE033E"/>
    <w:rsid w:val="00FE035F"/>
    <w:rsid w:val="00FE040E"/>
    <w:rsid w:val="00FE04A6"/>
    <w:rsid w:val="00FE05BC"/>
    <w:rsid w:val="00FE05C3"/>
    <w:rsid w:val="00FE06CC"/>
    <w:rsid w:val="00FE0A50"/>
    <w:rsid w:val="00FE0B06"/>
    <w:rsid w:val="00FE0B82"/>
    <w:rsid w:val="00FE0C13"/>
    <w:rsid w:val="00FE0DF9"/>
    <w:rsid w:val="00FE0E65"/>
    <w:rsid w:val="00FE0F5E"/>
    <w:rsid w:val="00FE1005"/>
    <w:rsid w:val="00FE1010"/>
    <w:rsid w:val="00FE1208"/>
    <w:rsid w:val="00FE1383"/>
    <w:rsid w:val="00FE145E"/>
    <w:rsid w:val="00FE15A7"/>
    <w:rsid w:val="00FE1726"/>
    <w:rsid w:val="00FE1744"/>
    <w:rsid w:val="00FE17E6"/>
    <w:rsid w:val="00FE1813"/>
    <w:rsid w:val="00FE181D"/>
    <w:rsid w:val="00FE1AB3"/>
    <w:rsid w:val="00FE1BE9"/>
    <w:rsid w:val="00FE1D4E"/>
    <w:rsid w:val="00FE1D8E"/>
    <w:rsid w:val="00FE1D92"/>
    <w:rsid w:val="00FE1E43"/>
    <w:rsid w:val="00FE1E5D"/>
    <w:rsid w:val="00FE1E8C"/>
    <w:rsid w:val="00FE1F25"/>
    <w:rsid w:val="00FE1F2B"/>
    <w:rsid w:val="00FE20B9"/>
    <w:rsid w:val="00FE24F1"/>
    <w:rsid w:val="00FE24FC"/>
    <w:rsid w:val="00FE254E"/>
    <w:rsid w:val="00FE25DE"/>
    <w:rsid w:val="00FE2741"/>
    <w:rsid w:val="00FE274A"/>
    <w:rsid w:val="00FE283E"/>
    <w:rsid w:val="00FE29B4"/>
    <w:rsid w:val="00FE2A43"/>
    <w:rsid w:val="00FE2B33"/>
    <w:rsid w:val="00FE2B3F"/>
    <w:rsid w:val="00FE2B9C"/>
    <w:rsid w:val="00FE2BDB"/>
    <w:rsid w:val="00FE2DC3"/>
    <w:rsid w:val="00FE2E37"/>
    <w:rsid w:val="00FE2E7B"/>
    <w:rsid w:val="00FE2EE7"/>
    <w:rsid w:val="00FE2F1F"/>
    <w:rsid w:val="00FE3200"/>
    <w:rsid w:val="00FE32BB"/>
    <w:rsid w:val="00FE3457"/>
    <w:rsid w:val="00FE37B3"/>
    <w:rsid w:val="00FE387E"/>
    <w:rsid w:val="00FE3A94"/>
    <w:rsid w:val="00FE3A9B"/>
    <w:rsid w:val="00FE3C50"/>
    <w:rsid w:val="00FE3D58"/>
    <w:rsid w:val="00FE3DF2"/>
    <w:rsid w:val="00FE4143"/>
    <w:rsid w:val="00FE45A7"/>
    <w:rsid w:val="00FE45EC"/>
    <w:rsid w:val="00FE46EF"/>
    <w:rsid w:val="00FE46FA"/>
    <w:rsid w:val="00FE48BD"/>
    <w:rsid w:val="00FE4964"/>
    <w:rsid w:val="00FE497E"/>
    <w:rsid w:val="00FE4A17"/>
    <w:rsid w:val="00FE4AAC"/>
    <w:rsid w:val="00FE4B19"/>
    <w:rsid w:val="00FE4D31"/>
    <w:rsid w:val="00FE4D78"/>
    <w:rsid w:val="00FE4E27"/>
    <w:rsid w:val="00FE4EB8"/>
    <w:rsid w:val="00FE4FCB"/>
    <w:rsid w:val="00FE4FF9"/>
    <w:rsid w:val="00FE5452"/>
    <w:rsid w:val="00FE5694"/>
    <w:rsid w:val="00FE56B9"/>
    <w:rsid w:val="00FE58BE"/>
    <w:rsid w:val="00FE592A"/>
    <w:rsid w:val="00FE59D5"/>
    <w:rsid w:val="00FE60F3"/>
    <w:rsid w:val="00FE62FE"/>
    <w:rsid w:val="00FE6493"/>
    <w:rsid w:val="00FE64AF"/>
    <w:rsid w:val="00FE6507"/>
    <w:rsid w:val="00FE65A2"/>
    <w:rsid w:val="00FE6647"/>
    <w:rsid w:val="00FE667E"/>
    <w:rsid w:val="00FE6690"/>
    <w:rsid w:val="00FE68DC"/>
    <w:rsid w:val="00FE6BD0"/>
    <w:rsid w:val="00FE6C5B"/>
    <w:rsid w:val="00FE6CAE"/>
    <w:rsid w:val="00FE6E7B"/>
    <w:rsid w:val="00FE6F13"/>
    <w:rsid w:val="00FE6FC8"/>
    <w:rsid w:val="00FE6FDA"/>
    <w:rsid w:val="00FE7086"/>
    <w:rsid w:val="00FE71B4"/>
    <w:rsid w:val="00FE7242"/>
    <w:rsid w:val="00FE73FC"/>
    <w:rsid w:val="00FE747C"/>
    <w:rsid w:val="00FE77DC"/>
    <w:rsid w:val="00FE77E5"/>
    <w:rsid w:val="00FE7952"/>
    <w:rsid w:val="00FE7A6F"/>
    <w:rsid w:val="00FE7F7F"/>
    <w:rsid w:val="00FF0239"/>
    <w:rsid w:val="00FF0260"/>
    <w:rsid w:val="00FF02D2"/>
    <w:rsid w:val="00FF034E"/>
    <w:rsid w:val="00FF057F"/>
    <w:rsid w:val="00FF05D3"/>
    <w:rsid w:val="00FF0630"/>
    <w:rsid w:val="00FF0691"/>
    <w:rsid w:val="00FF0777"/>
    <w:rsid w:val="00FF0889"/>
    <w:rsid w:val="00FF09DA"/>
    <w:rsid w:val="00FF0A6E"/>
    <w:rsid w:val="00FF0B3F"/>
    <w:rsid w:val="00FF0C76"/>
    <w:rsid w:val="00FF0CF5"/>
    <w:rsid w:val="00FF0DF4"/>
    <w:rsid w:val="00FF0DFB"/>
    <w:rsid w:val="00FF0EA5"/>
    <w:rsid w:val="00FF116C"/>
    <w:rsid w:val="00FF160B"/>
    <w:rsid w:val="00FF1881"/>
    <w:rsid w:val="00FF188B"/>
    <w:rsid w:val="00FF18CC"/>
    <w:rsid w:val="00FF190F"/>
    <w:rsid w:val="00FF19B0"/>
    <w:rsid w:val="00FF1A00"/>
    <w:rsid w:val="00FF1A8D"/>
    <w:rsid w:val="00FF1B43"/>
    <w:rsid w:val="00FF1B45"/>
    <w:rsid w:val="00FF1B97"/>
    <w:rsid w:val="00FF1BA3"/>
    <w:rsid w:val="00FF1BCC"/>
    <w:rsid w:val="00FF1C9E"/>
    <w:rsid w:val="00FF1D8A"/>
    <w:rsid w:val="00FF1DB9"/>
    <w:rsid w:val="00FF1F95"/>
    <w:rsid w:val="00FF2018"/>
    <w:rsid w:val="00FF2152"/>
    <w:rsid w:val="00FF2280"/>
    <w:rsid w:val="00FF2342"/>
    <w:rsid w:val="00FF23D4"/>
    <w:rsid w:val="00FF2682"/>
    <w:rsid w:val="00FF285C"/>
    <w:rsid w:val="00FF28C7"/>
    <w:rsid w:val="00FF2911"/>
    <w:rsid w:val="00FF2924"/>
    <w:rsid w:val="00FF2C81"/>
    <w:rsid w:val="00FF2D8B"/>
    <w:rsid w:val="00FF2F0E"/>
    <w:rsid w:val="00FF3128"/>
    <w:rsid w:val="00FF3317"/>
    <w:rsid w:val="00FF3476"/>
    <w:rsid w:val="00FF3695"/>
    <w:rsid w:val="00FF3854"/>
    <w:rsid w:val="00FF3872"/>
    <w:rsid w:val="00FF39BF"/>
    <w:rsid w:val="00FF3A04"/>
    <w:rsid w:val="00FF3D75"/>
    <w:rsid w:val="00FF4092"/>
    <w:rsid w:val="00FF40A2"/>
    <w:rsid w:val="00FF41C7"/>
    <w:rsid w:val="00FF42B4"/>
    <w:rsid w:val="00FF4327"/>
    <w:rsid w:val="00FF444E"/>
    <w:rsid w:val="00FF45C4"/>
    <w:rsid w:val="00FF472F"/>
    <w:rsid w:val="00FF481E"/>
    <w:rsid w:val="00FF4ABD"/>
    <w:rsid w:val="00FF4B23"/>
    <w:rsid w:val="00FF4BCE"/>
    <w:rsid w:val="00FF4C3D"/>
    <w:rsid w:val="00FF4C60"/>
    <w:rsid w:val="00FF4EF5"/>
    <w:rsid w:val="00FF4F30"/>
    <w:rsid w:val="00FF50C3"/>
    <w:rsid w:val="00FF5121"/>
    <w:rsid w:val="00FF52D1"/>
    <w:rsid w:val="00FF535C"/>
    <w:rsid w:val="00FF5366"/>
    <w:rsid w:val="00FF53F4"/>
    <w:rsid w:val="00FF53FA"/>
    <w:rsid w:val="00FF55FA"/>
    <w:rsid w:val="00FF594E"/>
    <w:rsid w:val="00FF5A5A"/>
    <w:rsid w:val="00FF5AC3"/>
    <w:rsid w:val="00FF5D63"/>
    <w:rsid w:val="00FF5EFA"/>
    <w:rsid w:val="00FF5F23"/>
    <w:rsid w:val="00FF5F6B"/>
    <w:rsid w:val="00FF604B"/>
    <w:rsid w:val="00FF60DD"/>
    <w:rsid w:val="00FF614F"/>
    <w:rsid w:val="00FF61AD"/>
    <w:rsid w:val="00FF61C3"/>
    <w:rsid w:val="00FF62D3"/>
    <w:rsid w:val="00FF6341"/>
    <w:rsid w:val="00FF63C0"/>
    <w:rsid w:val="00FF65A4"/>
    <w:rsid w:val="00FF6627"/>
    <w:rsid w:val="00FF67A8"/>
    <w:rsid w:val="00FF67E0"/>
    <w:rsid w:val="00FF68B4"/>
    <w:rsid w:val="00FF692D"/>
    <w:rsid w:val="00FF694F"/>
    <w:rsid w:val="00FF6A54"/>
    <w:rsid w:val="00FF6A9F"/>
    <w:rsid w:val="00FF6B70"/>
    <w:rsid w:val="00FF6C88"/>
    <w:rsid w:val="00FF6CE3"/>
    <w:rsid w:val="00FF6D09"/>
    <w:rsid w:val="00FF6D3B"/>
    <w:rsid w:val="00FF6E25"/>
    <w:rsid w:val="00FF6EBF"/>
    <w:rsid w:val="00FF72C0"/>
    <w:rsid w:val="00FF769B"/>
    <w:rsid w:val="00FF774B"/>
    <w:rsid w:val="00FF77C4"/>
    <w:rsid w:val="00FF7BAD"/>
    <w:rsid w:val="00FF7C7A"/>
    <w:rsid w:val="00FF7DC2"/>
    <w:rsid w:val="00FF7E0A"/>
    <w:rsid w:val="00FF7FD8"/>
    <w:rsid w:val="0118C8F4"/>
    <w:rsid w:val="013992C5"/>
    <w:rsid w:val="0152ACCF"/>
    <w:rsid w:val="01561ED7"/>
    <w:rsid w:val="018290AF"/>
    <w:rsid w:val="0186EB0E"/>
    <w:rsid w:val="01A105E1"/>
    <w:rsid w:val="01A65926"/>
    <w:rsid w:val="01BC3C21"/>
    <w:rsid w:val="01CC2A35"/>
    <w:rsid w:val="01D5F78A"/>
    <w:rsid w:val="01ED9BE7"/>
    <w:rsid w:val="020C51D4"/>
    <w:rsid w:val="02195B88"/>
    <w:rsid w:val="02243004"/>
    <w:rsid w:val="02384C88"/>
    <w:rsid w:val="025B79A8"/>
    <w:rsid w:val="025BEB74"/>
    <w:rsid w:val="0264C17E"/>
    <w:rsid w:val="026FE066"/>
    <w:rsid w:val="0271F804"/>
    <w:rsid w:val="02949427"/>
    <w:rsid w:val="02A2AEC0"/>
    <w:rsid w:val="02ACD5B8"/>
    <w:rsid w:val="02B89F87"/>
    <w:rsid w:val="02BDA78A"/>
    <w:rsid w:val="02C185AD"/>
    <w:rsid w:val="02D60317"/>
    <w:rsid w:val="02DBE260"/>
    <w:rsid w:val="02E7F882"/>
    <w:rsid w:val="030A563A"/>
    <w:rsid w:val="032ACC94"/>
    <w:rsid w:val="03355DC7"/>
    <w:rsid w:val="0360771E"/>
    <w:rsid w:val="036998FE"/>
    <w:rsid w:val="03857394"/>
    <w:rsid w:val="03AB01B4"/>
    <w:rsid w:val="03CDE032"/>
    <w:rsid w:val="03D059F2"/>
    <w:rsid w:val="03D23197"/>
    <w:rsid w:val="03E50A0A"/>
    <w:rsid w:val="03EE737E"/>
    <w:rsid w:val="0408E26C"/>
    <w:rsid w:val="043DC051"/>
    <w:rsid w:val="045A9ED9"/>
    <w:rsid w:val="046D2259"/>
    <w:rsid w:val="0480544E"/>
    <w:rsid w:val="04AB419F"/>
    <w:rsid w:val="04C71232"/>
    <w:rsid w:val="04CD3B87"/>
    <w:rsid w:val="04CD436F"/>
    <w:rsid w:val="04E15D5D"/>
    <w:rsid w:val="04E567F4"/>
    <w:rsid w:val="04EAF718"/>
    <w:rsid w:val="04EC59B4"/>
    <w:rsid w:val="04FC432D"/>
    <w:rsid w:val="05052C78"/>
    <w:rsid w:val="0529ABE9"/>
    <w:rsid w:val="052D6B2C"/>
    <w:rsid w:val="05444477"/>
    <w:rsid w:val="05508880"/>
    <w:rsid w:val="0561D1D4"/>
    <w:rsid w:val="056E1939"/>
    <w:rsid w:val="0573D060"/>
    <w:rsid w:val="05772EE1"/>
    <w:rsid w:val="0590C8B0"/>
    <w:rsid w:val="059A421D"/>
    <w:rsid w:val="05AA8ED3"/>
    <w:rsid w:val="05C5F906"/>
    <w:rsid w:val="05CE00E9"/>
    <w:rsid w:val="05CFD010"/>
    <w:rsid w:val="05E35BCE"/>
    <w:rsid w:val="0600CD53"/>
    <w:rsid w:val="060614DB"/>
    <w:rsid w:val="06179B53"/>
    <w:rsid w:val="063F3E88"/>
    <w:rsid w:val="06454772"/>
    <w:rsid w:val="065BD9A8"/>
    <w:rsid w:val="065C634B"/>
    <w:rsid w:val="0662D4AE"/>
    <w:rsid w:val="0693F894"/>
    <w:rsid w:val="06BC9629"/>
    <w:rsid w:val="06BCD992"/>
    <w:rsid w:val="06C04D83"/>
    <w:rsid w:val="06DD7559"/>
    <w:rsid w:val="06E55C4D"/>
    <w:rsid w:val="06EF2DA6"/>
    <w:rsid w:val="06FA9160"/>
    <w:rsid w:val="071A5327"/>
    <w:rsid w:val="0723CC02"/>
    <w:rsid w:val="0746BBF5"/>
    <w:rsid w:val="077FC369"/>
    <w:rsid w:val="07835B9A"/>
    <w:rsid w:val="0786EF4A"/>
    <w:rsid w:val="079537B8"/>
    <w:rsid w:val="079E794E"/>
    <w:rsid w:val="07A151E7"/>
    <w:rsid w:val="07A92595"/>
    <w:rsid w:val="07ABAC35"/>
    <w:rsid w:val="07B666E8"/>
    <w:rsid w:val="07D9645E"/>
    <w:rsid w:val="07E10C0F"/>
    <w:rsid w:val="07EE94C9"/>
    <w:rsid w:val="081ECC83"/>
    <w:rsid w:val="0847D6B0"/>
    <w:rsid w:val="0867DB9B"/>
    <w:rsid w:val="0869831A"/>
    <w:rsid w:val="0869C224"/>
    <w:rsid w:val="086ADC9C"/>
    <w:rsid w:val="08730F72"/>
    <w:rsid w:val="0875AA09"/>
    <w:rsid w:val="087F31C3"/>
    <w:rsid w:val="0884AE9C"/>
    <w:rsid w:val="08906379"/>
    <w:rsid w:val="0898A9E2"/>
    <w:rsid w:val="08EF9B7E"/>
    <w:rsid w:val="08F6F9F8"/>
    <w:rsid w:val="091A8C1E"/>
    <w:rsid w:val="093D07A7"/>
    <w:rsid w:val="0941D054"/>
    <w:rsid w:val="094C2A6C"/>
    <w:rsid w:val="0960F9F8"/>
    <w:rsid w:val="0963C5F7"/>
    <w:rsid w:val="09656E2B"/>
    <w:rsid w:val="096AE085"/>
    <w:rsid w:val="099E59C5"/>
    <w:rsid w:val="09A8511D"/>
    <w:rsid w:val="09ACFDD0"/>
    <w:rsid w:val="09BE583E"/>
    <w:rsid w:val="09E04FB8"/>
    <w:rsid w:val="09FB61AE"/>
    <w:rsid w:val="0A1C3958"/>
    <w:rsid w:val="0A315549"/>
    <w:rsid w:val="0A8F909E"/>
    <w:rsid w:val="0ACD5B5A"/>
    <w:rsid w:val="0ADD320D"/>
    <w:rsid w:val="0AE0AC7F"/>
    <w:rsid w:val="0AF9E526"/>
    <w:rsid w:val="0AFEE20B"/>
    <w:rsid w:val="0B0E08EF"/>
    <w:rsid w:val="0B1DDF06"/>
    <w:rsid w:val="0B3176BA"/>
    <w:rsid w:val="0B3FA2FB"/>
    <w:rsid w:val="0B600586"/>
    <w:rsid w:val="0BAD2647"/>
    <w:rsid w:val="0BAEF2C7"/>
    <w:rsid w:val="0BCBA700"/>
    <w:rsid w:val="0BD77BFF"/>
    <w:rsid w:val="0BF10600"/>
    <w:rsid w:val="0BF453FF"/>
    <w:rsid w:val="0C08AD04"/>
    <w:rsid w:val="0C0FF431"/>
    <w:rsid w:val="0C1083BB"/>
    <w:rsid w:val="0C9C993C"/>
    <w:rsid w:val="0CB841E6"/>
    <w:rsid w:val="0CBC93B5"/>
    <w:rsid w:val="0CD3F5AA"/>
    <w:rsid w:val="0D1D1A7E"/>
    <w:rsid w:val="0D2CC05C"/>
    <w:rsid w:val="0D50D37E"/>
    <w:rsid w:val="0D5AF8B7"/>
    <w:rsid w:val="0D656885"/>
    <w:rsid w:val="0D677817"/>
    <w:rsid w:val="0D77D6D5"/>
    <w:rsid w:val="0D953A6D"/>
    <w:rsid w:val="0DA41753"/>
    <w:rsid w:val="0DA9258F"/>
    <w:rsid w:val="0DB5C8DF"/>
    <w:rsid w:val="0DC7B5E6"/>
    <w:rsid w:val="0DD2AF1F"/>
    <w:rsid w:val="0DD60FE9"/>
    <w:rsid w:val="0DEBD1FF"/>
    <w:rsid w:val="0DF1EE0B"/>
    <w:rsid w:val="0E0692E1"/>
    <w:rsid w:val="0E09E84B"/>
    <w:rsid w:val="0E0F8DF2"/>
    <w:rsid w:val="0E190044"/>
    <w:rsid w:val="0E293B85"/>
    <w:rsid w:val="0E2D9EFF"/>
    <w:rsid w:val="0E2EB88B"/>
    <w:rsid w:val="0E53B2FA"/>
    <w:rsid w:val="0E5BC382"/>
    <w:rsid w:val="0E7BBD98"/>
    <w:rsid w:val="0E9E113E"/>
    <w:rsid w:val="0ED4F1A0"/>
    <w:rsid w:val="0ED7A9ED"/>
    <w:rsid w:val="0F05DD80"/>
    <w:rsid w:val="0F19037F"/>
    <w:rsid w:val="0F1ABB79"/>
    <w:rsid w:val="0F41EEAC"/>
    <w:rsid w:val="0F58DF9E"/>
    <w:rsid w:val="0F7183D8"/>
    <w:rsid w:val="0F72EAFD"/>
    <w:rsid w:val="0FA4BC13"/>
    <w:rsid w:val="0FC29D8F"/>
    <w:rsid w:val="100CBE82"/>
    <w:rsid w:val="1019AA15"/>
    <w:rsid w:val="101B4981"/>
    <w:rsid w:val="1024870D"/>
    <w:rsid w:val="1033AAA7"/>
    <w:rsid w:val="1038CFDE"/>
    <w:rsid w:val="105D80B9"/>
    <w:rsid w:val="10699228"/>
    <w:rsid w:val="109F9109"/>
    <w:rsid w:val="10ABD587"/>
    <w:rsid w:val="10B223BB"/>
    <w:rsid w:val="10C254C8"/>
    <w:rsid w:val="10C6B0C9"/>
    <w:rsid w:val="10CF762B"/>
    <w:rsid w:val="10D8D211"/>
    <w:rsid w:val="10E19DBB"/>
    <w:rsid w:val="11132BE0"/>
    <w:rsid w:val="1122BE8F"/>
    <w:rsid w:val="11242877"/>
    <w:rsid w:val="11547699"/>
    <w:rsid w:val="11599C81"/>
    <w:rsid w:val="1166B880"/>
    <w:rsid w:val="11BDEF52"/>
    <w:rsid w:val="11C1551E"/>
    <w:rsid w:val="11C42AB2"/>
    <w:rsid w:val="11CCEB92"/>
    <w:rsid w:val="11E25AC3"/>
    <w:rsid w:val="11F863DA"/>
    <w:rsid w:val="1234CC0C"/>
    <w:rsid w:val="1264BA48"/>
    <w:rsid w:val="127C3FE7"/>
    <w:rsid w:val="127D615A"/>
    <w:rsid w:val="1292E9BD"/>
    <w:rsid w:val="1299136D"/>
    <w:rsid w:val="12A647F3"/>
    <w:rsid w:val="12AF874D"/>
    <w:rsid w:val="12B8C91F"/>
    <w:rsid w:val="12C938C3"/>
    <w:rsid w:val="12D18EB9"/>
    <w:rsid w:val="12E2ACCD"/>
    <w:rsid w:val="12FEA0B3"/>
    <w:rsid w:val="133D673B"/>
    <w:rsid w:val="1355FB13"/>
    <w:rsid w:val="1358C282"/>
    <w:rsid w:val="136EA119"/>
    <w:rsid w:val="13799C31"/>
    <w:rsid w:val="13815800"/>
    <w:rsid w:val="13D26943"/>
    <w:rsid w:val="13ED2ABB"/>
    <w:rsid w:val="13F097D6"/>
    <w:rsid w:val="13FCAD74"/>
    <w:rsid w:val="140A6BDE"/>
    <w:rsid w:val="14142C69"/>
    <w:rsid w:val="1451CE1E"/>
    <w:rsid w:val="146A7915"/>
    <w:rsid w:val="1478B5EF"/>
    <w:rsid w:val="148B2E1E"/>
    <w:rsid w:val="149B69DF"/>
    <w:rsid w:val="14B4DA5D"/>
    <w:rsid w:val="14C931F0"/>
    <w:rsid w:val="14DA05CC"/>
    <w:rsid w:val="14EA508E"/>
    <w:rsid w:val="1558F99E"/>
    <w:rsid w:val="15622ECA"/>
    <w:rsid w:val="156E5242"/>
    <w:rsid w:val="157003D9"/>
    <w:rsid w:val="15799432"/>
    <w:rsid w:val="1588A6D8"/>
    <w:rsid w:val="15A30593"/>
    <w:rsid w:val="15B39510"/>
    <w:rsid w:val="15DC45D7"/>
    <w:rsid w:val="15E3C5EB"/>
    <w:rsid w:val="15FFF067"/>
    <w:rsid w:val="160D3CAE"/>
    <w:rsid w:val="1617CE2E"/>
    <w:rsid w:val="162831FA"/>
    <w:rsid w:val="1634976B"/>
    <w:rsid w:val="1640E2C4"/>
    <w:rsid w:val="1646E328"/>
    <w:rsid w:val="165D4402"/>
    <w:rsid w:val="165FA184"/>
    <w:rsid w:val="167980B6"/>
    <w:rsid w:val="16A9E36C"/>
    <w:rsid w:val="16AF0453"/>
    <w:rsid w:val="16BD4DF6"/>
    <w:rsid w:val="16FCFD17"/>
    <w:rsid w:val="17004CB8"/>
    <w:rsid w:val="17509D3B"/>
    <w:rsid w:val="1754EF1E"/>
    <w:rsid w:val="1758F41E"/>
    <w:rsid w:val="175D26D2"/>
    <w:rsid w:val="1767B88E"/>
    <w:rsid w:val="177C118F"/>
    <w:rsid w:val="17B558EA"/>
    <w:rsid w:val="17DBF5EE"/>
    <w:rsid w:val="17DE33D1"/>
    <w:rsid w:val="17E6D3AF"/>
    <w:rsid w:val="17EBAD1B"/>
    <w:rsid w:val="17FAA7FA"/>
    <w:rsid w:val="17FEE1B5"/>
    <w:rsid w:val="1808278F"/>
    <w:rsid w:val="1820ADF4"/>
    <w:rsid w:val="1827FB58"/>
    <w:rsid w:val="182E786E"/>
    <w:rsid w:val="1834B4CC"/>
    <w:rsid w:val="183D6241"/>
    <w:rsid w:val="18572B70"/>
    <w:rsid w:val="186A7143"/>
    <w:rsid w:val="18846069"/>
    <w:rsid w:val="18889CCB"/>
    <w:rsid w:val="188ED14B"/>
    <w:rsid w:val="189E836B"/>
    <w:rsid w:val="18A1CFB7"/>
    <w:rsid w:val="18E8A458"/>
    <w:rsid w:val="18E970FD"/>
    <w:rsid w:val="18F8FD9C"/>
    <w:rsid w:val="19136CBD"/>
    <w:rsid w:val="191836A9"/>
    <w:rsid w:val="19222989"/>
    <w:rsid w:val="192FB3C3"/>
    <w:rsid w:val="194C11C0"/>
    <w:rsid w:val="198689A0"/>
    <w:rsid w:val="19A9A4B0"/>
    <w:rsid w:val="19E1EAA3"/>
    <w:rsid w:val="19E6CC42"/>
    <w:rsid w:val="19F5B3E9"/>
    <w:rsid w:val="1A2D8E50"/>
    <w:rsid w:val="1A3AF1BA"/>
    <w:rsid w:val="1A68D445"/>
    <w:rsid w:val="1A834211"/>
    <w:rsid w:val="1A8869C8"/>
    <w:rsid w:val="1A9E766B"/>
    <w:rsid w:val="1AAAD53D"/>
    <w:rsid w:val="1AB74AD0"/>
    <w:rsid w:val="1AB76051"/>
    <w:rsid w:val="1AC129FD"/>
    <w:rsid w:val="1AC2B375"/>
    <w:rsid w:val="1AC965B7"/>
    <w:rsid w:val="1ADAD373"/>
    <w:rsid w:val="1AF1F82A"/>
    <w:rsid w:val="1AF5FE4C"/>
    <w:rsid w:val="1AFE0182"/>
    <w:rsid w:val="1B07036B"/>
    <w:rsid w:val="1B5A9250"/>
    <w:rsid w:val="1B5C3098"/>
    <w:rsid w:val="1B7465F6"/>
    <w:rsid w:val="1B759EDB"/>
    <w:rsid w:val="1B8B54E8"/>
    <w:rsid w:val="1BB7D559"/>
    <w:rsid w:val="1BCBC1A5"/>
    <w:rsid w:val="1BDD6819"/>
    <w:rsid w:val="1BDD7DBB"/>
    <w:rsid w:val="1BEE9CC7"/>
    <w:rsid w:val="1C021DE1"/>
    <w:rsid w:val="1C033644"/>
    <w:rsid w:val="1C570D64"/>
    <w:rsid w:val="1C606D8E"/>
    <w:rsid w:val="1C633138"/>
    <w:rsid w:val="1C66A45A"/>
    <w:rsid w:val="1C6909B3"/>
    <w:rsid w:val="1C6E7DB4"/>
    <w:rsid w:val="1C706F96"/>
    <w:rsid w:val="1C7CF987"/>
    <w:rsid w:val="1C7EFB1B"/>
    <w:rsid w:val="1C8A29AD"/>
    <w:rsid w:val="1CA92A57"/>
    <w:rsid w:val="1CAF6711"/>
    <w:rsid w:val="1CE89181"/>
    <w:rsid w:val="1D33C544"/>
    <w:rsid w:val="1D372DA4"/>
    <w:rsid w:val="1D41AB16"/>
    <w:rsid w:val="1D5E934E"/>
    <w:rsid w:val="1D61ABD3"/>
    <w:rsid w:val="1D944ED0"/>
    <w:rsid w:val="1DA9F692"/>
    <w:rsid w:val="1DC3DC9E"/>
    <w:rsid w:val="1DE81FD1"/>
    <w:rsid w:val="1DEA0635"/>
    <w:rsid w:val="1DED5846"/>
    <w:rsid w:val="1E0FE5D4"/>
    <w:rsid w:val="1E1335A2"/>
    <w:rsid w:val="1E135BD1"/>
    <w:rsid w:val="1E2CA0EF"/>
    <w:rsid w:val="1E4EBBDE"/>
    <w:rsid w:val="1E814628"/>
    <w:rsid w:val="1EA28328"/>
    <w:rsid w:val="1EB089D1"/>
    <w:rsid w:val="1EC5D65F"/>
    <w:rsid w:val="1ED223B8"/>
    <w:rsid w:val="1ED5DE84"/>
    <w:rsid w:val="1EDFEBFA"/>
    <w:rsid w:val="1EFAC084"/>
    <w:rsid w:val="1F142175"/>
    <w:rsid w:val="1F310540"/>
    <w:rsid w:val="1F3CC328"/>
    <w:rsid w:val="1F3FD051"/>
    <w:rsid w:val="1F432C0E"/>
    <w:rsid w:val="1F445A32"/>
    <w:rsid w:val="1F448414"/>
    <w:rsid w:val="1F863BCE"/>
    <w:rsid w:val="1F8AA752"/>
    <w:rsid w:val="1F8C4B12"/>
    <w:rsid w:val="1F90FAB0"/>
    <w:rsid w:val="1FA98B2F"/>
    <w:rsid w:val="1FAF920E"/>
    <w:rsid w:val="1FCB8E22"/>
    <w:rsid w:val="1FDCD25D"/>
    <w:rsid w:val="1FE64BA3"/>
    <w:rsid w:val="20032772"/>
    <w:rsid w:val="20251D32"/>
    <w:rsid w:val="202AC3A8"/>
    <w:rsid w:val="203659A4"/>
    <w:rsid w:val="20432BFA"/>
    <w:rsid w:val="20514262"/>
    <w:rsid w:val="206B7298"/>
    <w:rsid w:val="208E3314"/>
    <w:rsid w:val="209917C9"/>
    <w:rsid w:val="20A2D38E"/>
    <w:rsid w:val="20A31366"/>
    <w:rsid w:val="20AE084C"/>
    <w:rsid w:val="20C80237"/>
    <w:rsid w:val="20DC4522"/>
    <w:rsid w:val="20DC8FDA"/>
    <w:rsid w:val="20E71BCB"/>
    <w:rsid w:val="20EC198A"/>
    <w:rsid w:val="20ECA318"/>
    <w:rsid w:val="2117882B"/>
    <w:rsid w:val="212261E2"/>
    <w:rsid w:val="21647FF5"/>
    <w:rsid w:val="2167C20C"/>
    <w:rsid w:val="217D7D76"/>
    <w:rsid w:val="21971885"/>
    <w:rsid w:val="21CA14C4"/>
    <w:rsid w:val="2218D9A1"/>
    <w:rsid w:val="22236FE7"/>
    <w:rsid w:val="223967B0"/>
    <w:rsid w:val="223C97E8"/>
    <w:rsid w:val="2244DB14"/>
    <w:rsid w:val="225142E4"/>
    <w:rsid w:val="226142E2"/>
    <w:rsid w:val="226F6CFA"/>
    <w:rsid w:val="22701920"/>
    <w:rsid w:val="228FDD8C"/>
    <w:rsid w:val="229E4481"/>
    <w:rsid w:val="22A6ACA4"/>
    <w:rsid w:val="22AE2D07"/>
    <w:rsid w:val="22C1D648"/>
    <w:rsid w:val="2309359E"/>
    <w:rsid w:val="2310C696"/>
    <w:rsid w:val="23135500"/>
    <w:rsid w:val="231F8CE1"/>
    <w:rsid w:val="233FE84A"/>
    <w:rsid w:val="2352445A"/>
    <w:rsid w:val="2371277B"/>
    <w:rsid w:val="23765AFE"/>
    <w:rsid w:val="2388E644"/>
    <w:rsid w:val="2389D2A6"/>
    <w:rsid w:val="23983DDC"/>
    <w:rsid w:val="23A8D390"/>
    <w:rsid w:val="23B7697C"/>
    <w:rsid w:val="23F24935"/>
    <w:rsid w:val="23F9E05C"/>
    <w:rsid w:val="2403650A"/>
    <w:rsid w:val="242205D0"/>
    <w:rsid w:val="242732DE"/>
    <w:rsid w:val="243A4F86"/>
    <w:rsid w:val="244FCD9B"/>
    <w:rsid w:val="246199AF"/>
    <w:rsid w:val="24632F64"/>
    <w:rsid w:val="246B8BE2"/>
    <w:rsid w:val="24716983"/>
    <w:rsid w:val="24900F69"/>
    <w:rsid w:val="249303D7"/>
    <w:rsid w:val="249A80F7"/>
    <w:rsid w:val="24B480B6"/>
    <w:rsid w:val="24B9094E"/>
    <w:rsid w:val="24C5EA82"/>
    <w:rsid w:val="24D76E3C"/>
    <w:rsid w:val="24DF98E2"/>
    <w:rsid w:val="24EC1F05"/>
    <w:rsid w:val="2501E166"/>
    <w:rsid w:val="25675EFD"/>
    <w:rsid w:val="2574F5E8"/>
    <w:rsid w:val="2575E35B"/>
    <w:rsid w:val="2582F8FC"/>
    <w:rsid w:val="25A2BB5D"/>
    <w:rsid w:val="25BB8509"/>
    <w:rsid w:val="25C99FCC"/>
    <w:rsid w:val="25CF8E78"/>
    <w:rsid w:val="25DDCC38"/>
    <w:rsid w:val="25F88AF7"/>
    <w:rsid w:val="26028777"/>
    <w:rsid w:val="26229BF4"/>
    <w:rsid w:val="26234DFA"/>
    <w:rsid w:val="263A25DF"/>
    <w:rsid w:val="26614AD8"/>
    <w:rsid w:val="2662A324"/>
    <w:rsid w:val="266DD857"/>
    <w:rsid w:val="2698298F"/>
    <w:rsid w:val="26AC59BE"/>
    <w:rsid w:val="26ADCFE6"/>
    <w:rsid w:val="26C068B9"/>
    <w:rsid w:val="26C8CD87"/>
    <w:rsid w:val="26E6A19B"/>
    <w:rsid w:val="26FDDA4B"/>
    <w:rsid w:val="272FA477"/>
    <w:rsid w:val="2742BA5C"/>
    <w:rsid w:val="274E72DF"/>
    <w:rsid w:val="278D3091"/>
    <w:rsid w:val="27A057A6"/>
    <w:rsid w:val="27A0EF8B"/>
    <w:rsid w:val="27B0746B"/>
    <w:rsid w:val="27CA3D48"/>
    <w:rsid w:val="27FA65EE"/>
    <w:rsid w:val="27FF90ED"/>
    <w:rsid w:val="2849FB73"/>
    <w:rsid w:val="285AFF55"/>
    <w:rsid w:val="28AAB494"/>
    <w:rsid w:val="28CD6D82"/>
    <w:rsid w:val="28D476B6"/>
    <w:rsid w:val="28DC3A2F"/>
    <w:rsid w:val="28EF5AEA"/>
    <w:rsid w:val="28FEE2AE"/>
    <w:rsid w:val="29000EAD"/>
    <w:rsid w:val="292F0477"/>
    <w:rsid w:val="2938C54A"/>
    <w:rsid w:val="29776781"/>
    <w:rsid w:val="29859F76"/>
    <w:rsid w:val="2987A7A2"/>
    <w:rsid w:val="2991462A"/>
    <w:rsid w:val="29E5F870"/>
    <w:rsid w:val="2A01CA88"/>
    <w:rsid w:val="2A25E5DB"/>
    <w:rsid w:val="2A2ADC15"/>
    <w:rsid w:val="2A30236C"/>
    <w:rsid w:val="2A3CAE80"/>
    <w:rsid w:val="2A41749B"/>
    <w:rsid w:val="2A4C660A"/>
    <w:rsid w:val="2A4D5F7B"/>
    <w:rsid w:val="2A6B57AD"/>
    <w:rsid w:val="2A7FDA64"/>
    <w:rsid w:val="2A95D02B"/>
    <w:rsid w:val="2AAC20B7"/>
    <w:rsid w:val="2AAE9027"/>
    <w:rsid w:val="2AAEE4E9"/>
    <w:rsid w:val="2ABD149E"/>
    <w:rsid w:val="2ADA1A12"/>
    <w:rsid w:val="2AE9B168"/>
    <w:rsid w:val="2B070A75"/>
    <w:rsid w:val="2B0C0398"/>
    <w:rsid w:val="2B0CAB77"/>
    <w:rsid w:val="2B10BF8F"/>
    <w:rsid w:val="2B1C5BB0"/>
    <w:rsid w:val="2B1DCBE3"/>
    <w:rsid w:val="2B2281D5"/>
    <w:rsid w:val="2B358661"/>
    <w:rsid w:val="2B64BA3C"/>
    <w:rsid w:val="2B7778B4"/>
    <w:rsid w:val="2B7BA217"/>
    <w:rsid w:val="2B811AE2"/>
    <w:rsid w:val="2B94472B"/>
    <w:rsid w:val="2BAF8D02"/>
    <w:rsid w:val="2BB2F72A"/>
    <w:rsid w:val="2BDD3441"/>
    <w:rsid w:val="2BE537E3"/>
    <w:rsid w:val="2BFA527C"/>
    <w:rsid w:val="2BFC3E39"/>
    <w:rsid w:val="2C080262"/>
    <w:rsid w:val="2C322C70"/>
    <w:rsid w:val="2C346597"/>
    <w:rsid w:val="2C42B848"/>
    <w:rsid w:val="2C4F1455"/>
    <w:rsid w:val="2C79E4ED"/>
    <w:rsid w:val="2C84D5B1"/>
    <w:rsid w:val="2C86A639"/>
    <w:rsid w:val="2CA53A45"/>
    <w:rsid w:val="2CAEC56C"/>
    <w:rsid w:val="2CC644D8"/>
    <w:rsid w:val="2CD30210"/>
    <w:rsid w:val="2CE119B8"/>
    <w:rsid w:val="2CED7A44"/>
    <w:rsid w:val="2D216E26"/>
    <w:rsid w:val="2D286546"/>
    <w:rsid w:val="2D2FEFCB"/>
    <w:rsid w:val="2D3F6B14"/>
    <w:rsid w:val="2D4E8B20"/>
    <w:rsid w:val="2D5A3C27"/>
    <w:rsid w:val="2D757837"/>
    <w:rsid w:val="2D7640D6"/>
    <w:rsid w:val="2D819981"/>
    <w:rsid w:val="2D942ABD"/>
    <w:rsid w:val="2DA35092"/>
    <w:rsid w:val="2DA8822E"/>
    <w:rsid w:val="2DDE804F"/>
    <w:rsid w:val="2DE59BFA"/>
    <w:rsid w:val="2DE7BD2F"/>
    <w:rsid w:val="2DEA23E8"/>
    <w:rsid w:val="2DEAEE7E"/>
    <w:rsid w:val="2E019181"/>
    <w:rsid w:val="2E29B1A0"/>
    <w:rsid w:val="2E48D69D"/>
    <w:rsid w:val="2E4C0D14"/>
    <w:rsid w:val="2E50482A"/>
    <w:rsid w:val="2E70EE2E"/>
    <w:rsid w:val="2EA200F3"/>
    <w:rsid w:val="2EC4DD72"/>
    <w:rsid w:val="2ECA351D"/>
    <w:rsid w:val="2ECF026E"/>
    <w:rsid w:val="2EF54E7C"/>
    <w:rsid w:val="2F43B37F"/>
    <w:rsid w:val="2F4C39CF"/>
    <w:rsid w:val="2F4EEFDA"/>
    <w:rsid w:val="2F57D2BC"/>
    <w:rsid w:val="2F6905D2"/>
    <w:rsid w:val="2F6F4B58"/>
    <w:rsid w:val="2F8C739E"/>
    <w:rsid w:val="2FEE9105"/>
    <w:rsid w:val="300164DA"/>
    <w:rsid w:val="3007EFE5"/>
    <w:rsid w:val="30085CA4"/>
    <w:rsid w:val="30435A29"/>
    <w:rsid w:val="306A0681"/>
    <w:rsid w:val="30BA2DCF"/>
    <w:rsid w:val="30BE329F"/>
    <w:rsid w:val="30C7B92A"/>
    <w:rsid w:val="30CBBF93"/>
    <w:rsid w:val="30D1190F"/>
    <w:rsid w:val="30DA5B73"/>
    <w:rsid w:val="30DF8C8F"/>
    <w:rsid w:val="30F26EF4"/>
    <w:rsid w:val="310F86D0"/>
    <w:rsid w:val="31120D04"/>
    <w:rsid w:val="311A76A6"/>
    <w:rsid w:val="312563A8"/>
    <w:rsid w:val="3133AA24"/>
    <w:rsid w:val="31441C15"/>
    <w:rsid w:val="314551B2"/>
    <w:rsid w:val="314661E1"/>
    <w:rsid w:val="314D090A"/>
    <w:rsid w:val="31C20EE3"/>
    <w:rsid w:val="31C7E1A4"/>
    <w:rsid w:val="31CE26BD"/>
    <w:rsid w:val="31E6BA38"/>
    <w:rsid w:val="323943FD"/>
    <w:rsid w:val="3249A493"/>
    <w:rsid w:val="324E3F05"/>
    <w:rsid w:val="3253B460"/>
    <w:rsid w:val="3258A20C"/>
    <w:rsid w:val="32657C02"/>
    <w:rsid w:val="3274914E"/>
    <w:rsid w:val="32861FF9"/>
    <w:rsid w:val="32AC566B"/>
    <w:rsid w:val="32BB7B22"/>
    <w:rsid w:val="32CD5791"/>
    <w:rsid w:val="32D0DA23"/>
    <w:rsid w:val="32E58EC6"/>
    <w:rsid w:val="32EAC659"/>
    <w:rsid w:val="32ED8BC4"/>
    <w:rsid w:val="32EF607D"/>
    <w:rsid w:val="3315BD22"/>
    <w:rsid w:val="331B682C"/>
    <w:rsid w:val="332575FF"/>
    <w:rsid w:val="332E5111"/>
    <w:rsid w:val="33351F9A"/>
    <w:rsid w:val="334FF564"/>
    <w:rsid w:val="33731EA9"/>
    <w:rsid w:val="337B8FFE"/>
    <w:rsid w:val="33A9F766"/>
    <w:rsid w:val="33AB7AB4"/>
    <w:rsid w:val="33B6BFBB"/>
    <w:rsid w:val="33D341D8"/>
    <w:rsid w:val="33F93F3D"/>
    <w:rsid w:val="33FA8887"/>
    <w:rsid w:val="341D0452"/>
    <w:rsid w:val="3433A6E5"/>
    <w:rsid w:val="34677EC1"/>
    <w:rsid w:val="346A7DE9"/>
    <w:rsid w:val="3472A02B"/>
    <w:rsid w:val="3476AC65"/>
    <w:rsid w:val="34E3C395"/>
    <w:rsid w:val="35298A08"/>
    <w:rsid w:val="354C1AFB"/>
    <w:rsid w:val="3556A0E8"/>
    <w:rsid w:val="35589A8D"/>
    <w:rsid w:val="35905611"/>
    <w:rsid w:val="359CC113"/>
    <w:rsid w:val="35A30603"/>
    <w:rsid w:val="35AE0A54"/>
    <w:rsid w:val="35B0038D"/>
    <w:rsid w:val="35B91CF0"/>
    <w:rsid w:val="35CBACB0"/>
    <w:rsid w:val="35E2B022"/>
    <w:rsid w:val="35F4D8EA"/>
    <w:rsid w:val="35FE6FC3"/>
    <w:rsid w:val="364CD41C"/>
    <w:rsid w:val="36513C16"/>
    <w:rsid w:val="366762BB"/>
    <w:rsid w:val="366DAC88"/>
    <w:rsid w:val="36727F7D"/>
    <w:rsid w:val="3692E55E"/>
    <w:rsid w:val="3693E2C1"/>
    <w:rsid w:val="369D26AB"/>
    <w:rsid w:val="36ADAE5A"/>
    <w:rsid w:val="36BA39F0"/>
    <w:rsid w:val="36D51720"/>
    <w:rsid w:val="36ED00B6"/>
    <w:rsid w:val="36F8468A"/>
    <w:rsid w:val="370092EC"/>
    <w:rsid w:val="37251730"/>
    <w:rsid w:val="372C1E73"/>
    <w:rsid w:val="373A3375"/>
    <w:rsid w:val="374E4903"/>
    <w:rsid w:val="37687C4A"/>
    <w:rsid w:val="377110DC"/>
    <w:rsid w:val="3777B7E2"/>
    <w:rsid w:val="377A7551"/>
    <w:rsid w:val="379CE7C0"/>
    <w:rsid w:val="37B6DA0B"/>
    <w:rsid w:val="37C6B6BB"/>
    <w:rsid w:val="37D69BA4"/>
    <w:rsid w:val="380F761B"/>
    <w:rsid w:val="3830E98C"/>
    <w:rsid w:val="3837B4FF"/>
    <w:rsid w:val="387F63FA"/>
    <w:rsid w:val="388E888E"/>
    <w:rsid w:val="388EDBD3"/>
    <w:rsid w:val="38AF7FFA"/>
    <w:rsid w:val="38B730CE"/>
    <w:rsid w:val="38BC846A"/>
    <w:rsid w:val="390CE13D"/>
    <w:rsid w:val="392DA426"/>
    <w:rsid w:val="3936ADED"/>
    <w:rsid w:val="3941AB65"/>
    <w:rsid w:val="39561677"/>
    <w:rsid w:val="396413AF"/>
    <w:rsid w:val="39674CD2"/>
    <w:rsid w:val="396CBE59"/>
    <w:rsid w:val="3978289C"/>
    <w:rsid w:val="397F4978"/>
    <w:rsid w:val="39980738"/>
    <w:rsid w:val="39B3FFDA"/>
    <w:rsid w:val="39B680DB"/>
    <w:rsid w:val="39C14A55"/>
    <w:rsid w:val="39F0BB15"/>
    <w:rsid w:val="39FA29EE"/>
    <w:rsid w:val="3A00118B"/>
    <w:rsid w:val="3A019A41"/>
    <w:rsid w:val="3A3C358C"/>
    <w:rsid w:val="3A57AB18"/>
    <w:rsid w:val="3A6459D6"/>
    <w:rsid w:val="3A6C9E5D"/>
    <w:rsid w:val="3A81EF26"/>
    <w:rsid w:val="3AAA50C6"/>
    <w:rsid w:val="3AAE13E3"/>
    <w:rsid w:val="3ABE2695"/>
    <w:rsid w:val="3ACCEF1D"/>
    <w:rsid w:val="3AD36C7E"/>
    <w:rsid w:val="3AE0CE1E"/>
    <w:rsid w:val="3B02EEDE"/>
    <w:rsid w:val="3B0B04AE"/>
    <w:rsid w:val="3B1CEC1C"/>
    <w:rsid w:val="3B31176B"/>
    <w:rsid w:val="3B3400E3"/>
    <w:rsid w:val="3B342D1C"/>
    <w:rsid w:val="3B405B50"/>
    <w:rsid w:val="3B42D244"/>
    <w:rsid w:val="3B6A2FE8"/>
    <w:rsid w:val="3B71A516"/>
    <w:rsid w:val="3B73E462"/>
    <w:rsid w:val="3B84D6ED"/>
    <w:rsid w:val="3B8CA97E"/>
    <w:rsid w:val="3BB023B0"/>
    <w:rsid w:val="3BE15DFF"/>
    <w:rsid w:val="3BE65BF5"/>
    <w:rsid w:val="3BF297FE"/>
    <w:rsid w:val="3C01B7C8"/>
    <w:rsid w:val="3C03425A"/>
    <w:rsid w:val="3C150C21"/>
    <w:rsid w:val="3C25226A"/>
    <w:rsid w:val="3C31CAC9"/>
    <w:rsid w:val="3C3200A8"/>
    <w:rsid w:val="3C495FF1"/>
    <w:rsid w:val="3C6380DE"/>
    <w:rsid w:val="3C683C6F"/>
    <w:rsid w:val="3C7DE4AF"/>
    <w:rsid w:val="3C8E55E5"/>
    <w:rsid w:val="3C991726"/>
    <w:rsid w:val="3C9EBF3F"/>
    <w:rsid w:val="3CF98F67"/>
    <w:rsid w:val="3CFC8E1E"/>
    <w:rsid w:val="3D04EE2D"/>
    <w:rsid w:val="3D060C25"/>
    <w:rsid w:val="3D07C6C3"/>
    <w:rsid w:val="3D08D3E9"/>
    <w:rsid w:val="3D32EB15"/>
    <w:rsid w:val="3D5AE2D7"/>
    <w:rsid w:val="3D6EE23D"/>
    <w:rsid w:val="3D8F1720"/>
    <w:rsid w:val="3DA2181C"/>
    <w:rsid w:val="3DB4015C"/>
    <w:rsid w:val="3DB73193"/>
    <w:rsid w:val="3DCDD109"/>
    <w:rsid w:val="3DF02A86"/>
    <w:rsid w:val="3E038B1A"/>
    <w:rsid w:val="3E053E5B"/>
    <w:rsid w:val="3E1520C0"/>
    <w:rsid w:val="3E15A7EE"/>
    <w:rsid w:val="3E329D8B"/>
    <w:rsid w:val="3E5C2E98"/>
    <w:rsid w:val="3E666A8A"/>
    <w:rsid w:val="3E6C5C50"/>
    <w:rsid w:val="3E700799"/>
    <w:rsid w:val="3E798BA7"/>
    <w:rsid w:val="3E7AACED"/>
    <w:rsid w:val="3EB2FB68"/>
    <w:rsid w:val="3EB316A7"/>
    <w:rsid w:val="3EBD585B"/>
    <w:rsid w:val="3EE295C3"/>
    <w:rsid w:val="3EE3F543"/>
    <w:rsid w:val="3EE76E41"/>
    <w:rsid w:val="3EED0326"/>
    <w:rsid w:val="3EF93A55"/>
    <w:rsid w:val="3F05AC9C"/>
    <w:rsid w:val="3F322716"/>
    <w:rsid w:val="3F531A07"/>
    <w:rsid w:val="3F6A24A9"/>
    <w:rsid w:val="3F72CB46"/>
    <w:rsid w:val="3F74AFE3"/>
    <w:rsid w:val="3F78B92E"/>
    <w:rsid w:val="3FA17A94"/>
    <w:rsid w:val="3FBDD4DC"/>
    <w:rsid w:val="3FC639A9"/>
    <w:rsid w:val="3FF75843"/>
    <w:rsid w:val="400E7C1E"/>
    <w:rsid w:val="400FBA60"/>
    <w:rsid w:val="401CF9BC"/>
    <w:rsid w:val="40383F69"/>
    <w:rsid w:val="40430A3A"/>
    <w:rsid w:val="40644F9F"/>
    <w:rsid w:val="408FCACC"/>
    <w:rsid w:val="40D05199"/>
    <w:rsid w:val="40E47526"/>
    <w:rsid w:val="410AE5CB"/>
    <w:rsid w:val="412DBEF3"/>
    <w:rsid w:val="4141F0B4"/>
    <w:rsid w:val="41448A12"/>
    <w:rsid w:val="415D30F1"/>
    <w:rsid w:val="4163580B"/>
    <w:rsid w:val="41819B45"/>
    <w:rsid w:val="41A5263D"/>
    <w:rsid w:val="41BCA5A1"/>
    <w:rsid w:val="41C67F53"/>
    <w:rsid w:val="41CCFCAC"/>
    <w:rsid w:val="41E183EA"/>
    <w:rsid w:val="41E9C2E2"/>
    <w:rsid w:val="42060F3B"/>
    <w:rsid w:val="42158717"/>
    <w:rsid w:val="428A0FB4"/>
    <w:rsid w:val="4298DF19"/>
    <w:rsid w:val="42A97F89"/>
    <w:rsid w:val="42AB128E"/>
    <w:rsid w:val="42B8F8C1"/>
    <w:rsid w:val="42DA10CD"/>
    <w:rsid w:val="42E98314"/>
    <w:rsid w:val="432792F0"/>
    <w:rsid w:val="4339E7DE"/>
    <w:rsid w:val="434E82D2"/>
    <w:rsid w:val="4361E0E9"/>
    <w:rsid w:val="438F8DB3"/>
    <w:rsid w:val="439D0EC8"/>
    <w:rsid w:val="43AB904A"/>
    <w:rsid w:val="43AC3982"/>
    <w:rsid w:val="43C3557B"/>
    <w:rsid w:val="43E17C28"/>
    <w:rsid w:val="441BB531"/>
    <w:rsid w:val="442C8516"/>
    <w:rsid w:val="4459DC21"/>
    <w:rsid w:val="446695A5"/>
    <w:rsid w:val="446D483C"/>
    <w:rsid w:val="447FDB19"/>
    <w:rsid w:val="4483A8A6"/>
    <w:rsid w:val="44A234BD"/>
    <w:rsid w:val="44A8C36E"/>
    <w:rsid w:val="44A9BA52"/>
    <w:rsid w:val="44AB6A56"/>
    <w:rsid w:val="44BA151B"/>
    <w:rsid w:val="44D77AFE"/>
    <w:rsid w:val="44ED9923"/>
    <w:rsid w:val="44F33416"/>
    <w:rsid w:val="44FAC96D"/>
    <w:rsid w:val="45099937"/>
    <w:rsid w:val="452DEC74"/>
    <w:rsid w:val="4534E61F"/>
    <w:rsid w:val="456A3281"/>
    <w:rsid w:val="45CA4360"/>
    <w:rsid w:val="45CE9D8F"/>
    <w:rsid w:val="45E6671B"/>
    <w:rsid w:val="45E7B916"/>
    <w:rsid w:val="4602D8A1"/>
    <w:rsid w:val="4612FF73"/>
    <w:rsid w:val="4615E84B"/>
    <w:rsid w:val="461BBAEA"/>
    <w:rsid w:val="4621F809"/>
    <w:rsid w:val="4651C3AE"/>
    <w:rsid w:val="46578695"/>
    <w:rsid w:val="4678AA3B"/>
    <w:rsid w:val="46A3E6E1"/>
    <w:rsid w:val="46BEF69C"/>
    <w:rsid w:val="46C4122E"/>
    <w:rsid w:val="470D66DE"/>
    <w:rsid w:val="471B8571"/>
    <w:rsid w:val="475FEFEF"/>
    <w:rsid w:val="4777BF47"/>
    <w:rsid w:val="477E9F8E"/>
    <w:rsid w:val="4795054B"/>
    <w:rsid w:val="47CBA923"/>
    <w:rsid w:val="47CE0CA5"/>
    <w:rsid w:val="47DBE34C"/>
    <w:rsid w:val="47E1F23A"/>
    <w:rsid w:val="47F9A820"/>
    <w:rsid w:val="482E3C3D"/>
    <w:rsid w:val="4836FFC1"/>
    <w:rsid w:val="4844EC9F"/>
    <w:rsid w:val="48550C3F"/>
    <w:rsid w:val="485A0331"/>
    <w:rsid w:val="485A5F45"/>
    <w:rsid w:val="485E35B9"/>
    <w:rsid w:val="48687642"/>
    <w:rsid w:val="487D004E"/>
    <w:rsid w:val="48C2AB18"/>
    <w:rsid w:val="48C372A4"/>
    <w:rsid w:val="48C5D4D8"/>
    <w:rsid w:val="48F16D11"/>
    <w:rsid w:val="491445CE"/>
    <w:rsid w:val="49685051"/>
    <w:rsid w:val="496E27E7"/>
    <w:rsid w:val="4974E68E"/>
    <w:rsid w:val="497E1728"/>
    <w:rsid w:val="49C2583C"/>
    <w:rsid w:val="49C342EF"/>
    <w:rsid w:val="49C89E8F"/>
    <w:rsid w:val="49DC9A0F"/>
    <w:rsid w:val="49E039C7"/>
    <w:rsid w:val="4A0F8480"/>
    <w:rsid w:val="4A12B7B5"/>
    <w:rsid w:val="4A358808"/>
    <w:rsid w:val="4A560326"/>
    <w:rsid w:val="4A72DECC"/>
    <w:rsid w:val="4A7B7C1D"/>
    <w:rsid w:val="4A8DE484"/>
    <w:rsid w:val="4AA5B38C"/>
    <w:rsid w:val="4AB1DF9A"/>
    <w:rsid w:val="4AD8CA0B"/>
    <w:rsid w:val="4AFFD87F"/>
    <w:rsid w:val="4B24B5D2"/>
    <w:rsid w:val="4B253E49"/>
    <w:rsid w:val="4B30E589"/>
    <w:rsid w:val="4B316730"/>
    <w:rsid w:val="4B9482D8"/>
    <w:rsid w:val="4BACDC37"/>
    <w:rsid w:val="4BB3E14E"/>
    <w:rsid w:val="4BC8B968"/>
    <w:rsid w:val="4BE4F182"/>
    <w:rsid w:val="4BE605F4"/>
    <w:rsid w:val="4C136600"/>
    <w:rsid w:val="4C26599D"/>
    <w:rsid w:val="4C29F94F"/>
    <w:rsid w:val="4C3A65C5"/>
    <w:rsid w:val="4C3F6DD6"/>
    <w:rsid w:val="4C479B5C"/>
    <w:rsid w:val="4C4F4A4C"/>
    <w:rsid w:val="4C625CF2"/>
    <w:rsid w:val="4C643072"/>
    <w:rsid w:val="4C7AF527"/>
    <w:rsid w:val="4C851E33"/>
    <w:rsid w:val="4C8C80DB"/>
    <w:rsid w:val="4CA0DC1F"/>
    <w:rsid w:val="4CBBCF9B"/>
    <w:rsid w:val="4CD4DFDF"/>
    <w:rsid w:val="4D0D5A97"/>
    <w:rsid w:val="4D1BF9A3"/>
    <w:rsid w:val="4D21F7CF"/>
    <w:rsid w:val="4D437486"/>
    <w:rsid w:val="4D49848F"/>
    <w:rsid w:val="4D66D747"/>
    <w:rsid w:val="4D776A2F"/>
    <w:rsid w:val="4D78664E"/>
    <w:rsid w:val="4D79B6DC"/>
    <w:rsid w:val="4D7A3181"/>
    <w:rsid w:val="4D9B07AB"/>
    <w:rsid w:val="4DAE253C"/>
    <w:rsid w:val="4DBE33A0"/>
    <w:rsid w:val="4DC3F1A4"/>
    <w:rsid w:val="4DEAAD5A"/>
    <w:rsid w:val="4DFDCCD1"/>
    <w:rsid w:val="4E0B3DCF"/>
    <w:rsid w:val="4E0DF9DB"/>
    <w:rsid w:val="4E128F4B"/>
    <w:rsid w:val="4E2ACF99"/>
    <w:rsid w:val="4E5E381D"/>
    <w:rsid w:val="4E626638"/>
    <w:rsid w:val="4E7F0ED3"/>
    <w:rsid w:val="4E926BFA"/>
    <w:rsid w:val="4EA2D851"/>
    <w:rsid w:val="4EA6F1F5"/>
    <w:rsid w:val="4EAEF393"/>
    <w:rsid w:val="4EC8752D"/>
    <w:rsid w:val="4ED110C0"/>
    <w:rsid w:val="4ED17533"/>
    <w:rsid w:val="4F0AB126"/>
    <w:rsid w:val="4F1057B6"/>
    <w:rsid w:val="4F16E821"/>
    <w:rsid w:val="4F2DF3E1"/>
    <w:rsid w:val="4F57FD49"/>
    <w:rsid w:val="4F67B27D"/>
    <w:rsid w:val="4F6AB4BC"/>
    <w:rsid w:val="4FBB7D9B"/>
    <w:rsid w:val="4FC569AB"/>
    <w:rsid w:val="4FCD3EDD"/>
    <w:rsid w:val="4FCE7D2A"/>
    <w:rsid w:val="4FF0044A"/>
    <w:rsid w:val="5015F889"/>
    <w:rsid w:val="503D9F69"/>
    <w:rsid w:val="504D440F"/>
    <w:rsid w:val="5050B7D2"/>
    <w:rsid w:val="505A5800"/>
    <w:rsid w:val="50655A3B"/>
    <w:rsid w:val="506B6ED1"/>
    <w:rsid w:val="506D5ACE"/>
    <w:rsid w:val="5081EFD4"/>
    <w:rsid w:val="50863007"/>
    <w:rsid w:val="509A5E8B"/>
    <w:rsid w:val="50A0BFFA"/>
    <w:rsid w:val="50B20ADA"/>
    <w:rsid w:val="50B57D5B"/>
    <w:rsid w:val="50DAF88F"/>
    <w:rsid w:val="50F1431D"/>
    <w:rsid w:val="50FF05C3"/>
    <w:rsid w:val="5100F917"/>
    <w:rsid w:val="510D9F5B"/>
    <w:rsid w:val="51394C61"/>
    <w:rsid w:val="51491E4C"/>
    <w:rsid w:val="514D9534"/>
    <w:rsid w:val="516691CB"/>
    <w:rsid w:val="516F1EA2"/>
    <w:rsid w:val="517C795C"/>
    <w:rsid w:val="519E86C4"/>
    <w:rsid w:val="51B9C55E"/>
    <w:rsid w:val="51BFEC59"/>
    <w:rsid w:val="51CF7736"/>
    <w:rsid w:val="51DE6982"/>
    <w:rsid w:val="520596AE"/>
    <w:rsid w:val="523AED1C"/>
    <w:rsid w:val="5242BBBB"/>
    <w:rsid w:val="52508F98"/>
    <w:rsid w:val="52592366"/>
    <w:rsid w:val="525CCC0D"/>
    <w:rsid w:val="5276D208"/>
    <w:rsid w:val="5288D3F5"/>
    <w:rsid w:val="5298EF5B"/>
    <w:rsid w:val="52A1F0F7"/>
    <w:rsid w:val="52B2BE08"/>
    <w:rsid w:val="52CC0777"/>
    <w:rsid w:val="52D5B769"/>
    <w:rsid w:val="52E4FDB1"/>
    <w:rsid w:val="5320F6A1"/>
    <w:rsid w:val="5349F6E2"/>
    <w:rsid w:val="537AD855"/>
    <w:rsid w:val="5386E23B"/>
    <w:rsid w:val="5389E022"/>
    <w:rsid w:val="538B8C2D"/>
    <w:rsid w:val="538F39D7"/>
    <w:rsid w:val="53A24989"/>
    <w:rsid w:val="53AC3F8B"/>
    <w:rsid w:val="53DB9DD9"/>
    <w:rsid w:val="53E84507"/>
    <w:rsid w:val="53FC6586"/>
    <w:rsid w:val="53FCD31B"/>
    <w:rsid w:val="54022879"/>
    <w:rsid w:val="54082046"/>
    <w:rsid w:val="5408EB86"/>
    <w:rsid w:val="54332A22"/>
    <w:rsid w:val="5435660C"/>
    <w:rsid w:val="54415A81"/>
    <w:rsid w:val="5461F8F6"/>
    <w:rsid w:val="54776CE8"/>
    <w:rsid w:val="54902A60"/>
    <w:rsid w:val="549982C4"/>
    <w:rsid w:val="54ADC648"/>
    <w:rsid w:val="54BB41B0"/>
    <w:rsid w:val="54C37B6F"/>
    <w:rsid w:val="54D843C9"/>
    <w:rsid w:val="54F7EC80"/>
    <w:rsid w:val="54F920B2"/>
    <w:rsid w:val="550B1070"/>
    <w:rsid w:val="551F5DDC"/>
    <w:rsid w:val="55377CC9"/>
    <w:rsid w:val="5551947E"/>
    <w:rsid w:val="5558D2B2"/>
    <w:rsid w:val="555C9A32"/>
    <w:rsid w:val="555FE7F5"/>
    <w:rsid w:val="558F7EDC"/>
    <w:rsid w:val="5593EBE4"/>
    <w:rsid w:val="55A09407"/>
    <w:rsid w:val="55C73ECD"/>
    <w:rsid w:val="55EACEA5"/>
    <w:rsid w:val="55ED2462"/>
    <w:rsid w:val="55ED303A"/>
    <w:rsid w:val="5616D9F3"/>
    <w:rsid w:val="56338292"/>
    <w:rsid w:val="5640E7BB"/>
    <w:rsid w:val="564F7522"/>
    <w:rsid w:val="5652BF51"/>
    <w:rsid w:val="5661571C"/>
    <w:rsid w:val="566AD125"/>
    <w:rsid w:val="56748437"/>
    <w:rsid w:val="5697FBDE"/>
    <w:rsid w:val="569C8AA2"/>
    <w:rsid w:val="56A86D67"/>
    <w:rsid w:val="56B445B9"/>
    <w:rsid w:val="56B84FB2"/>
    <w:rsid w:val="57162E66"/>
    <w:rsid w:val="574A6F05"/>
    <w:rsid w:val="575B1755"/>
    <w:rsid w:val="576E2937"/>
    <w:rsid w:val="57709183"/>
    <w:rsid w:val="57836057"/>
    <w:rsid w:val="578685F6"/>
    <w:rsid w:val="57F5267A"/>
    <w:rsid w:val="5803529F"/>
    <w:rsid w:val="5813266C"/>
    <w:rsid w:val="5819CD15"/>
    <w:rsid w:val="584AF935"/>
    <w:rsid w:val="585A8CAA"/>
    <w:rsid w:val="58A83879"/>
    <w:rsid w:val="58B2622B"/>
    <w:rsid w:val="58D9C0AC"/>
    <w:rsid w:val="58DA9BBC"/>
    <w:rsid w:val="58FDE4D5"/>
    <w:rsid w:val="5908F8BD"/>
    <w:rsid w:val="5909185E"/>
    <w:rsid w:val="591C96E1"/>
    <w:rsid w:val="591F5968"/>
    <w:rsid w:val="5924C524"/>
    <w:rsid w:val="592ECB6B"/>
    <w:rsid w:val="593CB2B9"/>
    <w:rsid w:val="594089F7"/>
    <w:rsid w:val="5946FA4F"/>
    <w:rsid w:val="594EE8C4"/>
    <w:rsid w:val="594F0E35"/>
    <w:rsid w:val="595D1FDE"/>
    <w:rsid w:val="5965F3E6"/>
    <w:rsid w:val="596B02F3"/>
    <w:rsid w:val="59740E05"/>
    <w:rsid w:val="5984B506"/>
    <w:rsid w:val="59989D63"/>
    <w:rsid w:val="59A19402"/>
    <w:rsid w:val="59A549D7"/>
    <w:rsid w:val="59D85F69"/>
    <w:rsid w:val="59E6EEE3"/>
    <w:rsid w:val="59E92A91"/>
    <w:rsid w:val="5A01476B"/>
    <w:rsid w:val="5A10A667"/>
    <w:rsid w:val="5A1F2EC3"/>
    <w:rsid w:val="5A2CE347"/>
    <w:rsid w:val="5A657456"/>
    <w:rsid w:val="5A72CC78"/>
    <w:rsid w:val="5AAB6553"/>
    <w:rsid w:val="5B035732"/>
    <w:rsid w:val="5B062EAC"/>
    <w:rsid w:val="5B3F7636"/>
    <w:rsid w:val="5B4FCF8F"/>
    <w:rsid w:val="5B55B0F3"/>
    <w:rsid w:val="5B597E8F"/>
    <w:rsid w:val="5B5DC897"/>
    <w:rsid w:val="5B6B0F81"/>
    <w:rsid w:val="5B7B1342"/>
    <w:rsid w:val="5B92036D"/>
    <w:rsid w:val="5B9C3973"/>
    <w:rsid w:val="5BEBAB4C"/>
    <w:rsid w:val="5BFA7290"/>
    <w:rsid w:val="5C00DED2"/>
    <w:rsid w:val="5C209A94"/>
    <w:rsid w:val="5C22998E"/>
    <w:rsid w:val="5C23D8F7"/>
    <w:rsid w:val="5C2EDFF6"/>
    <w:rsid w:val="5C3CEBCF"/>
    <w:rsid w:val="5C4AF22F"/>
    <w:rsid w:val="5C8DE685"/>
    <w:rsid w:val="5CA29240"/>
    <w:rsid w:val="5CA5A386"/>
    <w:rsid w:val="5CAC19CF"/>
    <w:rsid w:val="5CBE11B4"/>
    <w:rsid w:val="5CCA74F6"/>
    <w:rsid w:val="5CCE442C"/>
    <w:rsid w:val="5CF16C1D"/>
    <w:rsid w:val="5D02829D"/>
    <w:rsid w:val="5D0EF817"/>
    <w:rsid w:val="5D1C3B98"/>
    <w:rsid w:val="5D22DF4A"/>
    <w:rsid w:val="5D2DC481"/>
    <w:rsid w:val="5D2ED239"/>
    <w:rsid w:val="5D619D0D"/>
    <w:rsid w:val="5D7F744E"/>
    <w:rsid w:val="5D8A9F7B"/>
    <w:rsid w:val="5D91E075"/>
    <w:rsid w:val="5DA167DD"/>
    <w:rsid w:val="5DA47E0C"/>
    <w:rsid w:val="5DAC3243"/>
    <w:rsid w:val="5DB82D9B"/>
    <w:rsid w:val="5DDDCF4C"/>
    <w:rsid w:val="5DF2CA8B"/>
    <w:rsid w:val="5E2145E5"/>
    <w:rsid w:val="5E224487"/>
    <w:rsid w:val="5E3D1911"/>
    <w:rsid w:val="5E3E4D7E"/>
    <w:rsid w:val="5E43DA28"/>
    <w:rsid w:val="5E44F233"/>
    <w:rsid w:val="5E7C87AD"/>
    <w:rsid w:val="5E86DA9B"/>
    <w:rsid w:val="5E8AE174"/>
    <w:rsid w:val="5E94EA83"/>
    <w:rsid w:val="5E94F797"/>
    <w:rsid w:val="5EBF2E73"/>
    <w:rsid w:val="5ECD508D"/>
    <w:rsid w:val="5EF2E768"/>
    <w:rsid w:val="5EFF06B9"/>
    <w:rsid w:val="5F1426C6"/>
    <w:rsid w:val="5F1F9394"/>
    <w:rsid w:val="5F34BFE2"/>
    <w:rsid w:val="5F3D9CBB"/>
    <w:rsid w:val="5F3EF544"/>
    <w:rsid w:val="5F6EA4FF"/>
    <w:rsid w:val="5F87CF4A"/>
    <w:rsid w:val="5FA949D4"/>
    <w:rsid w:val="5FC852F6"/>
    <w:rsid w:val="5FCB2DD2"/>
    <w:rsid w:val="5FCFB6D2"/>
    <w:rsid w:val="5FD2C5D0"/>
    <w:rsid w:val="5FDAC617"/>
    <w:rsid w:val="6026B1D5"/>
    <w:rsid w:val="6029C3E6"/>
    <w:rsid w:val="60470CA7"/>
    <w:rsid w:val="6049FD70"/>
    <w:rsid w:val="60A19BA0"/>
    <w:rsid w:val="60A1D33C"/>
    <w:rsid w:val="60B04CBE"/>
    <w:rsid w:val="60D85227"/>
    <w:rsid w:val="60DAFE30"/>
    <w:rsid w:val="60DE170C"/>
    <w:rsid w:val="60E2135E"/>
    <w:rsid w:val="60E543EB"/>
    <w:rsid w:val="61038212"/>
    <w:rsid w:val="6138D661"/>
    <w:rsid w:val="613C7E59"/>
    <w:rsid w:val="614039AB"/>
    <w:rsid w:val="614F8121"/>
    <w:rsid w:val="615294FB"/>
    <w:rsid w:val="6154950A"/>
    <w:rsid w:val="61606006"/>
    <w:rsid w:val="61634BC0"/>
    <w:rsid w:val="617AB6B2"/>
    <w:rsid w:val="61DAC926"/>
    <w:rsid w:val="61EEFEAE"/>
    <w:rsid w:val="61F35B15"/>
    <w:rsid w:val="621077B1"/>
    <w:rsid w:val="6216337E"/>
    <w:rsid w:val="622D7EF4"/>
    <w:rsid w:val="624F34CD"/>
    <w:rsid w:val="625B4069"/>
    <w:rsid w:val="62874084"/>
    <w:rsid w:val="62BA031B"/>
    <w:rsid w:val="62BD954F"/>
    <w:rsid w:val="62E52F91"/>
    <w:rsid w:val="62FD11B8"/>
    <w:rsid w:val="630C00C7"/>
    <w:rsid w:val="6316796A"/>
    <w:rsid w:val="63174B4B"/>
    <w:rsid w:val="63360510"/>
    <w:rsid w:val="633B6ACC"/>
    <w:rsid w:val="63789A50"/>
    <w:rsid w:val="6384C2E1"/>
    <w:rsid w:val="639A8236"/>
    <w:rsid w:val="63B11C39"/>
    <w:rsid w:val="63C6BD1E"/>
    <w:rsid w:val="63CBCE62"/>
    <w:rsid w:val="63CD681E"/>
    <w:rsid w:val="63E81C5B"/>
    <w:rsid w:val="63ED682A"/>
    <w:rsid w:val="63EDD89D"/>
    <w:rsid w:val="63F549EE"/>
    <w:rsid w:val="6402FB17"/>
    <w:rsid w:val="6403144D"/>
    <w:rsid w:val="6403F771"/>
    <w:rsid w:val="6433DF2F"/>
    <w:rsid w:val="6436AF8A"/>
    <w:rsid w:val="6437D90B"/>
    <w:rsid w:val="644FB0EC"/>
    <w:rsid w:val="645A97AD"/>
    <w:rsid w:val="6465DE3C"/>
    <w:rsid w:val="64683C03"/>
    <w:rsid w:val="647ADA85"/>
    <w:rsid w:val="6494D2F3"/>
    <w:rsid w:val="64AB6113"/>
    <w:rsid w:val="64BFEA13"/>
    <w:rsid w:val="64C58403"/>
    <w:rsid w:val="64EFF35B"/>
    <w:rsid w:val="64FA04ED"/>
    <w:rsid w:val="65025C5E"/>
    <w:rsid w:val="650CE4A9"/>
    <w:rsid w:val="65340CFD"/>
    <w:rsid w:val="654156BE"/>
    <w:rsid w:val="654B0C9A"/>
    <w:rsid w:val="6555C801"/>
    <w:rsid w:val="6562BD60"/>
    <w:rsid w:val="6569387F"/>
    <w:rsid w:val="657B513F"/>
    <w:rsid w:val="658A40BF"/>
    <w:rsid w:val="65904412"/>
    <w:rsid w:val="659C48B4"/>
    <w:rsid w:val="65A5456D"/>
    <w:rsid w:val="65B84D83"/>
    <w:rsid w:val="65CCD008"/>
    <w:rsid w:val="65D57657"/>
    <w:rsid w:val="65DB6A16"/>
    <w:rsid w:val="65ED4AE5"/>
    <w:rsid w:val="661868E7"/>
    <w:rsid w:val="66340D1E"/>
    <w:rsid w:val="66739816"/>
    <w:rsid w:val="668E14A1"/>
    <w:rsid w:val="66A34FD3"/>
    <w:rsid w:val="66C41AB5"/>
    <w:rsid w:val="66E71173"/>
    <w:rsid w:val="66E80B02"/>
    <w:rsid w:val="66F14AAD"/>
    <w:rsid w:val="67176664"/>
    <w:rsid w:val="6721B248"/>
    <w:rsid w:val="67426FE0"/>
    <w:rsid w:val="674F9944"/>
    <w:rsid w:val="67560F64"/>
    <w:rsid w:val="6757F495"/>
    <w:rsid w:val="676122C4"/>
    <w:rsid w:val="6767FD60"/>
    <w:rsid w:val="679D1A3E"/>
    <w:rsid w:val="679ED7D0"/>
    <w:rsid w:val="67A2D122"/>
    <w:rsid w:val="67EBCB50"/>
    <w:rsid w:val="67EE2056"/>
    <w:rsid w:val="67FFDBA6"/>
    <w:rsid w:val="681A5410"/>
    <w:rsid w:val="6824F272"/>
    <w:rsid w:val="68332680"/>
    <w:rsid w:val="68350EC9"/>
    <w:rsid w:val="6855FDF5"/>
    <w:rsid w:val="68844136"/>
    <w:rsid w:val="6886CC9E"/>
    <w:rsid w:val="6895C9CC"/>
    <w:rsid w:val="68B4CB5D"/>
    <w:rsid w:val="68D47344"/>
    <w:rsid w:val="68FFB610"/>
    <w:rsid w:val="690ADCD8"/>
    <w:rsid w:val="69186D78"/>
    <w:rsid w:val="691CF0DF"/>
    <w:rsid w:val="6929202B"/>
    <w:rsid w:val="6947BCFE"/>
    <w:rsid w:val="694D5A3C"/>
    <w:rsid w:val="6950275B"/>
    <w:rsid w:val="69580667"/>
    <w:rsid w:val="69904B59"/>
    <w:rsid w:val="69926E3F"/>
    <w:rsid w:val="69C508FA"/>
    <w:rsid w:val="6A07EB8E"/>
    <w:rsid w:val="6A099B50"/>
    <w:rsid w:val="6A276CD4"/>
    <w:rsid w:val="6A4CEEB1"/>
    <w:rsid w:val="6A50A1A8"/>
    <w:rsid w:val="6A52597E"/>
    <w:rsid w:val="6A5F5221"/>
    <w:rsid w:val="6A9B393C"/>
    <w:rsid w:val="6AC8A563"/>
    <w:rsid w:val="6ACAE351"/>
    <w:rsid w:val="6AD67892"/>
    <w:rsid w:val="6AE0D505"/>
    <w:rsid w:val="6AE64125"/>
    <w:rsid w:val="6AFBE634"/>
    <w:rsid w:val="6AFF0678"/>
    <w:rsid w:val="6B013FB5"/>
    <w:rsid w:val="6B023774"/>
    <w:rsid w:val="6B0D22BC"/>
    <w:rsid w:val="6B45C1F6"/>
    <w:rsid w:val="6B6B2D27"/>
    <w:rsid w:val="6B77586E"/>
    <w:rsid w:val="6B87B202"/>
    <w:rsid w:val="6B89E8AA"/>
    <w:rsid w:val="6B912EBC"/>
    <w:rsid w:val="6B958593"/>
    <w:rsid w:val="6B977148"/>
    <w:rsid w:val="6B9FD02E"/>
    <w:rsid w:val="6BB2DD97"/>
    <w:rsid w:val="6BCE9484"/>
    <w:rsid w:val="6BD634AC"/>
    <w:rsid w:val="6BE32DD1"/>
    <w:rsid w:val="6BEF064F"/>
    <w:rsid w:val="6BF19330"/>
    <w:rsid w:val="6BFD7598"/>
    <w:rsid w:val="6C210D6A"/>
    <w:rsid w:val="6C27DFDF"/>
    <w:rsid w:val="6C28A2A7"/>
    <w:rsid w:val="6C374147"/>
    <w:rsid w:val="6C3BD34B"/>
    <w:rsid w:val="6C51454B"/>
    <w:rsid w:val="6C578CFF"/>
    <w:rsid w:val="6C57BF04"/>
    <w:rsid w:val="6C671012"/>
    <w:rsid w:val="6C6ABBA4"/>
    <w:rsid w:val="6C73940D"/>
    <w:rsid w:val="6C7B1735"/>
    <w:rsid w:val="6C931F0D"/>
    <w:rsid w:val="6CC11D67"/>
    <w:rsid w:val="6CE22786"/>
    <w:rsid w:val="6D00E6FA"/>
    <w:rsid w:val="6D1550F7"/>
    <w:rsid w:val="6D31A611"/>
    <w:rsid w:val="6D379F62"/>
    <w:rsid w:val="6D38911E"/>
    <w:rsid w:val="6D40DE52"/>
    <w:rsid w:val="6D4B793C"/>
    <w:rsid w:val="6D61F374"/>
    <w:rsid w:val="6D68F307"/>
    <w:rsid w:val="6D8FA29A"/>
    <w:rsid w:val="6D97400D"/>
    <w:rsid w:val="6DA55C4D"/>
    <w:rsid w:val="6DB06D53"/>
    <w:rsid w:val="6DD1CB02"/>
    <w:rsid w:val="6E20A771"/>
    <w:rsid w:val="6E34187E"/>
    <w:rsid w:val="6E4F3646"/>
    <w:rsid w:val="6E643E69"/>
    <w:rsid w:val="6E6C7761"/>
    <w:rsid w:val="6E785E10"/>
    <w:rsid w:val="6E7FD279"/>
    <w:rsid w:val="6E92BFD0"/>
    <w:rsid w:val="6E9936FC"/>
    <w:rsid w:val="6EDA3EEE"/>
    <w:rsid w:val="6EF0192F"/>
    <w:rsid w:val="6EFAAAD3"/>
    <w:rsid w:val="6F27B3DB"/>
    <w:rsid w:val="6F2B7FCA"/>
    <w:rsid w:val="6F402A13"/>
    <w:rsid w:val="6F5A8F4C"/>
    <w:rsid w:val="6F85B87A"/>
    <w:rsid w:val="6F9643EF"/>
    <w:rsid w:val="6FD69DB5"/>
    <w:rsid w:val="6FE0AF9D"/>
    <w:rsid w:val="6FE78C3C"/>
    <w:rsid w:val="6FFE1B41"/>
    <w:rsid w:val="703265F7"/>
    <w:rsid w:val="704067B4"/>
    <w:rsid w:val="704A2FDC"/>
    <w:rsid w:val="704B4EFB"/>
    <w:rsid w:val="704C86CB"/>
    <w:rsid w:val="7050461D"/>
    <w:rsid w:val="706FB2FD"/>
    <w:rsid w:val="707CD076"/>
    <w:rsid w:val="7084C508"/>
    <w:rsid w:val="70949FC6"/>
    <w:rsid w:val="70AD0E0E"/>
    <w:rsid w:val="70B2DB4F"/>
    <w:rsid w:val="70C55D07"/>
    <w:rsid w:val="70CB32EA"/>
    <w:rsid w:val="70EE900B"/>
    <w:rsid w:val="70F65FAD"/>
    <w:rsid w:val="70FAF3CB"/>
    <w:rsid w:val="710C62B9"/>
    <w:rsid w:val="71104154"/>
    <w:rsid w:val="71207C62"/>
    <w:rsid w:val="713D747A"/>
    <w:rsid w:val="715F8F5E"/>
    <w:rsid w:val="71672669"/>
    <w:rsid w:val="7173E203"/>
    <w:rsid w:val="71818F29"/>
    <w:rsid w:val="719794C7"/>
    <w:rsid w:val="71AA7D37"/>
    <w:rsid w:val="71E173CF"/>
    <w:rsid w:val="71F66899"/>
    <w:rsid w:val="7202C9D7"/>
    <w:rsid w:val="7215C1BA"/>
    <w:rsid w:val="72174ACD"/>
    <w:rsid w:val="7247EE16"/>
    <w:rsid w:val="72513BA9"/>
    <w:rsid w:val="72686624"/>
    <w:rsid w:val="72802C29"/>
    <w:rsid w:val="7287B62B"/>
    <w:rsid w:val="728C6E90"/>
    <w:rsid w:val="7295B8A8"/>
    <w:rsid w:val="729FED9D"/>
    <w:rsid w:val="72AF7445"/>
    <w:rsid w:val="72B17F66"/>
    <w:rsid w:val="72BB9A29"/>
    <w:rsid w:val="72E60A3D"/>
    <w:rsid w:val="73174030"/>
    <w:rsid w:val="7330EBDC"/>
    <w:rsid w:val="73345759"/>
    <w:rsid w:val="7352D0BF"/>
    <w:rsid w:val="735E4480"/>
    <w:rsid w:val="7389E029"/>
    <w:rsid w:val="738CFB63"/>
    <w:rsid w:val="7392C9CE"/>
    <w:rsid w:val="73A566A0"/>
    <w:rsid w:val="73A5C80D"/>
    <w:rsid w:val="73AEE3A1"/>
    <w:rsid w:val="73B1254E"/>
    <w:rsid w:val="73C33884"/>
    <w:rsid w:val="73C5F8B2"/>
    <w:rsid w:val="73CAF7AF"/>
    <w:rsid w:val="73E26237"/>
    <w:rsid w:val="73E5F0C9"/>
    <w:rsid w:val="7439A84C"/>
    <w:rsid w:val="7441C8A6"/>
    <w:rsid w:val="7473FE2B"/>
    <w:rsid w:val="74755A0E"/>
    <w:rsid w:val="747C0557"/>
    <w:rsid w:val="7488CC4F"/>
    <w:rsid w:val="74A2607F"/>
    <w:rsid w:val="74C6AA81"/>
    <w:rsid w:val="74CB4EAB"/>
    <w:rsid w:val="74D74EDB"/>
    <w:rsid w:val="74DD3B7E"/>
    <w:rsid w:val="74FFB29B"/>
    <w:rsid w:val="7534946A"/>
    <w:rsid w:val="753628A0"/>
    <w:rsid w:val="753BE38F"/>
    <w:rsid w:val="75433EA1"/>
    <w:rsid w:val="75506AE9"/>
    <w:rsid w:val="755932EF"/>
    <w:rsid w:val="7575ED55"/>
    <w:rsid w:val="758AC155"/>
    <w:rsid w:val="75B8B0C1"/>
    <w:rsid w:val="760590C0"/>
    <w:rsid w:val="760A921C"/>
    <w:rsid w:val="760AED7F"/>
    <w:rsid w:val="7632A46C"/>
    <w:rsid w:val="764A9DA1"/>
    <w:rsid w:val="7651B56E"/>
    <w:rsid w:val="766AC9ED"/>
    <w:rsid w:val="76A0A662"/>
    <w:rsid w:val="76A205EF"/>
    <w:rsid w:val="76B9FEBE"/>
    <w:rsid w:val="76C24C40"/>
    <w:rsid w:val="76D21777"/>
    <w:rsid w:val="76DD1A5B"/>
    <w:rsid w:val="76E9A6DB"/>
    <w:rsid w:val="76EA6FFA"/>
    <w:rsid w:val="76F5A91C"/>
    <w:rsid w:val="7734E767"/>
    <w:rsid w:val="775EE923"/>
    <w:rsid w:val="778F532B"/>
    <w:rsid w:val="77924355"/>
    <w:rsid w:val="77BCE3DB"/>
    <w:rsid w:val="77C15F49"/>
    <w:rsid w:val="77EFE696"/>
    <w:rsid w:val="77FEE531"/>
    <w:rsid w:val="780FBFE2"/>
    <w:rsid w:val="7856710B"/>
    <w:rsid w:val="7866D269"/>
    <w:rsid w:val="78691923"/>
    <w:rsid w:val="78807E6C"/>
    <w:rsid w:val="789CA797"/>
    <w:rsid w:val="78B7E923"/>
    <w:rsid w:val="78C4C20D"/>
    <w:rsid w:val="78D240C7"/>
    <w:rsid w:val="78D3AAC2"/>
    <w:rsid w:val="78DFB13B"/>
    <w:rsid w:val="78F40D26"/>
    <w:rsid w:val="79348E3F"/>
    <w:rsid w:val="79610822"/>
    <w:rsid w:val="79638B38"/>
    <w:rsid w:val="7974B74B"/>
    <w:rsid w:val="79A51AF6"/>
    <w:rsid w:val="79A6A6AD"/>
    <w:rsid w:val="79C1974E"/>
    <w:rsid w:val="79C44BF5"/>
    <w:rsid w:val="79CF42FA"/>
    <w:rsid w:val="79DE0006"/>
    <w:rsid w:val="79E7EFDA"/>
    <w:rsid w:val="7A070018"/>
    <w:rsid w:val="7A24DC3F"/>
    <w:rsid w:val="7A323B32"/>
    <w:rsid w:val="7A83D8CB"/>
    <w:rsid w:val="7A868535"/>
    <w:rsid w:val="7A8C078C"/>
    <w:rsid w:val="7AA14464"/>
    <w:rsid w:val="7AAD6E12"/>
    <w:rsid w:val="7AB1C479"/>
    <w:rsid w:val="7AE2139C"/>
    <w:rsid w:val="7AF0C7A0"/>
    <w:rsid w:val="7AF2DB15"/>
    <w:rsid w:val="7B09394D"/>
    <w:rsid w:val="7B55DD6E"/>
    <w:rsid w:val="7B5FF293"/>
    <w:rsid w:val="7B6AF47C"/>
    <w:rsid w:val="7B875D6B"/>
    <w:rsid w:val="7B92FE30"/>
    <w:rsid w:val="7B9D443B"/>
    <w:rsid w:val="7BAB57E4"/>
    <w:rsid w:val="7BC83B4A"/>
    <w:rsid w:val="7BCB8A96"/>
    <w:rsid w:val="7BE69EAE"/>
    <w:rsid w:val="7BF0BF1E"/>
    <w:rsid w:val="7C01D2D8"/>
    <w:rsid w:val="7C0636D7"/>
    <w:rsid w:val="7C124539"/>
    <w:rsid w:val="7C32EB3F"/>
    <w:rsid w:val="7C3A8F42"/>
    <w:rsid w:val="7C46536B"/>
    <w:rsid w:val="7C840B4F"/>
    <w:rsid w:val="7C8D2AD6"/>
    <w:rsid w:val="7CA8D96E"/>
    <w:rsid w:val="7CD34148"/>
    <w:rsid w:val="7D1D0478"/>
    <w:rsid w:val="7D2E6E0A"/>
    <w:rsid w:val="7D32AF37"/>
    <w:rsid w:val="7D377E8B"/>
    <w:rsid w:val="7D3A6B50"/>
    <w:rsid w:val="7D7DB6C8"/>
    <w:rsid w:val="7D7F31F9"/>
    <w:rsid w:val="7D98F78A"/>
    <w:rsid w:val="7DC680D3"/>
    <w:rsid w:val="7DC93EF9"/>
    <w:rsid w:val="7DE4CE1A"/>
    <w:rsid w:val="7DFF3E84"/>
    <w:rsid w:val="7E0A8D69"/>
    <w:rsid w:val="7E23F4EB"/>
    <w:rsid w:val="7E343BC9"/>
    <w:rsid w:val="7E4F7085"/>
    <w:rsid w:val="7E517F3C"/>
    <w:rsid w:val="7E56C476"/>
    <w:rsid w:val="7E885223"/>
    <w:rsid w:val="7E988F77"/>
    <w:rsid w:val="7EABBE51"/>
    <w:rsid w:val="7EAD3CC9"/>
    <w:rsid w:val="7EBF0A5E"/>
    <w:rsid w:val="7EC09E57"/>
    <w:rsid w:val="7EE4FDD0"/>
    <w:rsid w:val="7EF92B95"/>
    <w:rsid w:val="7EFFA337"/>
    <w:rsid w:val="7F0992C6"/>
    <w:rsid w:val="7F0CC17B"/>
    <w:rsid w:val="7F0E4688"/>
    <w:rsid w:val="7F3FB741"/>
    <w:rsid w:val="7F42EC46"/>
    <w:rsid w:val="7F466F55"/>
    <w:rsid w:val="7F5C8F9C"/>
    <w:rsid w:val="7FAA69B3"/>
    <w:rsid w:val="7FB01B9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FC6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hAnsi="Arial" w:cs="Times New Roman" w:eastAsiaTheme="minorHAnsi"/>
        <w:lang w:val="en-US" w:eastAsia="en-US" w:bidi="ar-SA"/>
      </w:rPr>
    </w:rPrDefault>
    <w:pPrDefault>
      <w:pPr>
        <w:spacing w:before="120" w:after="12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uiPriority="0" w:semiHidden="1" w:unhideWhenUsed="1"/>
    <w:lsdException w:name="index 2" w:uiPriority="0"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qFormat="1"/>
    <w:lsdException w:name="toc 2" w:uiPriority="39" w:semiHidden="1" w:unhideWhenUsed="1" w:qFormat="1"/>
    <w:lsdException w:name="toc 3" w:uiPriority="39" w:semiHidden="1" w:unhideWhenUsed="1" w:qFormat="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0" w:semiHidden="1" w:unhideWhenUsed="1" w:qFormat="1"/>
    <w:lsdException w:name="table of figures" w:semiHidden="1" w:unhideWhenUsed="1"/>
    <w:lsdException w:name="envelope address" w:uiPriority="0" w:semiHidden="1" w:unhideWhenUsed="1"/>
    <w:lsdException w:name="envelope return" w:uiPriority="0" w:semiHidden="1" w:unhideWhenUsed="1"/>
    <w:lsdException w:name="footnote reference" w:semiHidden="1" w:unhideWhenUsed="1"/>
    <w:lsdException w:name="annotation reference" w:semiHidden="1" w:unhideWhenUsed="1"/>
    <w:lsdException w:name="line number" w:semiHidden="1" w:unhideWhenUsed="1"/>
    <w:lsdException w:name="page number" w:uiPriority="94" w:semiHidden="1" w:unhideWhenUsed="1"/>
    <w:lsdException w:name="endnote reference" w:uiPriority="0" w:semiHidden="1" w:unhideWhenUsed="1"/>
    <w:lsdException w:name="endnote text" w:uiPriority="0" w:semiHidden="1" w:unhideWhenUsed="1"/>
    <w:lsdException w:name="table of authorities" w:semiHidden="1" w:unhideWhenUsed="1"/>
    <w:lsdException w:name="macro" w:semiHidden="1" w:unhideWhenUsed="1"/>
    <w:lsdException w:name="toa heading" w:uiPriority="0" w:semiHidden="1" w:unhideWhenUsed="1"/>
    <w:lsdException w:name="List" w:semiHidden="1" w:unhideWhenUsed="1"/>
    <w:lsdException w:name="List Bullet" w:uiPriority="0"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uiPriority="0" w:semiHidden="1" w:unhideWhenUsed="1"/>
    <w:lsdException w:name="List Bullet 3" w:uiPriority="0" w:semiHidden="1" w:unhideWhenUsed="1" w:qFormat="1"/>
    <w:lsdException w:name="List Bullet 4" w:semiHidden="1" w:unhideWhenUsed="1"/>
    <w:lsdException w:name="List Bullet 5" w:semiHidden="1" w:unhideWhenUsed="1"/>
    <w:lsdException w:name="List Number 2" w:semiHidden="1" w:unhideWhenUsed="1"/>
    <w:lsdException w:name="List Number 3" w:uiPriority="0"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uiPriority="0" w:semiHidden="1" w:unhideWhenUsed="1"/>
    <w:lsdException w:name="Default Paragraph Font" w:uiPriority="1" w:semiHidden="1" w:unhideWhenUsed="1"/>
    <w:lsdException w:name="Body Text" w:uiPriority="0" w:semiHidden="1" w:qFormat="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uiPriority="94" w:semiHidden="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uiPriority="0" w:semiHidden="1" w:unhideWhenUsed="1" w:qFormat="1"/>
    <w:lsdException w:name="Body Text First Indent 2" w:uiPriority="0" w:semiHidden="1" w:unhideWhenUsed="1" w:qFormat="1"/>
    <w:lsdException w:name="Note Heading" w:semiHidden="1"/>
    <w:lsdException w:name="Body Text 2" w:uiPriority="0" w:semiHidden="1" w:unhideWhenUsed="1" w:qFormat="1"/>
    <w:lsdException w:name="Body Text 3" w:uiPriority="0" w:semiHidden="1" w:unhideWhenUsed="1" w:qFormat="1"/>
    <w:lsdException w:name="Body Text Indent 2" w:uiPriority="0" w:semiHidden="1" w:unhideWhenUsed="1"/>
    <w:lsdException w:name="Body Text Indent 3" w:uiPriority="0" w:semiHidden="1" w:unhideWhenUsed="1"/>
    <w:lsdException w:name="Block Text" w:semiHidden="1" w:qFormat="1"/>
    <w:lsdException w:name="Hyperlink" w:semiHidden="1" w:unhideWhenUsed="1"/>
    <w:lsdException w:name="FollowedHyperlink" w:uiPriority="0" w:semiHidden="1" w:unhideWhenUsed="1"/>
    <w:lsdException w:name="Strong" w:uiPriority="22" w:semiHidden="1" w:qFormat="1"/>
    <w:lsdException w:name="Emphasis" w:uiPriority="20" w:semiHidden="1" w:qFormat="1"/>
    <w:lsdException w:name="Document Map" w:uiPriority="0"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semiHidden="1" w:qFormat="1"/>
    <w:lsdException w:name="Quote" w:uiPriority="29" w:semiHidden="1" w:qFormat="1"/>
    <w:lsdException w:name="Intense Quote" w:uiPriority="30" w:semiHidden="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semiHidden="1" w:qFormat="1"/>
    <w:lsdException w:name="Intense Emphasis" w:uiPriority="21" w:semiHidden="1" w:qFormat="1"/>
    <w:lsdException w:name="Subtle Reference" w:uiPriority="31" w:semiHidden="1" w:qFormat="1"/>
    <w:lsdException w:name="Intense Reference" w:uiPriority="32" w:semiHidden="1" w:qFormat="1"/>
    <w:lsdException w:name="Book Title" w:uiPriority="33" w:semiHidden="1" w:qFormat="1"/>
    <w:lsdException w:name="Bibliography" w:uiPriority="37" w:semiHidden="1" w:unhideWhenUsed="1"/>
    <w:lsdException w:name="TOC Heading" w:uiPriority="39" w:semiHidden="1" w:unhideWhenUsed="1" w:qFormat="1"/>
    <w:lsdException w:name="Grid Table 3" w:uiPriority="48"/>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uiPriority w:val="59"/>
    <w:semiHidden/>
    <w:qFormat/>
    <w:rsid w:val="00F37EF9"/>
  </w:style>
  <w:style w:type="paragraph" w:styleId="Heading1">
    <w:name w:val="heading 1"/>
    <w:basedOn w:val="Normal"/>
    <w:next w:val="Normal"/>
    <w:link w:val="Heading1Char"/>
    <w:qFormat/>
    <w:rsid w:val="006A5048"/>
    <w:pPr>
      <w:keepNext/>
      <w:tabs>
        <w:tab w:val="left" w:pos="432"/>
      </w:tabs>
      <w:spacing w:before="480" w:after="240"/>
      <w:outlineLvl w:val="0"/>
    </w:pPr>
    <w:rPr>
      <w:rFonts w:ascii="Arial Bold" w:hAnsi="Arial Bold"/>
      <w:b/>
      <w:caps/>
      <w:u w:val="thick"/>
    </w:rPr>
  </w:style>
  <w:style w:type="paragraph" w:styleId="Heading2">
    <w:name w:val="heading 2"/>
    <w:basedOn w:val="Normal"/>
    <w:link w:val="Heading2Char"/>
    <w:qFormat/>
    <w:rsid w:val="00064E55"/>
    <w:pPr>
      <w:keepNext/>
      <w:spacing w:before="240"/>
      <w:outlineLvl w:val="1"/>
    </w:pPr>
    <w:rPr>
      <w:b/>
    </w:rPr>
  </w:style>
  <w:style w:type="paragraph" w:styleId="Heading3">
    <w:name w:val="heading 3"/>
    <w:basedOn w:val="Normal"/>
    <w:link w:val="Heading3Char"/>
    <w:autoRedefine/>
    <w:qFormat/>
    <w:rsid w:val="00DE7CC7"/>
    <w:pPr>
      <w:widowControl w:val="0"/>
      <w:outlineLvl w:val="2"/>
    </w:pPr>
    <w:rPr>
      <w:rFonts w:eastAsia="Arial" w:cs="Arial"/>
      <w:b/>
      <w:bCs/>
      <w:u w:val="single"/>
    </w:rPr>
  </w:style>
  <w:style w:type="paragraph" w:styleId="Heading4">
    <w:name w:val="heading 4"/>
    <w:basedOn w:val="Normal"/>
    <w:link w:val="Heading4Char"/>
    <w:qFormat/>
    <w:rsid w:val="0006058F"/>
    <w:pPr>
      <w:spacing w:after="240"/>
      <w:outlineLvl w:val="3"/>
    </w:pPr>
  </w:style>
  <w:style w:type="paragraph" w:styleId="Heading5">
    <w:name w:val="heading 5"/>
    <w:basedOn w:val="Normal"/>
    <w:link w:val="Heading5Char"/>
    <w:qFormat/>
    <w:rsid w:val="0006058F"/>
    <w:pPr>
      <w:spacing w:after="240"/>
      <w:outlineLvl w:val="4"/>
    </w:pPr>
  </w:style>
  <w:style w:type="paragraph" w:styleId="Heading6">
    <w:name w:val="heading 6"/>
    <w:basedOn w:val="Normal"/>
    <w:link w:val="Heading6Char"/>
    <w:qFormat/>
    <w:rsid w:val="0006058F"/>
    <w:pPr>
      <w:spacing w:after="240"/>
      <w:outlineLvl w:val="5"/>
    </w:pPr>
    <w:rPr>
      <w:rFonts w:eastAsia="Times New Roman"/>
    </w:rPr>
  </w:style>
  <w:style w:type="paragraph" w:styleId="Heading7">
    <w:name w:val="heading 7"/>
    <w:basedOn w:val="Normal"/>
    <w:link w:val="Heading7Char"/>
    <w:qFormat/>
    <w:rsid w:val="0006058F"/>
    <w:pPr>
      <w:spacing w:after="240"/>
      <w:outlineLvl w:val="6"/>
    </w:pPr>
    <w:rPr>
      <w:rFonts w:eastAsia="Times New Roman"/>
      <w:iCs/>
    </w:rPr>
  </w:style>
  <w:style w:type="paragraph" w:styleId="Heading8">
    <w:name w:val="heading 8"/>
    <w:basedOn w:val="Normal"/>
    <w:link w:val="Heading8Char"/>
    <w:qFormat/>
    <w:rsid w:val="0006058F"/>
    <w:pPr>
      <w:spacing w:after="240"/>
      <w:outlineLvl w:val="7"/>
    </w:pPr>
    <w:rPr>
      <w:rFonts w:eastAsia="Times New Roman"/>
      <w:iCs/>
    </w:rPr>
  </w:style>
  <w:style w:type="paragraph" w:styleId="Heading9">
    <w:name w:val="heading 9"/>
    <w:basedOn w:val="Normal"/>
    <w:next w:val="Normal"/>
    <w:link w:val="Heading9Char"/>
    <w:qFormat/>
    <w:rsid w:val="0006058F"/>
    <w:pPr>
      <w:spacing w:after="240"/>
      <w:outlineLvl w:val="8"/>
    </w:pPr>
    <w:rPr>
      <w:rFonts w:eastAsia="Times New Roman"/>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odyTextFirstIndent">
    <w:name w:val="Body Text First Indent"/>
    <w:basedOn w:val="Normal"/>
    <w:link w:val="BodyTextFirstIndentChar"/>
    <w:uiPriority w:val="14"/>
    <w:semiHidden/>
    <w:qFormat/>
    <w:rsid w:val="0006058F"/>
    <w:pPr>
      <w:spacing w:after="240"/>
      <w:ind w:firstLine="1440"/>
    </w:pPr>
  </w:style>
  <w:style w:type="character" w:styleId="Heading3Char" w:customStyle="1">
    <w:name w:val="Heading 3 Char"/>
    <w:basedOn w:val="DefaultParagraphFont"/>
    <w:link w:val="Heading3"/>
    <w:rsid w:val="00DE7CC7"/>
    <w:rPr>
      <w:rFonts w:eastAsia="Arial" w:cs="Arial"/>
      <w:b/>
      <w:bCs/>
      <w:u w:val="single"/>
    </w:rPr>
  </w:style>
  <w:style w:type="character" w:styleId="BodyTextFirstIndentChar" w:customStyle="1">
    <w:name w:val="Body Text First Indent Char"/>
    <w:basedOn w:val="DefaultParagraphFont"/>
    <w:link w:val="BodyTextFirstIndent"/>
    <w:uiPriority w:val="14"/>
    <w:semiHidden/>
    <w:rsid w:val="00D14B06"/>
  </w:style>
  <w:style w:type="character" w:styleId="Heading9Char" w:customStyle="1">
    <w:name w:val="Heading 9 Char"/>
    <w:basedOn w:val="DefaultParagraphFont"/>
    <w:link w:val="Heading9"/>
    <w:rsid w:val="00BF25EB"/>
    <w:rPr>
      <w:rFonts w:eastAsia="Times New Roman"/>
      <w:szCs w:val="22"/>
    </w:rPr>
  </w:style>
  <w:style w:type="character" w:styleId="DeltaViewMoveSource" w:customStyle="1">
    <w:name w:val="DeltaView Move Source"/>
    <w:rsid w:val="00960870"/>
    <w:rPr>
      <w:strike/>
      <w:color w:val="00C000"/>
      <w:spacing w:val="0"/>
    </w:rPr>
  </w:style>
  <w:style w:type="character" w:styleId="BodyTextIndentChar" w:customStyle="1">
    <w:name w:val="Body Text Indent Char"/>
    <w:basedOn w:val="DefaultParagraphFont"/>
    <w:link w:val="BodyTextIndent"/>
    <w:rsid w:val="0060056B"/>
  </w:style>
  <w:style w:type="paragraph" w:styleId="BodyTextFirstIndent2">
    <w:name w:val="Body Text First Indent 2"/>
    <w:basedOn w:val="Normal"/>
    <w:link w:val="BodyTextFirstIndent2Char"/>
    <w:uiPriority w:val="14"/>
    <w:semiHidden/>
    <w:qFormat/>
    <w:rsid w:val="0006058F"/>
    <w:pPr>
      <w:spacing w:line="480" w:lineRule="auto"/>
      <w:ind w:firstLine="1440"/>
    </w:pPr>
  </w:style>
  <w:style w:type="paragraph" w:styleId="Signature">
    <w:name w:val="Signature"/>
    <w:basedOn w:val="Normal"/>
    <w:link w:val="SignatureChar"/>
    <w:uiPriority w:val="94"/>
    <w:semiHidden/>
    <w:rsid w:val="0006058F"/>
    <w:pPr>
      <w:ind w:left="4320"/>
    </w:pPr>
  </w:style>
  <w:style w:type="character" w:styleId="IntenseEmphasis">
    <w:name w:val="Intense Emphasis"/>
    <w:basedOn w:val="DefaultParagraphFont"/>
    <w:uiPriority w:val="21"/>
    <w:qFormat/>
    <w:rsid w:val="007C2163"/>
    <w:rPr>
      <w:b/>
      <w:bCs/>
      <w:i/>
      <w:iCs/>
      <w:color w:val="auto"/>
    </w:rPr>
  </w:style>
  <w:style w:type="paragraph" w:styleId="BodyTextSingleSpaceNoIndent" w:customStyle="1">
    <w:name w:val="Body Text Single Space No Indent"/>
    <w:basedOn w:val="Normal"/>
    <w:rsid w:val="00960870"/>
    <w:pPr>
      <w:spacing w:before="0" w:after="240"/>
    </w:pPr>
    <w:rPr>
      <w:rFonts w:ascii="Times New Roman" w:hAnsi="Times New Roman" w:eastAsia="Times New Roman"/>
      <w:sz w:val="24"/>
      <w:szCs w:val="24"/>
    </w:rPr>
  </w:style>
  <w:style w:type="paragraph" w:styleId="FootnoteText">
    <w:name w:val="footnote text"/>
    <w:basedOn w:val="Normal"/>
    <w:link w:val="FootnoteTextChar"/>
    <w:uiPriority w:val="99"/>
    <w:semiHidden/>
    <w:unhideWhenUsed/>
    <w:rsid w:val="00D14B06"/>
    <w:pPr>
      <w:spacing w:after="240"/>
    </w:pPr>
    <w:rPr>
      <w:sz w:val="18"/>
    </w:rPr>
  </w:style>
  <w:style w:type="paragraph" w:styleId="BodyTextIndent">
    <w:name w:val="Body Text Indent"/>
    <w:basedOn w:val="Normal"/>
    <w:link w:val="BodyTextIndentChar"/>
    <w:rsid w:val="0006058F"/>
    <w:pPr>
      <w:spacing w:after="240"/>
      <w:ind w:left="1440"/>
    </w:pPr>
  </w:style>
  <w:style w:type="character" w:styleId="Heading6Char" w:customStyle="1">
    <w:name w:val="Heading 6 Char"/>
    <w:basedOn w:val="DefaultParagraphFont"/>
    <w:link w:val="Heading6"/>
    <w:rsid w:val="00BF25EB"/>
    <w:rPr>
      <w:rFonts w:eastAsia="Times New Roman"/>
    </w:rPr>
  </w:style>
  <w:style w:type="paragraph" w:styleId="BodyTextHangingIndent" w:customStyle="1">
    <w:name w:val="Body Text Hanging Indent"/>
    <w:basedOn w:val="Normal"/>
    <w:uiPriority w:val="14"/>
    <w:semiHidden/>
    <w:qFormat/>
    <w:rsid w:val="0006058F"/>
    <w:pPr>
      <w:spacing w:after="240"/>
      <w:ind w:left="720" w:hanging="720"/>
    </w:pPr>
  </w:style>
  <w:style w:type="character" w:styleId="BodyTextFirstIndent2Char" w:customStyle="1">
    <w:name w:val="Body Text First Indent 2 Char"/>
    <w:basedOn w:val="BodyTextIndentChar"/>
    <w:link w:val="BodyTextFirstIndent2"/>
    <w:uiPriority w:val="14"/>
    <w:semiHidden/>
    <w:rsid w:val="0060056B"/>
  </w:style>
  <w:style w:type="paragraph" w:styleId="zGListNum" w:customStyle="1">
    <w:name w:val="zGListNum"/>
    <w:uiPriority w:val="6"/>
    <w:rsid w:val="0034786E"/>
    <w:pPr>
      <w:widowControl w:val="0"/>
      <w:numPr>
        <w:numId w:val="30"/>
      </w:numPr>
      <w:tabs>
        <w:tab w:val="left" w:pos="360"/>
      </w:tabs>
      <w:autoSpaceDE w:val="0"/>
      <w:autoSpaceDN w:val="0"/>
      <w:adjustRightInd w:val="0"/>
      <w:spacing w:after="0"/>
    </w:pPr>
    <w:rPr>
      <w:rFonts w:cs="Arial" w:eastAsiaTheme="minorEastAsia"/>
      <w:spacing w:val="-6"/>
      <w:kern w:val="14"/>
    </w:rPr>
  </w:style>
  <w:style w:type="character" w:styleId="Heading1Char" w:customStyle="1">
    <w:name w:val="Heading 1 Char"/>
    <w:basedOn w:val="DefaultParagraphFont"/>
    <w:link w:val="Heading1"/>
    <w:rsid w:val="00BF25EB"/>
    <w:rPr>
      <w:rFonts w:ascii="Arial Bold" w:hAnsi="Arial Bold"/>
      <w:b/>
      <w:caps/>
      <w:u w:val="thick"/>
    </w:rPr>
  </w:style>
  <w:style w:type="character" w:styleId="Heading2Char" w:customStyle="1">
    <w:name w:val="Heading 2 Char"/>
    <w:basedOn w:val="DefaultParagraphFont"/>
    <w:link w:val="Heading2"/>
    <w:rsid w:val="00BF25EB"/>
    <w:rPr>
      <w:b/>
    </w:rPr>
  </w:style>
  <w:style w:type="character" w:styleId="SignatureChar" w:customStyle="1">
    <w:name w:val="Signature Char"/>
    <w:basedOn w:val="DefaultParagraphFont"/>
    <w:link w:val="Signature"/>
    <w:uiPriority w:val="94"/>
    <w:semiHidden/>
    <w:rsid w:val="00D14B06"/>
  </w:style>
  <w:style w:type="character" w:styleId="Heading4Char" w:customStyle="1">
    <w:name w:val="Heading 4 Char"/>
    <w:basedOn w:val="DefaultParagraphFont"/>
    <w:link w:val="Heading4"/>
    <w:rsid w:val="00BF25EB"/>
  </w:style>
  <w:style w:type="character" w:styleId="Heading5Char" w:customStyle="1">
    <w:name w:val="Heading 5 Char"/>
    <w:basedOn w:val="DefaultParagraphFont"/>
    <w:link w:val="Heading5"/>
    <w:rsid w:val="00BF25EB"/>
  </w:style>
  <w:style w:type="character" w:styleId="FootnoteTextChar" w:customStyle="1">
    <w:name w:val="Footnote Text Char"/>
    <w:basedOn w:val="DefaultParagraphFont"/>
    <w:link w:val="FootnoteText"/>
    <w:uiPriority w:val="99"/>
    <w:semiHidden/>
    <w:rsid w:val="00EC6D53"/>
    <w:rPr>
      <w:sz w:val="18"/>
    </w:rPr>
  </w:style>
  <w:style w:type="character" w:styleId="Heading7Char" w:customStyle="1">
    <w:name w:val="Heading 7 Char"/>
    <w:basedOn w:val="DefaultParagraphFont"/>
    <w:link w:val="Heading7"/>
    <w:rsid w:val="00BF25EB"/>
    <w:rPr>
      <w:rFonts w:eastAsia="Times New Roman"/>
      <w:iCs/>
    </w:rPr>
  </w:style>
  <w:style w:type="character" w:styleId="BalloonTextChar" w:customStyle="1">
    <w:name w:val="Balloon Text Char"/>
    <w:basedOn w:val="DefaultParagraphFont"/>
    <w:link w:val="BalloonText"/>
    <w:semiHidden/>
    <w:rsid w:val="00960870"/>
    <w:rPr>
      <w:rFonts w:ascii="Tahoma" w:hAnsi="Tahoma" w:eastAsia="Times New Roman" w:cs="Tahoma"/>
      <w:sz w:val="16"/>
      <w:szCs w:val="16"/>
    </w:rPr>
  </w:style>
  <w:style w:type="paragraph" w:styleId="Title">
    <w:name w:val="Title"/>
    <w:basedOn w:val="Normal"/>
    <w:next w:val="BodyTextFirstIndent"/>
    <w:link w:val="TitleChar"/>
    <w:qFormat/>
    <w:rsid w:val="0006058F"/>
    <w:pPr>
      <w:keepNext/>
      <w:spacing w:after="240"/>
      <w:jc w:val="center"/>
    </w:pPr>
    <w:rPr>
      <w:caps/>
    </w:rPr>
  </w:style>
  <w:style w:type="paragraph" w:styleId="EnvelopeAddress">
    <w:name w:val="envelope address"/>
    <w:basedOn w:val="Normal"/>
    <w:uiPriority w:val="94"/>
    <w:semiHidden/>
    <w:rsid w:val="0006058F"/>
    <w:pPr>
      <w:framePr w:w="7920" w:h="1980" w:hSpace="180" w:wrap="auto" w:hAnchor="page" w:xAlign="center" w:yAlign="bottom" w:hRule="exact"/>
      <w:ind w:left="2880"/>
    </w:pPr>
    <w:rPr>
      <w:rFonts w:cs="Arial"/>
      <w:smallCaps/>
    </w:rPr>
  </w:style>
  <w:style w:type="paragraph" w:styleId="FooterDocID" w:customStyle="1">
    <w:name w:val="Footer DocID"/>
    <w:basedOn w:val="Normal"/>
    <w:uiPriority w:val="74"/>
    <w:semiHidden/>
    <w:rsid w:val="0006058F"/>
    <w:pPr>
      <w:tabs>
        <w:tab w:val="right" w:pos="9360"/>
      </w:tabs>
    </w:pPr>
    <w:rPr>
      <w:sz w:val="14"/>
    </w:rPr>
  </w:style>
  <w:style w:type="paragraph" w:styleId="TOCHeading">
    <w:name w:val="TOC Heading"/>
    <w:basedOn w:val="Heading1"/>
    <w:next w:val="Normal"/>
    <w:uiPriority w:val="39"/>
    <w:semiHidden/>
    <w:unhideWhenUsed/>
    <w:qFormat/>
    <w:rsid w:val="007C2163"/>
    <w:pPr>
      <w:keepLines/>
      <w:tabs>
        <w:tab w:val="clear" w:pos="432"/>
      </w:tabs>
      <w:spacing w:after="120"/>
      <w:outlineLvl w:val="9"/>
    </w:pPr>
    <w:rPr>
      <w:rFonts w:ascii="Arial" w:hAnsi="Arial" w:eastAsiaTheme="majorEastAsia" w:cstheme="majorBidi"/>
      <w:bCs/>
      <w:caps w:val="0"/>
      <w:sz w:val="28"/>
      <w:szCs w:val="28"/>
      <w:u w:val="none"/>
    </w:rPr>
  </w:style>
  <w:style w:type="numbering" w:styleId="zGzListStyle2" w:customStyle="1">
    <w:name w:val="zGzListStyle2"/>
    <w:uiPriority w:val="99"/>
    <w:rsid w:val="00B16A10"/>
    <w:pPr>
      <w:numPr>
        <w:numId w:val="32"/>
      </w:numPr>
    </w:pPr>
  </w:style>
  <w:style w:type="character" w:styleId="Heading8Char" w:customStyle="1">
    <w:name w:val="Heading 8 Char"/>
    <w:basedOn w:val="DefaultParagraphFont"/>
    <w:link w:val="Heading8"/>
    <w:rsid w:val="00BF25EB"/>
    <w:rPr>
      <w:rFonts w:eastAsia="Times New Roman"/>
      <w:iCs/>
    </w:rPr>
  </w:style>
  <w:style w:type="character" w:styleId="zGTitle36CalibriChar" w:customStyle="1">
    <w:name w:val="zGTitle 36 (Calibri) Char"/>
    <w:basedOn w:val="DefaultParagraphFont"/>
    <w:link w:val="zGTitle36Calibri"/>
    <w:uiPriority w:val="4"/>
    <w:rsid w:val="0034786E"/>
    <w:rPr>
      <w:rFonts w:ascii="Calibri" w:hAnsi="Calibri" w:eastAsia="Times New Roman" w:cstheme="minorHAnsi"/>
      <w:b/>
      <w:kern w:val="14"/>
      <w:sz w:val="72"/>
      <w:szCs w:val="72"/>
    </w:rPr>
  </w:style>
  <w:style w:type="paragraph" w:styleId="Subtitle3" w:customStyle="1">
    <w:name w:val="Subtitle3"/>
    <w:basedOn w:val="Normal"/>
    <w:next w:val="BodyTextFirstIndent"/>
    <w:uiPriority w:val="94"/>
    <w:semiHidden/>
    <w:rsid w:val="0006058F"/>
    <w:pPr>
      <w:keepNext/>
      <w:spacing w:after="240"/>
    </w:pPr>
    <w:rPr>
      <w:b/>
    </w:rPr>
  </w:style>
  <w:style w:type="character" w:styleId="DeltaViewEditorComment" w:customStyle="1">
    <w:name w:val="DeltaView Editor Comment"/>
    <w:basedOn w:val="DefaultParagraphFont"/>
    <w:rsid w:val="00960870"/>
    <w:rPr>
      <w:color w:val="0000FF"/>
      <w:spacing w:val="0"/>
      <w:u w:val="double"/>
    </w:rPr>
  </w:style>
  <w:style w:type="paragraph" w:styleId="Header">
    <w:name w:val="header"/>
    <w:aliases w:val="zGDRAFTHeader"/>
    <w:basedOn w:val="Normal"/>
    <w:next w:val="zGNormal"/>
    <w:link w:val="HeaderChar"/>
    <w:rsid w:val="00FF6EBF"/>
    <w:pPr>
      <w:tabs>
        <w:tab w:val="center" w:pos="4320"/>
        <w:tab w:val="right" w:pos="8640"/>
      </w:tabs>
      <w:jc w:val="right"/>
    </w:pPr>
    <w:rPr>
      <w:b/>
      <w:i/>
      <w:color w:val="FF0000"/>
    </w:rPr>
  </w:style>
  <w:style w:type="character" w:styleId="normaltextrun" w:customStyle="1">
    <w:name w:val="normaltextrun"/>
    <w:basedOn w:val="DefaultParagraphFont"/>
    <w:rsid w:val="00C82F03"/>
  </w:style>
  <w:style w:type="paragraph" w:styleId="BodyText2">
    <w:name w:val="Body Text 2"/>
    <w:basedOn w:val="Normal"/>
    <w:link w:val="BodyText2Char"/>
    <w:qFormat/>
    <w:rsid w:val="0006058F"/>
    <w:pPr>
      <w:spacing w:line="480" w:lineRule="auto"/>
    </w:pPr>
  </w:style>
  <w:style w:type="character" w:styleId="HeaderChar" w:customStyle="1">
    <w:name w:val="Header Char"/>
    <w:aliases w:val="zGDRAFTHeader Char"/>
    <w:basedOn w:val="DefaultParagraphFont"/>
    <w:link w:val="Header"/>
    <w:rsid w:val="003D466F"/>
    <w:rPr>
      <w:b/>
      <w:i/>
      <w:color w:val="FF0000"/>
    </w:rPr>
  </w:style>
  <w:style w:type="character" w:styleId="BodyText2Char" w:customStyle="1">
    <w:name w:val="Body Text 2 Char"/>
    <w:basedOn w:val="DefaultParagraphFont"/>
    <w:link w:val="BodyText2"/>
    <w:uiPriority w:val="14"/>
    <w:rsid w:val="0060056B"/>
  </w:style>
  <w:style w:type="paragraph" w:styleId="Subtitle2" w:customStyle="1">
    <w:name w:val="Subtitle2"/>
    <w:basedOn w:val="Normal"/>
    <w:next w:val="BodyTextFirstIndent"/>
    <w:uiPriority w:val="94"/>
    <w:semiHidden/>
    <w:qFormat/>
    <w:rsid w:val="0006058F"/>
    <w:pPr>
      <w:keepNext/>
      <w:spacing w:after="240"/>
    </w:pPr>
    <w:rPr>
      <w:u w:val="single"/>
    </w:rPr>
  </w:style>
  <w:style w:type="paragraph" w:styleId="BodyText3">
    <w:name w:val="Body Text 3"/>
    <w:basedOn w:val="Normal"/>
    <w:link w:val="BodyText3Char"/>
    <w:qFormat/>
    <w:rsid w:val="0006058F"/>
  </w:style>
  <w:style w:type="character" w:styleId="BodyText3Char" w:customStyle="1">
    <w:name w:val="Body Text 3 Char"/>
    <w:basedOn w:val="DefaultParagraphFont"/>
    <w:link w:val="BodyText3"/>
    <w:rsid w:val="0060056B"/>
  </w:style>
  <w:style w:type="paragraph" w:styleId="IntenseQuote">
    <w:name w:val="Intense Quote"/>
    <w:basedOn w:val="Normal"/>
    <w:next w:val="Normal"/>
    <w:link w:val="IntenseQuoteChar"/>
    <w:uiPriority w:val="30"/>
    <w:qFormat/>
    <w:rsid w:val="007C2163"/>
    <w:pPr>
      <w:pBdr>
        <w:bottom w:val="single" w:color="auto" w:sz="4" w:space="4"/>
      </w:pBdr>
      <w:spacing w:before="200" w:after="280"/>
      <w:ind w:left="936" w:right="936"/>
    </w:pPr>
    <w:rPr>
      <w:b/>
      <w:bCs/>
      <w:i/>
      <w:iCs/>
    </w:rPr>
  </w:style>
  <w:style w:type="paragraph" w:styleId="EnvelopeReturn">
    <w:name w:val="envelope return"/>
    <w:basedOn w:val="Normal"/>
    <w:uiPriority w:val="94"/>
    <w:rsid w:val="0006058F"/>
    <w:rPr>
      <w:rFonts w:cs="Arial"/>
    </w:rPr>
  </w:style>
  <w:style w:type="paragraph" w:styleId="TOC5">
    <w:name w:val="toc 5"/>
    <w:basedOn w:val="Normal"/>
    <w:next w:val="Normal"/>
    <w:autoRedefine/>
    <w:uiPriority w:val="39"/>
    <w:rsid w:val="0006058F"/>
    <w:pPr>
      <w:tabs>
        <w:tab w:val="left" w:pos="3600"/>
        <w:tab w:val="right" w:leader="dot" w:pos="9350"/>
      </w:tabs>
      <w:ind w:left="3600" w:right="720" w:hanging="720"/>
    </w:pPr>
    <w:rPr>
      <w:rFonts w:eastAsia="Times New Roman"/>
    </w:rPr>
  </w:style>
  <w:style w:type="paragraph" w:styleId="zGTableBullet" w:customStyle="1">
    <w:name w:val="zGTableBullet"/>
    <w:uiPriority w:val="8"/>
    <w:qFormat/>
    <w:rsid w:val="00B16A10"/>
    <w:pPr>
      <w:widowControl w:val="0"/>
      <w:autoSpaceDE w:val="0"/>
      <w:autoSpaceDN w:val="0"/>
      <w:adjustRightInd w:val="0"/>
      <w:spacing w:before="0" w:after="0"/>
      <w:ind w:left="427" w:hanging="360"/>
      <w:jc w:val="left"/>
    </w:pPr>
    <w:rPr>
      <w:rFonts w:cs="Arial" w:eastAsiaTheme="minorEastAsia"/>
      <w:spacing w:val="-6"/>
      <w:kern w:val="14"/>
      <w:sz w:val="18"/>
    </w:rPr>
  </w:style>
  <w:style w:type="paragraph" w:styleId="Footer">
    <w:name w:val="footer"/>
    <w:basedOn w:val="Normal"/>
    <w:link w:val="FooterChar"/>
    <w:uiPriority w:val="99"/>
    <w:rsid w:val="001E13C4"/>
    <w:pPr>
      <w:jc w:val="center"/>
    </w:pPr>
    <w:rPr>
      <w:sz w:val="18"/>
    </w:rPr>
  </w:style>
  <w:style w:type="character" w:styleId="FooterChar" w:customStyle="1">
    <w:name w:val="Footer Char"/>
    <w:basedOn w:val="DefaultParagraphFont"/>
    <w:link w:val="Footer"/>
    <w:uiPriority w:val="99"/>
    <w:rsid w:val="003D466F"/>
    <w:rPr>
      <w:sz w:val="18"/>
    </w:rPr>
  </w:style>
  <w:style w:type="paragraph" w:styleId="Title2" w:customStyle="1">
    <w:name w:val="Title2"/>
    <w:basedOn w:val="Normal"/>
    <w:next w:val="BodyTextFirstIndent"/>
    <w:uiPriority w:val="94"/>
    <w:semiHidden/>
    <w:qFormat/>
    <w:rsid w:val="0006058F"/>
    <w:pPr>
      <w:keepNext/>
      <w:spacing w:after="240"/>
      <w:jc w:val="center"/>
    </w:pPr>
    <w:rPr>
      <w:b/>
      <w:caps/>
    </w:rPr>
  </w:style>
  <w:style w:type="paragraph" w:styleId="ListNumber3">
    <w:name w:val="List Number 3"/>
    <w:basedOn w:val="Normal"/>
    <w:uiPriority w:val="94"/>
    <w:semiHidden/>
    <w:rsid w:val="0006058F"/>
    <w:pPr>
      <w:spacing w:line="480" w:lineRule="auto"/>
    </w:pPr>
  </w:style>
  <w:style w:type="paragraph" w:styleId="Footnote" w:customStyle="1">
    <w:name w:val="Footnote"/>
    <w:basedOn w:val="Normal"/>
    <w:uiPriority w:val="15"/>
    <w:semiHidden/>
    <w:rsid w:val="0006058F"/>
  </w:style>
  <w:style w:type="paragraph" w:styleId="zGBody4" w:customStyle="1">
    <w:name w:val="zGBody 4"/>
    <w:basedOn w:val="Normal"/>
    <w:link w:val="zGBody4Char"/>
    <w:uiPriority w:val="2"/>
    <w:rsid w:val="0034786E"/>
    <w:pPr>
      <w:tabs>
        <w:tab w:val="num" w:pos="936"/>
        <w:tab w:val="num" w:pos="1728"/>
      </w:tabs>
      <w:ind w:left="1584"/>
      <w:jc w:val="left"/>
    </w:pPr>
  </w:style>
  <w:style w:type="character" w:styleId="FootnoteReference">
    <w:name w:val="footnote reference"/>
    <w:uiPriority w:val="99"/>
    <w:rsid w:val="0006058F"/>
    <w:rPr>
      <w:vertAlign w:val="superscript"/>
    </w:rPr>
  </w:style>
  <w:style w:type="character" w:styleId="DeltaViewMovedDeletion" w:customStyle="1">
    <w:name w:val="DeltaView Moved Deletion"/>
    <w:rsid w:val="00960870"/>
    <w:rPr>
      <w:strike/>
      <w:color w:val="C08080"/>
      <w:spacing w:val="0"/>
    </w:rPr>
  </w:style>
  <w:style w:type="character" w:styleId="zGBody1Char" w:customStyle="1">
    <w:name w:val="zGBody 1 Char"/>
    <w:basedOn w:val="zGNormalChar"/>
    <w:link w:val="zGBody1"/>
    <w:uiPriority w:val="2"/>
    <w:rsid w:val="0034786E"/>
    <w:rPr>
      <w:rFonts w:ascii="Arial Bold" w:hAnsi="Arial Bold" w:cs="Arial" w:eastAsiaTheme="minorEastAsia"/>
      <w:b/>
      <w:caps/>
      <w:kern w:val="14"/>
      <w:u w:val="single"/>
    </w:rPr>
  </w:style>
  <w:style w:type="paragraph" w:styleId="ListBullet">
    <w:name w:val="List Bullet"/>
    <w:basedOn w:val="Normal"/>
    <w:uiPriority w:val="94"/>
    <w:semiHidden/>
    <w:rsid w:val="0006058F"/>
    <w:pPr>
      <w:numPr>
        <w:numId w:val="1"/>
      </w:numPr>
      <w:spacing w:after="240"/>
    </w:pPr>
  </w:style>
  <w:style w:type="paragraph" w:styleId="ListBullet2">
    <w:name w:val="List Bullet 2"/>
    <w:basedOn w:val="Normal"/>
    <w:uiPriority w:val="94"/>
    <w:semiHidden/>
    <w:rsid w:val="00500387"/>
    <w:pPr>
      <w:numPr>
        <w:numId w:val="2"/>
      </w:numPr>
      <w:tabs>
        <w:tab w:val="clear" w:pos="1440"/>
        <w:tab w:val="num" w:pos="1152"/>
      </w:tabs>
      <w:spacing w:after="240"/>
      <w:ind w:left="1152" w:hanging="1152"/>
    </w:pPr>
  </w:style>
  <w:style w:type="paragraph" w:styleId="ListBullet3">
    <w:name w:val="List Bullet 3"/>
    <w:basedOn w:val="Normal"/>
    <w:uiPriority w:val="94"/>
    <w:semiHidden/>
    <w:qFormat/>
    <w:rsid w:val="00500387"/>
    <w:pPr>
      <w:numPr>
        <w:numId w:val="3"/>
      </w:numPr>
      <w:spacing w:after="240"/>
      <w:contextualSpacing/>
    </w:pPr>
  </w:style>
  <w:style w:type="paragraph" w:styleId="PHPgNum" w:customStyle="1">
    <w:name w:val="PH PgNum"/>
    <w:basedOn w:val="Normal"/>
    <w:uiPriority w:val="99"/>
    <w:semiHidden/>
    <w:rsid w:val="0006058F"/>
    <w:pPr>
      <w:jc w:val="center"/>
    </w:pPr>
  </w:style>
  <w:style w:type="paragraph" w:styleId="secondsub" w:customStyle="1">
    <w:name w:val="secondsub"/>
    <w:basedOn w:val="Normal"/>
    <w:rsid w:val="00960870"/>
    <w:pPr>
      <w:tabs>
        <w:tab w:val="left" w:pos="-720"/>
      </w:tabs>
      <w:adjustRightInd w:val="0"/>
      <w:spacing w:before="0" w:after="0" w:line="360" w:lineRule="atLeast"/>
      <w:ind w:left="720" w:hanging="720"/>
      <w:textAlignment w:val="baseline"/>
    </w:pPr>
    <w:rPr>
      <w:rFonts w:ascii="Times New Roman" w:hAnsi="Times New Roman" w:eastAsia="Times New Roman"/>
      <w:sz w:val="24"/>
    </w:rPr>
  </w:style>
  <w:style w:type="paragraph" w:styleId="TOC4">
    <w:name w:val="toc 4"/>
    <w:basedOn w:val="Normal"/>
    <w:next w:val="Normal"/>
    <w:autoRedefine/>
    <w:uiPriority w:val="39"/>
    <w:rsid w:val="0006058F"/>
    <w:pPr>
      <w:tabs>
        <w:tab w:val="left" w:pos="1440"/>
        <w:tab w:val="left" w:pos="2880"/>
        <w:tab w:val="right" w:leader="dot" w:pos="9350"/>
      </w:tabs>
      <w:ind w:left="2880" w:right="720" w:hanging="720"/>
    </w:pPr>
    <w:rPr>
      <w:rFonts w:eastAsia="Times New Roman"/>
    </w:rPr>
  </w:style>
  <w:style w:type="paragraph" w:styleId="Subtitle">
    <w:name w:val="Subtitle"/>
    <w:basedOn w:val="Normal"/>
    <w:next w:val="BodyTextFirstIndent"/>
    <w:link w:val="SubtitleChar"/>
    <w:uiPriority w:val="94"/>
    <w:qFormat/>
    <w:rsid w:val="0006058F"/>
    <w:pPr>
      <w:keepNext/>
      <w:spacing w:after="240"/>
      <w:jc w:val="center"/>
    </w:pPr>
    <w:rPr>
      <w:bCs/>
    </w:rPr>
  </w:style>
  <w:style w:type="character" w:styleId="SubtitleChar" w:customStyle="1">
    <w:name w:val="Subtitle Char"/>
    <w:basedOn w:val="DefaultParagraphFont"/>
    <w:link w:val="Subtitle"/>
    <w:uiPriority w:val="94"/>
    <w:rsid w:val="00D14B06"/>
    <w:rPr>
      <w:bCs/>
    </w:rPr>
  </w:style>
  <w:style w:type="character" w:styleId="TitleChar" w:customStyle="1">
    <w:name w:val="Title Char"/>
    <w:basedOn w:val="DefaultParagraphFont"/>
    <w:link w:val="Title"/>
    <w:rsid w:val="00D14B06"/>
    <w:rPr>
      <w:caps/>
    </w:rPr>
  </w:style>
  <w:style w:type="paragraph" w:styleId="TOC1">
    <w:name w:val="toc 1"/>
    <w:aliases w:val="zGTOC 1"/>
    <w:basedOn w:val="zGNormal"/>
    <w:next w:val="zGNormal"/>
    <w:link w:val="TOC1Char"/>
    <w:uiPriority w:val="39"/>
    <w:rsid w:val="008A5227"/>
    <w:pPr>
      <w:tabs>
        <w:tab w:val="left" w:leader="dot" w:pos="576"/>
        <w:tab w:val="left" w:pos="936"/>
        <w:tab w:val="left" w:pos="1152"/>
        <w:tab w:val="right" w:leader="dot" w:pos="9360"/>
      </w:tabs>
      <w:spacing w:before="60" w:after="60"/>
      <w:ind w:left="720" w:right="720" w:hanging="720"/>
    </w:pPr>
    <w:rPr>
      <w:rFonts w:ascii="Arial Bold" w:hAnsi="Arial Bold" w:eastAsia="Times New Roman"/>
      <w:b/>
      <w:caps/>
    </w:rPr>
  </w:style>
  <w:style w:type="character" w:styleId="ArticleL2Char" w:customStyle="1">
    <w:name w:val="Article_L2 Char"/>
    <w:basedOn w:val="DefaultParagraphFont"/>
    <w:link w:val="ArticleL2"/>
    <w:locked/>
    <w:rsid w:val="005F7DD9"/>
    <w:rPr>
      <w:rFonts w:ascii="Times New Roman" w:hAnsi="Times New Roman" w:eastAsia="Times New Roman"/>
    </w:rPr>
  </w:style>
  <w:style w:type="character" w:styleId="BodyTextIndent3Char" w:customStyle="1">
    <w:name w:val="Body Text Indent 3 Char"/>
    <w:basedOn w:val="DefaultParagraphFont"/>
    <w:link w:val="BodyTextIndent3"/>
    <w:rsid w:val="00960870"/>
    <w:rPr>
      <w:rFonts w:ascii="Times New Roman" w:hAnsi="Times New Roman" w:eastAsia="Times New Roman"/>
      <w:sz w:val="24"/>
    </w:rPr>
  </w:style>
  <w:style w:type="character" w:styleId="DeltaViewInsertion" w:customStyle="1">
    <w:name w:val="DeltaView Insertion"/>
    <w:uiPriority w:val="99"/>
    <w:rsid w:val="00D7752B"/>
    <w:rPr>
      <w:color w:val="0000FF"/>
      <w:u w:val="double"/>
    </w:rPr>
  </w:style>
  <w:style w:type="paragraph" w:styleId="TOC2">
    <w:name w:val="toc 2"/>
    <w:aliases w:val="zgTOC 2"/>
    <w:basedOn w:val="Normal"/>
    <w:next w:val="Normal"/>
    <w:link w:val="TOC2Char"/>
    <w:uiPriority w:val="39"/>
    <w:rsid w:val="00CF7342"/>
    <w:pPr>
      <w:tabs>
        <w:tab w:val="left" w:pos="1440"/>
        <w:tab w:val="right" w:leader="dot" w:pos="9360"/>
      </w:tabs>
      <w:spacing w:before="0" w:after="0"/>
      <w:ind w:left="1440" w:right="720" w:hanging="720"/>
    </w:pPr>
    <w:rPr>
      <w:rFonts w:eastAsia="Times New Roman"/>
    </w:rPr>
  </w:style>
  <w:style w:type="paragraph" w:styleId="TOC3">
    <w:name w:val="toc 3"/>
    <w:aliases w:val="zGTOC 3"/>
    <w:basedOn w:val="Normal"/>
    <w:next w:val="Normal"/>
    <w:uiPriority w:val="39"/>
    <w:rsid w:val="006D76D4"/>
    <w:pPr>
      <w:tabs>
        <w:tab w:val="left" w:pos="2160"/>
        <w:tab w:val="right" w:leader="dot" w:pos="9346"/>
      </w:tabs>
      <w:spacing w:after="60"/>
      <w:ind w:left="2160" w:right="720" w:hanging="720"/>
    </w:pPr>
    <w:rPr>
      <w:rFonts w:eastAsia="Times New Roman"/>
    </w:rPr>
  </w:style>
  <w:style w:type="paragraph" w:styleId="TOC6">
    <w:name w:val="toc 6"/>
    <w:basedOn w:val="Normal"/>
    <w:next w:val="Normal"/>
    <w:autoRedefine/>
    <w:uiPriority w:val="39"/>
    <w:rsid w:val="0006058F"/>
    <w:pPr>
      <w:ind w:left="1200"/>
    </w:pPr>
    <w:rPr>
      <w:rFonts w:eastAsia="Times New Roman"/>
    </w:rPr>
  </w:style>
  <w:style w:type="paragraph" w:styleId="TOC7">
    <w:name w:val="toc 7"/>
    <w:basedOn w:val="Normal"/>
    <w:next w:val="Normal"/>
    <w:autoRedefine/>
    <w:uiPriority w:val="39"/>
    <w:rsid w:val="0006058F"/>
    <w:pPr>
      <w:ind w:left="1440"/>
    </w:pPr>
    <w:rPr>
      <w:rFonts w:eastAsia="Times New Roman"/>
    </w:rPr>
  </w:style>
  <w:style w:type="paragraph" w:styleId="zGNormal6" w:customStyle="1">
    <w:name w:val="zGNormal+6"/>
    <w:qFormat/>
    <w:rsid w:val="0034786E"/>
    <w:pPr>
      <w:autoSpaceDE w:val="0"/>
      <w:autoSpaceDN w:val="0"/>
      <w:adjustRightInd w:val="0"/>
    </w:pPr>
    <w:rPr>
      <w:rFonts w:cs="Arial" w:eastAsiaTheme="minorEastAsia"/>
      <w:kern w:val="14"/>
    </w:rPr>
  </w:style>
  <w:style w:type="paragraph" w:styleId="TOC8">
    <w:name w:val="toc 8"/>
    <w:basedOn w:val="Normal"/>
    <w:next w:val="Normal"/>
    <w:autoRedefine/>
    <w:uiPriority w:val="39"/>
    <w:rsid w:val="0006058F"/>
    <w:pPr>
      <w:ind w:left="1680"/>
    </w:pPr>
    <w:rPr>
      <w:rFonts w:eastAsia="Times New Roman"/>
    </w:rPr>
  </w:style>
  <w:style w:type="paragraph" w:styleId="TOC9">
    <w:name w:val="toc 9"/>
    <w:basedOn w:val="Normal"/>
    <w:next w:val="Normal"/>
    <w:autoRedefine/>
    <w:uiPriority w:val="39"/>
    <w:rsid w:val="0006058F"/>
    <w:pPr>
      <w:ind w:left="1920"/>
    </w:pPr>
    <w:rPr>
      <w:rFonts w:eastAsia="Times New Roman"/>
    </w:rPr>
  </w:style>
  <w:style w:type="paragraph" w:styleId="BodyTextFirstIndent25" w:customStyle="1">
    <w:name w:val="Body Text First Indent 2 .5"/>
    <w:basedOn w:val="Normal"/>
    <w:uiPriority w:val="14"/>
    <w:semiHidden/>
    <w:rsid w:val="0006058F"/>
    <w:pPr>
      <w:spacing w:line="480" w:lineRule="auto"/>
      <w:ind w:firstLine="720"/>
    </w:pPr>
    <w:rPr>
      <w:color w:val="000000" w:themeColor="text1"/>
    </w:rPr>
  </w:style>
  <w:style w:type="character" w:styleId="zG01Char" w:customStyle="1">
    <w:name w:val="zG01 Char"/>
    <w:basedOn w:val="DefaultParagraphFont"/>
    <w:uiPriority w:val="49"/>
    <w:semiHidden/>
    <w:rsid w:val="0034786E"/>
    <w:rPr>
      <w:rFonts w:cs="Arial"/>
      <w:b/>
      <w:caps/>
    </w:rPr>
  </w:style>
  <w:style w:type="paragraph" w:styleId="Subtitle-Bold" w:customStyle="1">
    <w:name w:val="Subtitle - Bold"/>
    <w:basedOn w:val="Subtitle"/>
    <w:uiPriority w:val="94"/>
    <w:semiHidden/>
    <w:rsid w:val="0006058F"/>
    <w:rPr>
      <w:b/>
    </w:rPr>
  </w:style>
  <w:style w:type="paragraph" w:styleId="Article5L3" w:customStyle="1">
    <w:name w:val="Article5_L3"/>
    <w:basedOn w:val="Article5L2"/>
    <w:next w:val="BodyText"/>
    <w:rsid w:val="00960870"/>
    <w:pPr>
      <w:numPr>
        <w:ilvl w:val="2"/>
      </w:numPr>
      <w:tabs>
        <w:tab w:val="clear" w:pos="2520"/>
      </w:tabs>
      <w:ind w:left="2160" w:hanging="936"/>
      <w:outlineLvl w:val="2"/>
    </w:pPr>
  </w:style>
  <w:style w:type="paragraph" w:styleId="DeltaViewAnnounce" w:customStyle="1">
    <w:name w:val="DeltaView Announce"/>
    <w:rsid w:val="00960870"/>
    <w:pPr>
      <w:widowControl w:val="0"/>
      <w:autoSpaceDE w:val="0"/>
      <w:autoSpaceDN w:val="0"/>
      <w:adjustRightInd w:val="0"/>
      <w:spacing w:before="0" w:after="240" w:line="360" w:lineRule="atLeast"/>
      <w:textAlignment w:val="baseline"/>
    </w:pPr>
    <w:rPr>
      <w:rFonts w:eastAsia="Times New Roman" w:cs="Arial"/>
      <w:sz w:val="24"/>
      <w:szCs w:val="24"/>
    </w:rPr>
  </w:style>
  <w:style w:type="table" w:styleId="TableGrid">
    <w:name w:val="Table Grid"/>
    <w:basedOn w:val="TableNormal"/>
    <w:rsid w:val="0006058F"/>
    <w:pPr>
      <w:spacing w:after="0"/>
    </w:pPr>
    <w:tblPr/>
  </w:style>
  <w:style w:type="paragraph" w:styleId="ListBullet4" w:customStyle="1">
    <w:name w:val="List Bullet4"/>
    <w:basedOn w:val="ListBullet3"/>
    <w:uiPriority w:val="94"/>
    <w:semiHidden/>
    <w:rsid w:val="00500387"/>
    <w:pPr>
      <w:numPr>
        <w:numId w:val="4"/>
      </w:numPr>
    </w:pPr>
  </w:style>
  <w:style w:type="character" w:styleId="DeltaViewDeletion" w:customStyle="1">
    <w:name w:val="DeltaView Deletion"/>
    <w:rsid w:val="00A15AB1"/>
    <w:rPr>
      <w:strike/>
      <w:color w:val="FF0000"/>
    </w:rPr>
  </w:style>
  <w:style w:type="paragraph" w:styleId="zGBorder" w:customStyle="1">
    <w:name w:val="zGBorder"/>
    <w:uiPriority w:val="4"/>
    <w:rsid w:val="0034786E"/>
    <w:pPr>
      <w:widowControl w:val="0"/>
      <w:pBdr>
        <w:top w:val="single" w:color="auto" w:sz="18" w:space="5"/>
        <w:bottom w:val="single" w:color="auto" w:sz="18" w:space="5"/>
      </w:pBdr>
      <w:tabs>
        <w:tab w:val="right" w:pos="9864"/>
      </w:tabs>
      <w:autoSpaceDE w:val="0"/>
      <w:autoSpaceDN w:val="0"/>
      <w:adjustRightInd w:val="0"/>
      <w:jc w:val="left"/>
    </w:pPr>
    <w:rPr>
      <w:rFonts w:cs="Arial" w:eastAsiaTheme="minorEastAsia"/>
      <w:spacing w:val="-6"/>
      <w:kern w:val="14"/>
      <w:szCs w:val="24"/>
    </w:rPr>
  </w:style>
  <w:style w:type="paragraph" w:styleId="ListBullet5" w:customStyle="1">
    <w:name w:val="List Bullet5"/>
    <w:basedOn w:val="ListBullet2"/>
    <w:uiPriority w:val="94"/>
    <w:semiHidden/>
    <w:rsid w:val="00772385"/>
    <w:pPr>
      <w:numPr>
        <w:numId w:val="5"/>
      </w:numPr>
    </w:pPr>
  </w:style>
  <w:style w:type="paragraph" w:styleId="BodyTextIndent15" w:customStyle="1">
    <w:name w:val="Body Text Indent 1.5"/>
    <w:basedOn w:val="BodyTextIndent"/>
    <w:uiPriority w:val="14"/>
    <w:semiHidden/>
    <w:rsid w:val="00FD3E83"/>
    <w:pPr>
      <w:ind w:left="2160"/>
    </w:pPr>
  </w:style>
  <w:style w:type="character" w:styleId="Hyperlink">
    <w:name w:val="Hyperlink"/>
    <w:aliases w:val="zGHyperlink"/>
    <w:basedOn w:val="DefaultParagraphFont"/>
    <w:uiPriority w:val="99"/>
    <w:rsid w:val="00EC6D53"/>
    <w:rPr>
      <w:rFonts w:ascii="Arial" w:hAnsi="Arial"/>
      <w:color w:val="0563C1" w:themeColor="hyperlink"/>
      <w:sz w:val="20"/>
      <w:u w:val="single"/>
    </w:rPr>
  </w:style>
  <w:style w:type="character" w:styleId="PageNumber">
    <w:name w:val="page number"/>
    <w:basedOn w:val="DefaultParagraphFont"/>
    <w:uiPriority w:val="94"/>
    <w:rsid w:val="009B3EB4"/>
  </w:style>
  <w:style w:type="character" w:styleId="zzmpTrailerItem" w:customStyle="1">
    <w:name w:val="zzmpTrailerItem"/>
    <w:basedOn w:val="DefaultParagraphFont"/>
    <w:rsid w:val="00981F84"/>
    <w:rPr>
      <w:rFonts w:ascii="Arial" w:hAnsi="Arial" w:cs="Arial"/>
      <w:dstrike w:val="0"/>
      <w:noProof/>
      <w:color w:val="auto"/>
      <w:spacing w:val="0"/>
      <w:position w:val="0"/>
      <w:sz w:val="16"/>
      <w:szCs w:val="16"/>
      <w:u w:val="none"/>
      <w:effect w:val="none"/>
      <w:vertAlign w:val="baseline"/>
    </w:rPr>
  </w:style>
  <w:style w:type="character" w:styleId="zGBody5Char" w:customStyle="1">
    <w:name w:val="zGBody 5 Char"/>
    <w:basedOn w:val="DefaultParagraphFont"/>
    <w:link w:val="zGBody5"/>
    <w:uiPriority w:val="2"/>
    <w:rsid w:val="00CF352A"/>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iPriority w:val="99"/>
    <w:unhideWhenUsed/>
    <w:rsid w:val="00D14B06"/>
    <w:rPr>
      <w:sz w:val="18"/>
    </w:rPr>
  </w:style>
  <w:style w:type="character" w:styleId="CommentTextChar" w:customStyle="1">
    <w:name w:val="Comment Text Char"/>
    <w:basedOn w:val="DefaultParagraphFont"/>
    <w:link w:val="CommentText"/>
    <w:uiPriority w:val="99"/>
    <w:rsid w:val="00EC6D53"/>
    <w:rPr>
      <w:sz w:val="18"/>
    </w:rPr>
  </w:style>
  <w:style w:type="paragraph" w:styleId="CommentSubject">
    <w:name w:val="annotation subject"/>
    <w:basedOn w:val="CommentText"/>
    <w:next w:val="CommentText"/>
    <w:link w:val="CommentSubjectChar"/>
    <w:semiHidden/>
    <w:unhideWhenUsed/>
    <w:rsid w:val="00160012"/>
    <w:rPr>
      <w:b/>
      <w:bCs/>
    </w:rPr>
  </w:style>
  <w:style w:type="character" w:styleId="CommentSubjectChar" w:customStyle="1">
    <w:name w:val="Comment Subject Char"/>
    <w:basedOn w:val="CommentTextChar"/>
    <w:link w:val="CommentSubject"/>
    <w:semiHidden/>
    <w:rsid w:val="00160012"/>
    <w:rPr>
      <w:rFonts w:ascii="Arial" w:hAnsi="Arial" w:eastAsia="Calibri" w:cs="Times New Roman"/>
      <w:b/>
      <w:bCs/>
      <w:sz w:val="20"/>
      <w:szCs w:val="20"/>
    </w:rPr>
  </w:style>
  <w:style w:type="paragraph" w:styleId="NoSpacing">
    <w:name w:val="No Spacing"/>
    <w:uiPriority w:val="94"/>
    <w:qFormat/>
    <w:rsid w:val="000906FF"/>
    <w:pPr>
      <w:spacing w:after="0"/>
    </w:pPr>
    <w:rPr>
      <w:rFonts w:eastAsia="Calibri"/>
    </w:rPr>
  </w:style>
  <w:style w:type="character" w:styleId="findhit" w:customStyle="1">
    <w:name w:val="findhit"/>
    <w:basedOn w:val="DefaultParagraphFont"/>
    <w:rsid w:val="00AD1B9A"/>
  </w:style>
  <w:style w:type="character" w:styleId="UnresolvedMention1" w:customStyle="1">
    <w:name w:val="Unresolved Mention1"/>
    <w:basedOn w:val="DefaultParagraphFont"/>
    <w:uiPriority w:val="99"/>
    <w:semiHidden/>
    <w:rsid w:val="00AD4447"/>
    <w:rPr>
      <w:color w:val="605E5C"/>
      <w:shd w:val="clear" w:color="auto" w:fill="E1DFDD"/>
    </w:rPr>
  </w:style>
  <w:style w:type="paragraph" w:styleId="DeltaViewTableHeading" w:customStyle="1">
    <w:name w:val="DeltaView Table Heading"/>
    <w:basedOn w:val="Normal"/>
    <w:rsid w:val="00960870"/>
    <w:pPr>
      <w:autoSpaceDE w:val="0"/>
      <w:autoSpaceDN w:val="0"/>
      <w:adjustRightInd w:val="0"/>
      <w:spacing w:before="0" w:line="360" w:lineRule="atLeast"/>
      <w:textAlignment w:val="baseline"/>
    </w:pPr>
    <w:rPr>
      <w:rFonts w:eastAsia="Times New Roman" w:cs="Arial"/>
      <w:b/>
      <w:bCs/>
      <w:sz w:val="24"/>
      <w:szCs w:val="24"/>
    </w:rPr>
  </w:style>
  <w:style w:type="character" w:styleId="Mention1" w:customStyle="1">
    <w:name w:val="Mention1"/>
    <w:basedOn w:val="DefaultParagraphFont"/>
    <w:uiPriority w:val="99"/>
    <w:semiHidden/>
    <w:rsid w:val="00AD4447"/>
    <w:rPr>
      <w:color w:val="2B579A"/>
      <w:shd w:val="clear" w:color="auto" w:fill="E1DFDD"/>
    </w:rPr>
  </w:style>
  <w:style w:type="character" w:styleId="UnresolvedMention2" w:customStyle="1">
    <w:name w:val="Unresolved Mention2"/>
    <w:basedOn w:val="DefaultParagraphFont"/>
    <w:uiPriority w:val="99"/>
    <w:semiHidden/>
    <w:rsid w:val="00155532"/>
    <w:rPr>
      <w:color w:val="605E5C"/>
      <w:shd w:val="clear" w:color="auto" w:fill="E1DFDD"/>
    </w:rPr>
  </w:style>
  <w:style w:type="paragraph" w:styleId="TableofAuthorities">
    <w:name w:val="table of authorities"/>
    <w:basedOn w:val="Normal"/>
    <w:next w:val="Normal"/>
    <w:uiPriority w:val="99"/>
    <w:semiHidden/>
    <w:unhideWhenUsed/>
    <w:rsid w:val="00960870"/>
    <w:pPr>
      <w:widowControl w:val="0"/>
      <w:adjustRightInd w:val="0"/>
      <w:spacing w:before="0" w:after="0" w:line="360" w:lineRule="atLeast"/>
      <w:ind w:left="240" w:hanging="240"/>
      <w:textAlignment w:val="baseline"/>
    </w:pPr>
    <w:rPr>
      <w:rFonts w:ascii="Times New Roman" w:hAnsi="Times New Roman" w:eastAsia="Times New Roman"/>
      <w:sz w:val="24"/>
    </w:rPr>
  </w:style>
  <w:style w:type="paragraph" w:styleId="zGTitle14" w:customStyle="1">
    <w:name w:val="zGTitle14"/>
    <w:link w:val="zGTitle14Char"/>
    <w:uiPriority w:val="3"/>
    <w:qFormat/>
    <w:rsid w:val="0034786E"/>
    <w:pPr>
      <w:spacing w:before="0"/>
      <w:jc w:val="center"/>
    </w:pPr>
    <w:rPr>
      <w:rFonts w:eastAsia="Times New Roman"/>
      <w:b/>
      <w:spacing w:val="-6"/>
      <w:kern w:val="14"/>
      <w:sz w:val="28"/>
      <w:szCs w:val="24"/>
    </w:rPr>
  </w:style>
  <w:style w:type="character" w:styleId="SmartLink1" w:customStyle="1">
    <w:name w:val="SmartLink1"/>
    <w:basedOn w:val="DefaultParagraphFont"/>
    <w:uiPriority w:val="99"/>
    <w:rsid w:val="00D301CD"/>
    <w:rPr>
      <w:color w:val="0000FF"/>
      <w:u w:val="single"/>
      <w:shd w:val="clear" w:color="auto" w:fill="F3F2F1"/>
    </w:rPr>
  </w:style>
  <w:style w:type="character" w:styleId="RightPar" w:customStyle="1">
    <w:name w:val="Right Par"/>
    <w:basedOn w:val="DefaultParagraphFont"/>
    <w:rsid w:val="00960870"/>
  </w:style>
  <w:style w:type="paragraph" w:styleId="Revision">
    <w:name w:val="Revision"/>
    <w:hidden/>
    <w:uiPriority w:val="99"/>
    <w:semiHidden/>
    <w:rsid w:val="006B5000"/>
    <w:pPr>
      <w:spacing w:after="0"/>
    </w:pPr>
    <w:rPr>
      <w:rFonts w:eastAsia="Calibri"/>
    </w:rPr>
  </w:style>
  <w:style w:type="character" w:styleId="eop" w:customStyle="1">
    <w:name w:val="eop"/>
    <w:basedOn w:val="DefaultParagraphFont"/>
    <w:rsid w:val="00C82F03"/>
  </w:style>
  <w:style w:type="character" w:styleId="Mention2" w:customStyle="1">
    <w:name w:val="Mention2"/>
    <w:basedOn w:val="DefaultParagraphFont"/>
    <w:uiPriority w:val="99"/>
    <w:semiHidden/>
    <w:rsid w:val="00771446"/>
    <w:rPr>
      <w:color w:val="2B579A"/>
      <w:shd w:val="clear" w:color="auto" w:fill="E6E6E6"/>
    </w:rPr>
  </w:style>
  <w:style w:type="paragraph" w:styleId="zGTableTxt09" w:customStyle="1">
    <w:name w:val="zGTableTxt09"/>
    <w:uiPriority w:val="7"/>
    <w:qFormat/>
    <w:rsid w:val="0034786E"/>
    <w:pPr>
      <w:widowControl w:val="0"/>
      <w:autoSpaceDE w:val="0"/>
      <w:autoSpaceDN w:val="0"/>
      <w:adjustRightInd w:val="0"/>
      <w:spacing w:before="0" w:after="0"/>
      <w:jc w:val="left"/>
    </w:pPr>
    <w:rPr>
      <w:rFonts w:cs="Arial" w:eastAsiaTheme="minorEastAsia"/>
      <w:spacing w:val="-6"/>
      <w:kern w:val="14"/>
      <w:sz w:val="18"/>
    </w:rPr>
  </w:style>
  <w:style w:type="character" w:styleId="UnresolvedMention3" w:customStyle="1">
    <w:name w:val="Unresolved Mention3"/>
    <w:basedOn w:val="DefaultParagraphFont"/>
    <w:uiPriority w:val="99"/>
    <w:semiHidden/>
    <w:rsid w:val="00CB392F"/>
    <w:rPr>
      <w:color w:val="605E5C"/>
      <w:shd w:val="clear" w:color="auto" w:fill="E1DFDD"/>
    </w:rPr>
  </w:style>
  <w:style w:type="paragraph" w:styleId="zGTableHeading1" w:customStyle="1">
    <w:name w:val="zGTableHeading1"/>
    <w:uiPriority w:val="7"/>
    <w:rsid w:val="0034786E"/>
    <w:pPr>
      <w:keepNext/>
      <w:keepLines/>
      <w:widowControl w:val="0"/>
      <w:autoSpaceDE w:val="0"/>
      <w:autoSpaceDN w:val="0"/>
      <w:adjustRightInd w:val="0"/>
      <w:spacing w:before="0" w:after="0"/>
      <w:jc w:val="center"/>
      <w:outlineLvl w:val="0"/>
    </w:pPr>
    <w:rPr>
      <w:rFonts w:cs="Arial" w:eastAsiaTheme="minorEastAsia"/>
      <w:b/>
      <w:smallCaps/>
      <w:color w:val="000000"/>
      <w:spacing w:val="-6"/>
      <w:kern w:val="14"/>
      <w:szCs w:val="24"/>
    </w:rPr>
  </w:style>
  <w:style w:type="paragraph" w:styleId="EndnoteText">
    <w:name w:val="endnote text"/>
    <w:basedOn w:val="Normal"/>
    <w:link w:val="EndnoteTextChar"/>
    <w:unhideWhenUsed/>
    <w:rsid w:val="00137E82"/>
  </w:style>
  <w:style w:type="paragraph" w:styleId="zG01" w:customStyle="1">
    <w:name w:val="zG01"/>
    <w:basedOn w:val="Normal"/>
    <w:next w:val="Normal"/>
    <w:uiPriority w:val="24"/>
    <w:qFormat/>
    <w:rsid w:val="004568D2"/>
    <w:pPr>
      <w:keepNext/>
      <w:widowControl w:val="0"/>
      <w:numPr>
        <w:numId w:val="26"/>
      </w:numPr>
      <w:autoSpaceDE w:val="0"/>
      <w:autoSpaceDN w:val="0"/>
      <w:adjustRightInd w:val="0"/>
      <w:spacing w:before="240" w:after="60"/>
      <w:outlineLvl w:val="0"/>
    </w:pPr>
    <w:rPr>
      <w:rFonts w:cs="Arial" w:eastAsiaTheme="minorEastAsia"/>
      <w:b/>
      <w:caps/>
      <w:spacing w:val="-6"/>
      <w:kern w:val="14"/>
    </w:rPr>
  </w:style>
  <w:style w:type="paragraph" w:styleId="zG02" w:customStyle="1">
    <w:name w:val="zG02"/>
    <w:basedOn w:val="Normal"/>
    <w:uiPriority w:val="24"/>
    <w:rsid w:val="0034786E"/>
    <w:pPr>
      <w:widowControl w:val="0"/>
      <w:numPr>
        <w:ilvl w:val="1"/>
        <w:numId w:val="26"/>
      </w:numPr>
      <w:tabs>
        <w:tab w:val="left" w:pos="576"/>
      </w:tabs>
      <w:autoSpaceDE w:val="0"/>
      <w:autoSpaceDN w:val="0"/>
      <w:adjustRightInd w:val="0"/>
      <w:spacing w:after="0"/>
      <w:outlineLvl w:val="1"/>
    </w:pPr>
    <w:rPr>
      <w:rFonts w:cs="Arial" w:eastAsiaTheme="minorEastAsia"/>
      <w:spacing w:val="-6"/>
      <w:kern w:val="14"/>
    </w:rPr>
  </w:style>
  <w:style w:type="character" w:styleId="zG02Char" w:customStyle="1">
    <w:name w:val="zG02 Char"/>
    <w:basedOn w:val="zG01Char"/>
    <w:uiPriority w:val="49"/>
    <w:semiHidden/>
    <w:rsid w:val="0034786E"/>
    <w:rPr>
      <w:rFonts w:cs="Arial"/>
      <w:b w:val="0"/>
      <w:caps w:val="0"/>
    </w:rPr>
  </w:style>
  <w:style w:type="paragraph" w:styleId="zG03" w:customStyle="1">
    <w:name w:val="zG03"/>
    <w:basedOn w:val="Normal"/>
    <w:uiPriority w:val="24"/>
    <w:rsid w:val="0034786E"/>
    <w:pPr>
      <w:widowControl w:val="0"/>
      <w:numPr>
        <w:ilvl w:val="2"/>
        <w:numId w:val="26"/>
      </w:numPr>
      <w:tabs>
        <w:tab w:val="left" w:pos="576"/>
      </w:tabs>
      <w:autoSpaceDE w:val="0"/>
      <w:autoSpaceDN w:val="0"/>
      <w:adjustRightInd w:val="0"/>
      <w:spacing w:after="0"/>
      <w:outlineLvl w:val="2"/>
    </w:pPr>
    <w:rPr>
      <w:rFonts w:cs="Arial" w:eastAsiaTheme="minorEastAsia"/>
      <w:spacing w:val="-6"/>
      <w:kern w:val="14"/>
    </w:rPr>
  </w:style>
  <w:style w:type="character" w:styleId="TOC1Char" w:customStyle="1">
    <w:name w:val="TOC 1 Char"/>
    <w:aliases w:val="zGTOC 1 Char"/>
    <w:basedOn w:val="zGNormalChar"/>
    <w:link w:val="TOC1"/>
    <w:uiPriority w:val="7"/>
    <w:rsid w:val="00C2097B"/>
    <w:rPr>
      <w:rFonts w:ascii="Arial Bold" w:hAnsi="Arial Bold" w:eastAsia="Times New Roman" w:cs="Arial"/>
      <w:b/>
      <w:caps/>
      <w:kern w:val="14"/>
    </w:rPr>
  </w:style>
  <w:style w:type="paragraph" w:styleId="zG04" w:customStyle="1">
    <w:name w:val="zG04"/>
    <w:basedOn w:val="Normal"/>
    <w:uiPriority w:val="24"/>
    <w:rsid w:val="0034786E"/>
    <w:pPr>
      <w:widowControl w:val="0"/>
      <w:numPr>
        <w:ilvl w:val="3"/>
        <w:numId w:val="26"/>
      </w:numPr>
      <w:tabs>
        <w:tab w:val="left" w:pos="1008"/>
        <w:tab w:val="left" w:pos="1080"/>
      </w:tabs>
      <w:autoSpaceDE w:val="0"/>
      <w:autoSpaceDN w:val="0"/>
      <w:adjustRightInd w:val="0"/>
      <w:spacing w:before="60" w:after="0"/>
      <w:outlineLvl w:val="3"/>
    </w:pPr>
    <w:rPr>
      <w:rFonts w:cs="Arial" w:eastAsiaTheme="minorEastAsia"/>
      <w:spacing w:val="-6"/>
      <w:kern w:val="14"/>
    </w:rPr>
  </w:style>
  <w:style w:type="paragraph" w:styleId="zGFooter" w:customStyle="1">
    <w:name w:val="zGFooter"/>
    <w:next w:val="Normal"/>
    <w:uiPriority w:val="5"/>
    <w:qFormat/>
    <w:rsid w:val="0034786E"/>
    <w:pPr>
      <w:widowControl w:val="0"/>
      <w:tabs>
        <w:tab w:val="center" w:pos="5040"/>
        <w:tab w:val="right" w:pos="8630"/>
      </w:tabs>
      <w:autoSpaceDE w:val="0"/>
      <w:autoSpaceDN w:val="0"/>
      <w:adjustRightInd w:val="0"/>
      <w:spacing w:before="0" w:after="0"/>
      <w:jc w:val="left"/>
    </w:pPr>
    <w:rPr>
      <w:rFonts w:cs="Arial" w:eastAsiaTheme="minorEastAsia"/>
      <w:spacing w:val="-6"/>
      <w:kern w:val="14"/>
      <w:sz w:val="16"/>
    </w:rPr>
  </w:style>
  <w:style w:type="paragraph" w:styleId="zG05" w:customStyle="1">
    <w:name w:val="zG05"/>
    <w:basedOn w:val="Normal"/>
    <w:uiPriority w:val="24"/>
    <w:rsid w:val="0034786E"/>
    <w:pPr>
      <w:widowControl w:val="0"/>
      <w:numPr>
        <w:ilvl w:val="4"/>
        <w:numId w:val="26"/>
      </w:numPr>
      <w:tabs>
        <w:tab w:val="left" w:pos="1368"/>
      </w:tabs>
      <w:autoSpaceDE w:val="0"/>
      <w:autoSpaceDN w:val="0"/>
      <w:adjustRightInd w:val="0"/>
      <w:spacing w:before="60" w:after="0"/>
      <w:outlineLvl w:val="4"/>
    </w:pPr>
    <w:rPr>
      <w:rFonts w:cs="Arial" w:eastAsiaTheme="minorEastAsia"/>
      <w:spacing w:val="-6"/>
      <w:kern w:val="14"/>
    </w:rPr>
  </w:style>
  <w:style w:type="paragraph" w:styleId="zGFooterLine" w:customStyle="1">
    <w:name w:val="zGFooterLine"/>
    <w:basedOn w:val="Normal"/>
    <w:uiPriority w:val="5"/>
    <w:rsid w:val="0034786E"/>
    <w:pPr>
      <w:widowControl w:val="0"/>
      <w:pBdr>
        <w:bottom w:val="single" w:color="auto" w:sz="2" w:space="1"/>
      </w:pBdr>
      <w:tabs>
        <w:tab w:val="center" w:pos="5040"/>
        <w:tab w:val="right" w:pos="8630"/>
      </w:tabs>
      <w:autoSpaceDE w:val="0"/>
      <w:autoSpaceDN w:val="0"/>
      <w:adjustRightInd w:val="0"/>
      <w:spacing w:before="0" w:after="80"/>
    </w:pPr>
    <w:rPr>
      <w:rFonts w:eastAsiaTheme="minorEastAsia"/>
      <w:spacing w:val="-6"/>
      <w:kern w:val="14"/>
      <w:sz w:val="8"/>
      <w:szCs w:val="24"/>
    </w:rPr>
  </w:style>
  <w:style w:type="paragraph" w:styleId="zGHeaderDraft" w:customStyle="1">
    <w:name w:val="zGHeaderDraft"/>
    <w:next w:val="Normal"/>
    <w:uiPriority w:val="99"/>
    <w:semiHidden/>
    <w:qFormat/>
    <w:rsid w:val="0034786E"/>
    <w:pPr>
      <w:widowControl w:val="0"/>
      <w:tabs>
        <w:tab w:val="right" w:pos="9936"/>
      </w:tabs>
      <w:autoSpaceDE w:val="0"/>
      <w:autoSpaceDN w:val="0"/>
      <w:adjustRightInd w:val="0"/>
      <w:spacing w:before="0" w:after="0"/>
      <w:jc w:val="right"/>
    </w:pPr>
    <w:rPr>
      <w:rFonts w:ascii="Arial Bold" w:hAnsi="Arial Bold" w:cs="Arial" w:eastAsiaTheme="minorEastAsia"/>
      <w:b/>
      <w:i/>
      <w:color w:val="FF0000"/>
      <w:spacing w:val="-6"/>
      <w:kern w:val="14"/>
      <w:sz w:val="18"/>
    </w:rPr>
  </w:style>
  <w:style w:type="paragraph" w:styleId="zGHiddenTitle" w:customStyle="1">
    <w:name w:val="zGHiddenTitle"/>
    <w:uiPriority w:val="9"/>
    <w:semiHidden/>
    <w:rsid w:val="0034786E"/>
    <w:pPr>
      <w:keepNext/>
      <w:widowControl w:val="0"/>
      <w:autoSpaceDE w:val="0"/>
      <w:autoSpaceDN w:val="0"/>
      <w:adjustRightInd w:val="0"/>
      <w:spacing w:before="0" w:after="0"/>
      <w:jc w:val="left"/>
    </w:pPr>
    <w:rPr>
      <w:rFonts w:cs="Arial" w:eastAsiaTheme="minorEastAsia"/>
      <w:color w:val="FFFFFF"/>
      <w:spacing w:val="-6"/>
      <w:kern w:val="14"/>
      <w:sz w:val="2"/>
    </w:rPr>
  </w:style>
  <w:style w:type="paragraph" w:styleId="zGListi" w:customStyle="1">
    <w:name w:val="zGList(i)"/>
    <w:uiPriority w:val="6"/>
    <w:qFormat/>
    <w:rsid w:val="0034786E"/>
    <w:pPr>
      <w:widowControl w:val="0"/>
      <w:numPr>
        <w:numId w:val="27"/>
      </w:numPr>
      <w:autoSpaceDE w:val="0"/>
      <w:autoSpaceDN w:val="0"/>
      <w:adjustRightInd w:val="0"/>
      <w:spacing w:after="0"/>
    </w:pPr>
    <w:rPr>
      <w:rFonts w:cs="Arial" w:eastAsiaTheme="minorEastAsia"/>
      <w:spacing w:val="-6"/>
      <w:kern w:val="14"/>
    </w:rPr>
  </w:style>
  <w:style w:type="paragraph" w:styleId="zGListBullet" w:customStyle="1">
    <w:name w:val="zGListBullet"/>
    <w:uiPriority w:val="6"/>
    <w:qFormat/>
    <w:rsid w:val="0034786E"/>
    <w:pPr>
      <w:widowControl w:val="0"/>
      <w:numPr>
        <w:numId w:val="28"/>
      </w:numPr>
      <w:autoSpaceDE w:val="0"/>
      <w:autoSpaceDN w:val="0"/>
      <w:adjustRightInd w:val="0"/>
      <w:spacing w:before="60" w:after="0"/>
    </w:pPr>
    <w:rPr>
      <w:rFonts w:cs="Arial" w:eastAsiaTheme="minorEastAsia"/>
      <w:spacing w:val="-6"/>
      <w:kern w:val="14"/>
    </w:rPr>
  </w:style>
  <w:style w:type="paragraph" w:styleId="zGBody6" w:customStyle="1">
    <w:name w:val="zGBody 6"/>
    <w:basedOn w:val="Normal"/>
    <w:link w:val="zGBody6Char"/>
    <w:uiPriority w:val="2"/>
    <w:rsid w:val="00B16A10"/>
    <w:pPr>
      <w:tabs>
        <w:tab w:val="num" w:pos="2088"/>
      </w:tabs>
      <w:spacing w:before="0" w:after="0"/>
      <w:ind w:left="2088"/>
      <w:jc w:val="left"/>
    </w:pPr>
  </w:style>
  <w:style w:type="paragraph" w:styleId="zGListBullet2" w:customStyle="1">
    <w:name w:val="zGListBullet2"/>
    <w:uiPriority w:val="6"/>
    <w:qFormat/>
    <w:rsid w:val="0034786E"/>
    <w:pPr>
      <w:widowControl w:val="0"/>
      <w:numPr>
        <w:numId w:val="29"/>
      </w:numPr>
      <w:autoSpaceDE w:val="0"/>
      <w:autoSpaceDN w:val="0"/>
      <w:adjustRightInd w:val="0"/>
      <w:spacing w:before="60" w:after="0"/>
      <w:jc w:val="left"/>
    </w:pPr>
    <w:rPr>
      <w:rFonts w:cs="Arial" w:eastAsiaTheme="minorEastAsia"/>
      <w:spacing w:val="-6"/>
      <w:kern w:val="14"/>
    </w:rPr>
  </w:style>
  <w:style w:type="paragraph" w:styleId="zGTableHeading2" w:customStyle="1">
    <w:name w:val="zGTableHeading2"/>
    <w:uiPriority w:val="7"/>
    <w:qFormat/>
    <w:rsid w:val="0034786E"/>
    <w:pPr>
      <w:keepNext/>
      <w:widowControl w:val="0"/>
      <w:autoSpaceDE w:val="0"/>
      <w:autoSpaceDN w:val="0"/>
      <w:adjustRightInd w:val="0"/>
      <w:spacing w:before="0" w:after="0"/>
      <w:jc w:val="center"/>
      <w:outlineLvl w:val="0"/>
    </w:pPr>
    <w:rPr>
      <w:rFonts w:cs="Arial" w:eastAsiaTheme="minorEastAsia"/>
      <w:b/>
      <w:spacing w:val="-6"/>
      <w:kern w:val="14"/>
      <w:sz w:val="18"/>
    </w:rPr>
  </w:style>
  <w:style w:type="paragraph" w:styleId="zGTableHeading3" w:customStyle="1">
    <w:name w:val="zGTableHeading3"/>
    <w:uiPriority w:val="7"/>
    <w:qFormat/>
    <w:rsid w:val="0034786E"/>
    <w:pPr>
      <w:widowControl w:val="0"/>
      <w:autoSpaceDE w:val="0"/>
      <w:autoSpaceDN w:val="0"/>
      <w:adjustRightInd w:val="0"/>
      <w:spacing w:before="0" w:after="0"/>
      <w:jc w:val="center"/>
      <w:outlineLvl w:val="0"/>
    </w:pPr>
    <w:rPr>
      <w:rFonts w:cs="Arial" w:eastAsiaTheme="minorEastAsia"/>
      <w:b/>
      <w:smallCaps/>
      <w:color w:val="000000"/>
      <w:spacing w:val="-6"/>
      <w:kern w:val="14"/>
      <w:sz w:val="18"/>
    </w:rPr>
  </w:style>
  <w:style w:type="paragraph" w:styleId="zGTableSig12" w:customStyle="1">
    <w:name w:val="zGTableSig12"/>
    <w:uiPriority w:val="7"/>
    <w:rsid w:val="0034786E"/>
    <w:pPr>
      <w:keepNext/>
      <w:keepLines/>
      <w:widowControl w:val="0"/>
      <w:autoSpaceDE w:val="0"/>
      <w:autoSpaceDN w:val="0"/>
      <w:adjustRightInd w:val="0"/>
      <w:spacing w:before="0" w:after="0"/>
      <w:jc w:val="left"/>
    </w:pPr>
    <w:rPr>
      <w:rFonts w:cs="Arial" w:eastAsiaTheme="minorEastAsia"/>
      <w:b/>
      <w:spacing w:val="-6"/>
      <w:kern w:val="14"/>
      <w:sz w:val="24"/>
    </w:rPr>
  </w:style>
  <w:style w:type="paragraph" w:styleId="TOAHeading">
    <w:name w:val="toa heading"/>
    <w:basedOn w:val="Normal"/>
    <w:next w:val="Normal"/>
    <w:semiHidden/>
    <w:rsid w:val="00960870"/>
    <w:pPr>
      <w:widowControl w:val="0"/>
      <w:tabs>
        <w:tab w:val="right" w:pos="9360"/>
      </w:tabs>
      <w:suppressAutoHyphens/>
      <w:adjustRightInd w:val="0"/>
      <w:spacing w:before="0" w:after="0" w:line="360" w:lineRule="atLeast"/>
      <w:textAlignment w:val="baseline"/>
    </w:pPr>
    <w:rPr>
      <w:rFonts w:ascii="Times New Roman" w:hAnsi="Times New Roman" w:eastAsia="Times New Roman"/>
      <w:sz w:val="24"/>
    </w:rPr>
  </w:style>
  <w:style w:type="character" w:styleId="EndnoteTextChar" w:customStyle="1">
    <w:name w:val="Endnote Text Char"/>
    <w:basedOn w:val="DefaultParagraphFont"/>
    <w:link w:val="EndnoteText"/>
    <w:uiPriority w:val="49"/>
    <w:rsid w:val="00EC6D53"/>
  </w:style>
  <w:style w:type="paragraph" w:styleId="zGTC01" w:customStyle="1">
    <w:name w:val="zGTC01"/>
    <w:basedOn w:val="zGNormal"/>
    <w:next w:val="Normal"/>
    <w:link w:val="zGTC01Char"/>
    <w:uiPriority w:val="1"/>
    <w:qFormat/>
    <w:rsid w:val="001B2C0A"/>
    <w:pPr>
      <w:keepNext/>
      <w:numPr>
        <w:numId w:val="36"/>
      </w:numPr>
      <w:autoSpaceDE/>
      <w:autoSpaceDN/>
      <w:adjustRightInd/>
      <w:spacing w:before="360" w:after="120"/>
      <w:outlineLvl w:val="0"/>
    </w:pPr>
    <w:rPr>
      <w:rFonts w:ascii="Arial Bold" w:hAnsi="Arial Bold" w:eastAsia="Times New Roman"/>
      <w:b/>
      <w:caps/>
      <w:szCs w:val="24"/>
    </w:rPr>
  </w:style>
  <w:style w:type="character" w:styleId="zGTC01Char" w:customStyle="1">
    <w:name w:val="zGTC01 Char"/>
    <w:basedOn w:val="DefaultParagraphFont"/>
    <w:link w:val="zGTC01"/>
    <w:uiPriority w:val="1"/>
    <w:rsid w:val="001B2C0A"/>
    <w:rPr>
      <w:rFonts w:ascii="Arial Bold" w:hAnsi="Arial Bold" w:eastAsia="Times New Roman" w:cs="Arial"/>
      <w:b/>
      <w:caps/>
      <w:kern w:val="14"/>
      <w:szCs w:val="24"/>
    </w:rPr>
  </w:style>
  <w:style w:type="paragraph" w:styleId="zGTC02" w:customStyle="1">
    <w:name w:val="zGTC02"/>
    <w:basedOn w:val="zGNormal"/>
    <w:link w:val="zGTC02Char"/>
    <w:uiPriority w:val="1"/>
    <w:qFormat/>
    <w:rsid w:val="0034786E"/>
    <w:pPr>
      <w:numPr>
        <w:ilvl w:val="1"/>
        <w:numId w:val="36"/>
      </w:numPr>
      <w:autoSpaceDE/>
      <w:autoSpaceDN/>
      <w:adjustRightInd/>
      <w:spacing w:before="120"/>
    </w:pPr>
    <w:rPr>
      <w:rFonts w:ascii="Arial Bold" w:hAnsi="Arial Bold" w:eastAsia="Times New Roman" w:cs="Times New Roman"/>
      <w:b/>
      <w:szCs w:val="24"/>
    </w:rPr>
  </w:style>
  <w:style w:type="paragraph" w:styleId="Article5L5" w:customStyle="1">
    <w:name w:val="Article5_L5"/>
    <w:basedOn w:val="Article5L4"/>
    <w:next w:val="BodyText"/>
    <w:rsid w:val="00960870"/>
    <w:pPr>
      <w:numPr>
        <w:ilvl w:val="4"/>
      </w:numPr>
      <w:tabs>
        <w:tab w:val="clear" w:pos="4320"/>
      </w:tabs>
      <w:ind w:left="3600" w:hanging="936"/>
      <w:jc w:val="left"/>
      <w:outlineLvl w:val="4"/>
    </w:pPr>
  </w:style>
  <w:style w:type="character" w:styleId="zGTC02Char" w:customStyle="1">
    <w:name w:val="zGTC02 Char"/>
    <w:basedOn w:val="DefaultParagraphFont"/>
    <w:link w:val="zGTC02"/>
    <w:uiPriority w:val="1"/>
    <w:rsid w:val="0034786E"/>
    <w:rPr>
      <w:rFonts w:ascii="Arial Bold" w:hAnsi="Arial Bold" w:eastAsia="Times New Roman"/>
      <w:b/>
      <w:kern w:val="14"/>
      <w:szCs w:val="24"/>
    </w:rPr>
  </w:style>
  <w:style w:type="paragraph" w:styleId="zGTC03" w:customStyle="1">
    <w:name w:val="zGTC03"/>
    <w:basedOn w:val="zGNormal"/>
    <w:link w:val="zGTC03Char"/>
    <w:qFormat/>
    <w:rsid w:val="006673E0"/>
    <w:pPr>
      <w:numPr>
        <w:ilvl w:val="2"/>
        <w:numId w:val="36"/>
      </w:numPr>
      <w:autoSpaceDE/>
      <w:autoSpaceDN/>
      <w:adjustRightInd/>
      <w:spacing w:before="120"/>
    </w:pPr>
    <w:rPr>
      <w:rFonts w:eastAsia="Times New Roman"/>
    </w:rPr>
  </w:style>
  <w:style w:type="paragraph" w:styleId="zGTC04" w:customStyle="1">
    <w:name w:val="zGTC04"/>
    <w:basedOn w:val="zGNormal"/>
    <w:link w:val="zGTC04Char"/>
    <w:qFormat/>
    <w:rsid w:val="00BE1EA0"/>
    <w:pPr>
      <w:numPr>
        <w:ilvl w:val="3"/>
        <w:numId w:val="36"/>
      </w:numPr>
      <w:autoSpaceDE/>
      <w:autoSpaceDN/>
      <w:adjustRightInd/>
      <w:spacing w:before="120" w:after="120"/>
    </w:pPr>
    <w:rPr>
      <w:rFonts w:eastAsia="Times New Roman"/>
      <w:szCs w:val="24"/>
    </w:rPr>
  </w:style>
  <w:style w:type="paragraph" w:styleId="zGTC05" w:customStyle="1">
    <w:name w:val="zGTC05"/>
    <w:basedOn w:val="zGNormal"/>
    <w:link w:val="zGTC05Char"/>
    <w:uiPriority w:val="1"/>
    <w:qFormat/>
    <w:rsid w:val="0034786E"/>
    <w:pPr>
      <w:numPr>
        <w:ilvl w:val="4"/>
        <w:numId w:val="36"/>
      </w:numPr>
      <w:autoSpaceDE/>
      <w:autoSpaceDN/>
      <w:adjustRightInd/>
      <w:spacing w:before="60"/>
    </w:pPr>
    <w:rPr>
      <w:rFonts w:eastAsia="Times New Roman" w:cs="Times New Roman"/>
      <w:szCs w:val="24"/>
    </w:rPr>
  </w:style>
  <w:style w:type="paragraph" w:styleId="zGTitle11" w:customStyle="1">
    <w:name w:val="zGTitle11"/>
    <w:link w:val="zGTitle11Char"/>
    <w:uiPriority w:val="4"/>
    <w:qFormat/>
    <w:rsid w:val="0034786E"/>
    <w:pPr>
      <w:spacing w:before="240" w:after="240"/>
      <w:jc w:val="center"/>
    </w:pPr>
    <w:rPr>
      <w:rFonts w:eastAsia="Times New Roman"/>
      <w:b/>
      <w:spacing w:val="-6"/>
      <w:kern w:val="14"/>
      <w:sz w:val="22"/>
    </w:rPr>
  </w:style>
  <w:style w:type="character" w:styleId="zGTitle11Char" w:customStyle="1">
    <w:name w:val="zGTitle11 Char"/>
    <w:basedOn w:val="DefaultParagraphFont"/>
    <w:link w:val="zGTitle11"/>
    <w:uiPriority w:val="4"/>
    <w:rsid w:val="0034786E"/>
    <w:rPr>
      <w:rFonts w:eastAsia="Times New Roman"/>
      <w:b/>
      <w:spacing w:val="-6"/>
      <w:kern w:val="14"/>
      <w:sz w:val="22"/>
    </w:rPr>
  </w:style>
  <w:style w:type="paragraph" w:styleId="zGBody1" w:customStyle="1">
    <w:name w:val="zGBody 1"/>
    <w:basedOn w:val="zGNormal"/>
    <w:next w:val="zGBody2"/>
    <w:link w:val="zGBody1Char"/>
    <w:uiPriority w:val="2"/>
    <w:qFormat/>
    <w:rsid w:val="00B16A10"/>
    <w:pPr>
      <w:keepNext/>
      <w:tabs>
        <w:tab w:val="num" w:pos="1152"/>
      </w:tabs>
      <w:spacing w:before="480" w:after="240"/>
      <w:ind w:left="1152" w:hanging="1152"/>
    </w:pPr>
    <w:rPr>
      <w:rFonts w:ascii="Arial Bold" w:hAnsi="Arial Bold"/>
      <w:b/>
      <w:caps/>
      <w:u w:val="single"/>
    </w:rPr>
  </w:style>
  <w:style w:type="paragraph" w:styleId="zGBody2" w:customStyle="1">
    <w:name w:val="zGBody 2"/>
    <w:basedOn w:val="zGNormal"/>
    <w:link w:val="zGBody2Char"/>
    <w:uiPriority w:val="2"/>
    <w:qFormat/>
    <w:rsid w:val="00B16A10"/>
    <w:pPr>
      <w:keepNext/>
      <w:tabs>
        <w:tab w:val="num" w:pos="1152"/>
      </w:tabs>
      <w:spacing w:before="360" w:after="120"/>
      <w:ind w:left="1152" w:hanging="576"/>
    </w:pPr>
    <w:rPr>
      <w:rFonts w:ascii="Arial Bold" w:hAnsi="Arial Bold"/>
      <w:b/>
    </w:rPr>
  </w:style>
  <w:style w:type="paragraph" w:styleId="zGBody3" w:customStyle="1">
    <w:name w:val="zGBody 3"/>
    <w:basedOn w:val="zGNormal"/>
    <w:link w:val="zGBody3Char"/>
    <w:uiPriority w:val="2"/>
    <w:qFormat/>
    <w:rsid w:val="00B16A10"/>
    <w:pPr>
      <w:tabs>
        <w:tab w:val="num" w:pos="1872"/>
      </w:tabs>
      <w:spacing w:before="120" w:after="240"/>
      <w:ind w:left="1152"/>
    </w:pPr>
  </w:style>
  <w:style w:type="paragraph" w:styleId="zGNormal" w:customStyle="1">
    <w:name w:val="zGNormal"/>
    <w:link w:val="zGNormalChar"/>
    <w:qFormat/>
    <w:rsid w:val="0034786E"/>
    <w:pPr>
      <w:autoSpaceDE w:val="0"/>
      <w:autoSpaceDN w:val="0"/>
      <w:adjustRightInd w:val="0"/>
      <w:spacing w:before="0" w:after="0"/>
    </w:pPr>
    <w:rPr>
      <w:rFonts w:cs="Arial" w:eastAsiaTheme="minorEastAsia"/>
      <w:kern w:val="14"/>
    </w:rPr>
  </w:style>
  <w:style w:type="paragraph" w:styleId="zGZ1" w:customStyle="1">
    <w:name w:val="zGZ1"/>
    <w:uiPriority w:val="1"/>
    <w:qFormat/>
    <w:rsid w:val="0034786E"/>
    <w:pPr>
      <w:tabs>
        <w:tab w:val="num" w:pos="504"/>
        <w:tab w:val="left" w:pos="576"/>
      </w:tabs>
    </w:pPr>
    <w:rPr>
      <w:rFonts w:eastAsia="Times New Roman"/>
      <w:szCs w:val="24"/>
    </w:rPr>
  </w:style>
  <w:style w:type="paragraph" w:styleId="zGZ2" w:customStyle="1">
    <w:name w:val="zGZ2"/>
    <w:uiPriority w:val="1"/>
    <w:qFormat/>
    <w:rsid w:val="0034786E"/>
    <w:pPr>
      <w:tabs>
        <w:tab w:val="num" w:pos="576"/>
      </w:tabs>
      <w:ind w:left="288"/>
    </w:pPr>
    <w:rPr>
      <w:rFonts w:eastAsia="Times New Roman"/>
      <w:szCs w:val="24"/>
    </w:rPr>
  </w:style>
  <w:style w:type="paragraph" w:styleId="zGZ3" w:customStyle="1">
    <w:name w:val="zGZ3"/>
    <w:basedOn w:val="Normal"/>
    <w:uiPriority w:val="1"/>
    <w:qFormat/>
    <w:rsid w:val="0034786E"/>
    <w:pPr>
      <w:tabs>
        <w:tab w:val="num" w:pos="1080"/>
      </w:tabs>
      <w:spacing w:before="80" w:after="0"/>
      <w:ind w:left="1080" w:hanging="504"/>
    </w:pPr>
    <w:rPr>
      <w:rFonts w:eastAsia="Times New Roman"/>
      <w:szCs w:val="24"/>
    </w:rPr>
  </w:style>
  <w:style w:type="numbering" w:styleId="zGzListStyle1" w:customStyle="1">
    <w:name w:val="zGzListStyle1"/>
    <w:uiPriority w:val="99"/>
    <w:rsid w:val="00B16A10"/>
    <w:pPr>
      <w:numPr>
        <w:numId w:val="25"/>
      </w:numPr>
    </w:pPr>
  </w:style>
  <w:style w:type="numbering" w:styleId="zGzListStyle3" w:customStyle="1">
    <w:name w:val="zGzListStyle3"/>
    <w:uiPriority w:val="99"/>
    <w:rsid w:val="0034786E"/>
    <w:pPr>
      <w:numPr>
        <w:numId w:val="31"/>
      </w:numPr>
    </w:pPr>
  </w:style>
  <w:style w:type="character" w:styleId="EndnoteReference">
    <w:name w:val="endnote reference"/>
    <w:basedOn w:val="DefaultParagraphFont"/>
    <w:semiHidden/>
    <w:unhideWhenUsed/>
    <w:rsid w:val="00137E82"/>
    <w:rPr>
      <w:vertAlign w:val="superscript"/>
    </w:rPr>
  </w:style>
  <w:style w:type="paragraph" w:styleId="zGBody5" w:customStyle="1">
    <w:name w:val="zGBody 5"/>
    <w:basedOn w:val="Normal"/>
    <w:link w:val="zGBody5Char"/>
    <w:uiPriority w:val="2"/>
    <w:rsid w:val="0034786E"/>
    <w:pPr>
      <w:tabs>
        <w:tab w:val="num" w:pos="1368"/>
        <w:tab w:val="num" w:pos="2304"/>
      </w:tabs>
      <w:spacing w:before="0" w:after="0"/>
      <w:ind w:left="1872"/>
      <w:jc w:val="left"/>
    </w:pPr>
  </w:style>
  <w:style w:type="character" w:styleId="zGNormalChar" w:customStyle="1">
    <w:name w:val="zGNormal Char"/>
    <w:basedOn w:val="DefaultParagraphFont"/>
    <w:link w:val="zGNormal"/>
    <w:rsid w:val="0034786E"/>
    <w:rPr>
      <w:rFonts w:cs="Arial" w:eastAsiaTheme="minorEastAsia"/>
      <w:kern w:val="14"/>
    </w:rPr>
  </w:style>
  <w:style w:type="character" w:styleId="zGBody2Char" w:customStyle="1">
    <w:name w:val="zGBody 2 Char"/>
    <w:basedOn w:val="zGNormalChar"/>
    <w:link w:val="zGBody2"/>
    <w:uiPriority w:val="2"/>
    <w:rsid w:val="0034786E"/>
    <w:rPr>
      <w:rFonts w:ascii="Arial Bold" w:hAnsi="Arial Bold" w:cs="Arial" w:eastAsiaTheme="minorEastAsia"/>
      <w:b/>
      <w:kern w:val="14"/>
    </w:rPr>
  </w:style>
  <w:style w:type="paragraph" w:styleId="zGTitleExhibit" w:customStyle="1">
    <w:name w:val="zGTitleExhibit"/>
    <w:next w:val="zGTitle12"/>
    <w:uiPriority w:val="4"/>
    <w:qFormat/>
    <w:rsid w:val="0034786E"/>
    <w:pPr>
      <w:spacing w:before="0"/>
      <w:jc w:val="center"/>
      <w:outlineLvl w:val="0"/>
    </w:pPr>
    <w:rPr>
      <w:rFonts w:eastAsia="Times New Roman"/>
      <w:b/>
      <w:bCs/>
      <w:caps/>
      <w:kern w:val="32"/>
      <w:sz w:val="22"/>
      <w:szCs w:val="32"/>
      <w:u w:val="single"/>
    </w:rPr>
  </w:style>
  <w:style w:type="character" w:styleId="zGBody3Char" w:customStyle="1">
    <w:name w:val="zGBody 3 Char"/>
    <w:basedOn w:val="zGNormalChar"/>
    <w:link w:val="zGBody3"/>
    <w:uiPriority w:val="2"/>
    <w:rsid w:val="0034786E"/>
    <w:rPr>
      <w:rFonts w:cs="Arial" w:eastAsiaTheme="minorEastAsia"/>
      <w:kern w:val="14"/>
    </w:rPr>
  </w:style>
  <w:style w:type="paragraph" w:styleId="zGTitle36Calibri" w:customStyle="1">
    <w:name w:val="zGTitle 36 (Calibri)"/>
    <w:link w:val="zGTitle36CalibriChar"/>
    <w:uiPriority w:val="4"/>
    <w:rsid w:val="0034786E"/>
    <w:pPr>
      <w:widowControl w:val="0"/>
      <w:spacing w:before="0" w:after="360" w:line="259" w:lineRule="auto"/>
      <w:jc w:val="center"/>
    </w:pPr>
    <w:rPr>
      <w:rFonts w:ascii="Calibri" w:hAnsi="Calibri" w:eastAsia="Times New Roman" w:cstheme="minorHAnsi"/>
      <w:b/>
      <w:kern w:val="14"/>
      <w:sz w:val="72"/>
      <w:szCs w:val="72"/>
    </w:rPr>
  </w:style>
  <w:style w:type="character" w:styleId="zGTitle14Char" w:customStyle="1">
    <w:name w:val="zGTitle14 Char"/>
    <w:basedOn w:val="DefaultParagraphFont"/>
    <w:link w:val="zGTitle14"/>
    <w:uiPriority w:val="3"/>
    <w:rsid w:val="0034786E"/>
    <w:rPr>
      <w:rFonts w:eastAsia="Times New Roman"/>
      <w:b/>
      <w:spacing w:val="-6"/>
      <w:kern w:val="14"/>
      <w:sz w:val="28"/>
      <w:szCs w:val="24"/>
    </w:rPr>
  </w:style>
  <w:style w:type="character" w:styleId="zGEditorNote" w:customStyle="1">
    <w:name w:val="zGEditorNote"/>
    <w:uiPriority w:val="5"/>
    <w:rsid w:val="0034786E"/>
    <w:rPr>
      <w:rFonts w:ascii="Arial" w:hAnsi="Arial"/>
      <w:b/>
      <w:i/>
      <w:color w:val="FFFFFF"/>
      <w:spacing w:val="-4"/>
      <w:sz w:val="20"/>
      <w:shd w:val="clear" w:color="auto" w:fill="006600"/>
    </w:rPr>
  </w:style>
  <w:style w:type="paragraph" w:styleId="Quote">
    <w:name w:val="Quote"/>
    <w:basedOn w:val="Normal"/>
    <w:next w:val="Normal"/>
    <w:link w:val="QuoteChar"/>
    <w:uiPriority w:val="29"/>
    <w:qFormat/>
    <w:rsid w:val="007C2163"/>
    <w:rPr>
      <w:i/>
      <w:iCs/>
    </w:rPr>
  </w:style>
  <w:style w:type="paragraph" w:styleId="zGTableTxt10" w:customStyle="1">
    <w:name w:val="zGTableTxt10"/>
    <w:uiPriority w:val="7"/>
    <w:qFormat/>
    <w:rsid w:val="0034786E"/>
    <w:pPr>
      <w:widowControl w:val="0"/>
      <w:autoSpaceDE w:val="0"/>
      <w:autoSpaceDN w:val="0"/>
      <w:adjustRightInd w:val="0"/>
      <w:spacing w:before="0" w:after="0"/>
      <w:jc w:val="left"/>
    </w:pPr>
    <w:rPr>
      <w:rFonts w:cs="Arial" w:eastAsiaTheme="minorEastAsia"/>
      <w:spacing w:val="-6"/>
      <w:kern w:val="14"/>
    </w:rPr>
  </w:style>
  <w:style w:type="paragraph" w:styleId="zGTitle12" w:customStyle="1">
    <w:name w:val="zGTitle12"/>
    <w:uiPriority w:val="4"/>
    <w:rsid w:val="0034786E"/>
    <w:pPr>
      <w:spacing w:before="0"/>
      <w:jc w:val="center"/>
    </w:pPr>
    <w:rPr>
      <w:rFonts w:eastAsia="Times New Roman"/>
      <w:b/>
      <w:spacing w:val="-6"/>
      <w:kern w:val="14"/>
      <w:sz w:val="24"/>
      <w:szCs w:val="24"/>
    </w:rPr>
  </w:style>
  <w:style w:type="character" w:styleId="zGTC03Char" w:customStyle="1">
    <w:name w:val="zGTC03 Char"/>
    <w:basedOn w:val="zGNormalChar"/>
    <w:link w:val="zGTC03"/>
    <w:rsid w:val="00DC1A48"/>
    <w:rPr>
      <w:rFonts w:eastAsia="Times New Roman" w:cs="Arial"/>
      <w:kern w:val="14"/>
    </w:rPr>
  </w:style>
  <w:style w:type="character" w:styleId="zGTC04Char" w:customStyle="1">
    <w:name w:val="zGTC04 Char"/>
    <w:basedOn w:val="zGNormalChar"/>
    <w:link w:val="zGTC04"/>
    <w:rsid w:val="00CF352A"/>
    <w:rPr>
      <w:rFonts w:eastAsia="Times New Roman" w:cs="Arial"/>
      <w:kern w:val="14"/>
      <w:szCs w:val="24"/>
    </w:rPr>
  </w:style>
  <w:style w:type="character" w:styleId="zGTC05Char" w:customStyle="1">
    <w:name w:val="zGTC05 Char"/>
    <w:basedOn w:val="zGNormalChar"/>
    <w:link w:val="zGTC05"/>
    <w:uiPriority w:val="1"/>
    <w:rsid w:val="00CF352A"/>
    <w:rPr>
      <w:rFonts w:eastAsia="Times New Roman" w:cs="Arial"/>
      <w:kern w:val="14"/>
      <w:szCs w:val="24"/>
    </w:rPr>
  </w:style>
  <w:style w:type="character" w:styleId="zGBody4Char" w:customStyle="1">
    <w:name w:val="zGBody 4 Char"/>
    <w:basedOn w:val="DefaultParagraphFont"/>
    <w:link w:val="zGBody4"/>
    <w:uiPriority w:val="2"/>
    <w:rsid w:val="008F1999"/>
  </w:style>
  <w:style w:type="character" w:styleId="zGBody6Char" w:customStyle="1">
    <w:name w:val="zGBody 6 Char"/>
    <w:basedOn w:val="DefaultParagraphFont"/>
    <w:link w:val="zGBody6"/>
    <w:uiPriority w:val="2"/>
    <w:rsid w:val="008F1999"/>
  </w:style>
  <w:style w:type="character" w:styleId="TOC2Char" w:customStyle="1">
    <w:name w:val="TOC 2 Char"/>
    <w:aliases w:val="zgTOC 2 Char"/>
    <w:basedOn w:val="DefaultParagraphFont"/>
    <w:link w:val="TOC2"/>
    <w:uiPriority w:val="7"/>
    <w:rsid w:val="00C2097B"/>
    <w:rPr>
      <w:rFonts w:eastAsia="Times New Roman"/>
    </w:rPr>
  </w:style>
  <w:style w:type="paragraph" w:styleId="DocID" w:customStyle="1">
    <w:name w:val="DocID"/>
    <w:basedOn w:val="Normal"/>
    <w:rsid w:val="00C82038"/>
    <w:pPr>
      <w:spacing w:before="0" w:after="160" w:line="259" w:lineRule="auto"/>
      <w:jc w:val="right"/>
    </w:pPr>
    <w:rPr>
      <w:rFonts w:ascii="Times New Roman" w:hAnsi="Times New Roman" w:eastAsiaTheme="minorEastAsia" w:cstheme="minorBidi"/>
      <w:sz w:val="16"/>
      <w:szCs w:val="22"/>
      <w:lang w:eastAsia="zh-CN"/>
    </w:rPr>
  </w:style>
  <w:style w:type="paragraph" w:styleId="BodyText">
    <w:name w:val="Body Text"/>
    <w:basedOn w:val="Normal"/>
    <w:link w:val="BodyTextChar"/>
    <w:rsid w:val="00960870"/>
    <w:pPr>
      <w:widowControl w:val="0"/>
      <w:adjustRightInd w:val="0"/>
      <w:spacing w:before="0" w:line="360" w:lineRule="atLeast"/>
      <w:textAlignment w:val="baseline"/>
    </w:pPr>
    <w:rPr>
      <w:rFonts w:ascii="Times New Roman" w:hAnsi="Times New Roman" w:eastAsia="Times New Roman"/>
      <w:sz w:val="24"/>
    </w:rPr>
  </w:style>
  <w:style w:type="character" w:styleId="BodyTextChar" w:customStyle="1">
    <w:name w:val="Body Text Char"/>
    <w:basedOn w:val="DefaultParagraphFont"/>
    <w:link w:val="BodyText"/>
    <w:rsid w:val="00960870"/>
    <w:rPr>
      <w:rFonts w:ascii="Times New Roman" w:hAnsi="Times New Roman" w:eastAsia="Times New Roman"/>
      <w:sz w:val="24"/>
    </w:rPr>
  </w:style>
  <w:style w:type="character" w:styleId="a1" w:customStyle="1">
    <w:name w:val="a1"/>
    <w:basedOn w:val="DefaultParagraphFont"/>
    <w:rsid w:val="00960870"/>
    <w:rPr>
      <w:rFonts w:ascii="Courier New" w:hAnsi="Courier New"/>
      <w:noProof w:val="0"/>
      <w:sz w:val="24"/>
      <w:lang w:val="en-US"/>
    </w:rPr>
  </w:style>
  <w:style w:type="character" w:styleId="Heading" w:customStyle="1">
    <w:name w:val="Heading"/>
    <w:basedOn w:val="DefaultParagraphFont"/>
    <w:rsid w:val="00960870"/>
  </w:style>
  <w:style w:type="character" w:styleId="Bibliogrphy" w:customStyle="1">
    <w:name w:val="Bibliogrphy"/>
    <w:basedOn w:val="DefaultParagraphFont"/>
    <w:rsid w:val="00960870"/>
  </w:style>
  <w:style w:type="character" w:styleId="Subheading" w:customStyle="1">
    <w:name w:val="Subheading"/>
    <w:basedOn w:val="DefaultParagraphFont"/>
    <w:rsid w:val="00960870"/>
  </w:style>
  <w:style w:type="character" w:styleId="DefaultParagraphFo" w:customStyle="1">
    <w:name w:val="Default Paragraph Fo"/>
    <w:basedOn w:val="DefaultParagraphFont"/>
    <w:rsid w:val="00960870"/>
  </w:style>
  <w:style w:type="character" w:styleId="DefaultPara" w:customStyle="1">
    <w:name w:val="Default Para"/>
    <w:basedOn w:val="DefaultParagraphFont"/>
    <w:rsid w:val="00960870"/>
    <w:rPr>
      <w:rFonts w:ascii="Times New Roman" w:hAnsi="Times New Roman"/>
      <w:noProof w:val="0"/>
      <w:sz w:val="20"/>
      <w:lang w:val="en-US"/>
    </w:rPr>
  </w:style>
  <w:style w:type="paragraph" w:styleId="Index1">
    <w:name w:val="index 1"/>
    <w:basedOn w:val="Normal"/>
    <w:next w:val="Normal"/>
    <w:semiHidden/>
    <w:rsid w:val="00960870"/>
    <w:pPr>
      <w:widowControl w:val="0"/>
      <w:tabs>
        <w:tab w:val="right" w:leader="dot" w:pos="9360"/>
      </w:tabs>
      <w:suppressAutoHyphens/>
      <w:adjustRightInd w:val="0"/>
      <w:spacing w:before="0" w:after="0" w:line="360" w:lineRule="atLeast"/>
      <w:ind w:left="1440" w:right="720" w:hanging="1440"/>
      <w:textAlignment w:val="baseline"/>
    </w:pPr>
    <w:rPr>
      <w:rFonts w:ascii="Times New Roman" w:hAnsi="Times New Roman" w:eastAsia="Times New Roman"/>
      <w:sz w:val="24"/>
    </w:rPr>
  </w:style>
  <w:style w:type="paragraph" w:styleId="Index2">
    <w:name w:val="index 2"/>
    <w:basedOn w:val="Normal"/>
    <w:next w:val="Normal"/>
    <w:semiHidden/>
    <w:rsid w:val="00960870"/>
    <w:pPr>
      <w:widowControl w:val="0"/>
      <w:tabs>
        <w:tab w:val="right" w:leader="dot" w:pos="9360"/>
      </w:tabs>
      <w:suppressAutoHyphens/>
      <w:adjustRightInd w:val="0"/>
      <w:spacing w:before="0" w:after="0" w:line="360" w:lineRule="atLeast"/>
      <w:ind w:left="1440" w:right="720" w:hanging="720"/>
      <w:textAlignment w:val="baseline"/>
    </w:pPr>
    <w:rPr>
      <w:rFonts w:ascii="Times New Roman" w:hAnsi="Times New Roman" w:eastAsia="Times New Roman"/>
      <w:sz w:val="24"/>
    </w:rPr>
  </w:style>
  <w:style w:type="paragraph" w:styleId="Caption">
    <w:name w:val="caption"/>
    <w:basedOn w:val="Normal"/>
    <w:next w:val="Normal"/>
    <w:qFormat/>
    <w:rsid w:val="00960870"/>
    <w:pPr>
      <w:widowControl w:val="0"/>
      <w:adjustRightInd w:val="0"/>
      <w:spacing w:before="0" w:after="0" w:line="360" w:lineRule="atLeast"/>
      <w:textAlignment w:val="baseline"/>
    </w:pPr>
    <w:rPr>
      <w:rFonts w:ascii="Times New Roman" w:hAnsi="Times New Roman" w:eastAsia="Times New Roman"/>
      <w:sz w:val="24"/>
    </w:rPr>
  </w:style>
  <w:style w:type="character" w:styleId="EquationCaption" w:customStyle="1">
    <w:name w:val="_Equation Caption"/>
    <w:rsid w:val="00960870"/>
  </w:style>
  <w:style w:type="paragraph" w:styleId="BodyTextIndent2">
    <w:name w:val="Body Text Indent 2"/>
    <w:basedOn w:val="Normal"/>
    <w:link w:val="BodyTextIndent2Char"/>
    <w:rsid w:val="00960870"/>
    <w:pPr>
      <w:widowControl w:val="0"/>
      <w:adjustRightInd w:val="0"/>
      <w:spacing w:before="0" w:after="0" w:line="360" w:lineRule="atLeast"/>
      <w:ind w:left="2160"/>
      <w:textAlignment w:val="baseline"/>
    </w:pPr>
    <w:rPr>
      <w:rFonts w:ascii="Times New Roman" w:hAnsi="Times New Roman" w:eastAsia="Times New Roman"/>
    </w:rPr>
  </w:style>
  <w:style w:type="character" w:styleId="BodyTextIndent2Char" w:customStyle="1">
    <w:name w:val="Body Text Indent 2 Char"/>
    <w:basedOn w:val="DefaultParagraphFont"/>
    <w:link w:val="BodyTextIndent2"/>
    <w:rsid w:val="00960870"/>
    <w:rPr>
      <w:rFonts w:ascii="Times New Roman" w:hAnsi="Times New Roman" w:eastAsia="Times New Roman"/>
    </w:rPr>
  </w:style>
  <w:style w:type="paragraph" w:styleId="ArticleL2" w:customStyle="1">
    <w:name w:val="Article_L2"/>
    <w:basedOn w:val="Normal"/>
    <w:next w:val="BodyText"/>
    <w:link w:val="ArticleL2Char"/>
    <w:rsid w:val="005F7DD9"/>
    <w:pPr>
      <w:spacing w:before="0" w:after="240"/>
      <w:outlineLvl w:val="1"/>
    </w:pPr>
    <w:rPr>
      <w:rFonts w:ascii="Times New Roman" w:hAnsi="Times New Roman" w:eastAsia="Times New Roman"/>
    </w:rPr>
  </w:style>
  <w:style w:type="paragraph" w:styleId="BodyTextIndent3">
    <w:name w:val="Body Text Indent 3"/>
    <w:basedOn w:val="Normal"/>
    <w:link w:val="BodyTextIndent3Char"/>
    <w:rsid w:val="00960870"/>
    <w:pPr>
      <w:keepNext/>
      <w:keepLines/>
      <w:widowControl w:val="0"/>
      <w:tabs>
        <w:tab w:val="left" w:pos="-1440"/>
        <w:tab w:val="left" w:pos="-720"/>
        <w:tab w:val="left" w:pos="0"/>
        <w:tab w:val="left" w:pos="576"/>
        <w:tab w:val="left" w:pos="2160"/>
      </w:tabs>
      <w:suppressAutoHyphens/>
      <w:adjustRightInd w:val="0"/>
      <w:spacing w:before="0" w:after="0" w:line="360" w:lineRule="atLeast"/>
      <w:ind w:left="576" w:hanging="576"/>
      <w:textAlignment w:val="baseline"/>
    </w:pPr>
    <w:rPr>
      <w:rFonts w:ascii="Times New Roman" w:hAnsi="Times New Roman" w:eastAsia="Times New Roman"/>
      <w:sz w:val="24"/>
    </w:rPr>
  </w:style>
  <w:style w:type="paragraph" w:styleId="DocumentMap">
    <w:name w:val="Document Map"/>
    <w:basedOn w:val="Normal"/>
    <w:link w:val="DocumentMapChar"/>
    <w:semiHidden/>
    <w:rsid w:val="00960870"/>
    <w:pPr>
      <w:widowControl w:val="0"/>
      <w:shd w:val="clear" w:color="auto" w:fill="000080"/>
      <w:adjustRightInd w:val="0"/>
      <w:spacing w:before="0" w:after="0" w:line="360" w:lineRule="atLeast"/>
      <w:textAlignment w:val="baseline"/>
    </w:pPr>
    <w:rPr>
      <w:rFonts w:ascii="Tahoma" w:hAnsi="Tahoma" w:eastAsia="Times New Roman"/>
      <w:sz w:val="24"/>
    </w:rPr>
  </w:style>
  <w:style w:type="character" w:styleId="DocumentMapChar" w:customStyle="1">
    <w:name w:val="Document Map Char"/>
    <w:basedOn w:val="DefaultParagraphFont"/>
    <w:link w:val="DocumentMap"/>
    <w:semiHidden/>
    <w:rsid w:val="00960870"/>
    <w:rPr>
      <w:rFonts w:ascii="Tahoma" w:hAnsi="Tahoma" w:eastAsia="Times New Roman"/>
      <w:sz w:val="24"/>
      <w:shd w:val="clear" w:color="auto" w:fill="000080"/>
    </w:rPr>
  </w:style>
  <w:style w:type="character" w:styleId="FollowedHyperlink">
    <w:name w:val="FollowedHyperlink"/>
    <w:basedOn w:val="DefaultParagraphFont"/>
    <w:rsid w:val="00960870"/>
    <w:rPr>
      <w:color w:val="800080"/>
      <w:u w:val="single"/>
    </w:rPr>
  </w:style>
  <w:style w:type="paragraph" w:styleId="BalloonText">
    <w:name w:val="Balloon Text"/>
    <w:basedOn w:val="Normal"/>
    <w:link w:val="BalloonTextChar"/>
    <w:semiHidden/>
    <w:rsid w:val="00960870"/>
    <w:pPr>
      <w:widowControl w:val="0"/>
      <w:adjustRightInd w:val="0"/>
      <w:spacing w:before="0" w:after="0" w:line="360" w:lineRule="atLeast"/>
      <w:textAlignment w:val="baseline"/>
    </w:pPr>
    <w:rPr>
      <w:rFonts w:ascii="Tahoma" w:hAnsi="Tahoma" w:eastAsia="Times New Roman" w:cs="Tahoma"/>
      <w:sz w:val="16"/>
      <w:szCs w:val="16"/>
    </w:rPr>
  </w:style>
  <w:style w:type="paragraph" w:styleId="DeltaViewTableBody" w:customStyle="1">
    <w:name w:val="DeltaView Table Body"/>
    <w:basedOn w:val="Normal"/>
    <w:rsid w:val="00960870"/>
    <w:pPr>
      <w:autoSpaceDE w:val="0"/>
      <w:autoSpaceDN w:val="0"/>
      <w:adjustRightInd w:val="0"/>
      <w:spacing w:before="0" w:after="0" w:line="360" w:lineRule="atLeast"/>
      <w:textAlignment w:val="baseline"/>
    </w:pPr>
    <w:rPr>
      <w:rFonts w:eastAsia="Times New Roman" w:cs="Arial"/>
      <w:sz w:val="24"/>
      <w:szCs w:val="24"/>
    </w:rPr>
  </w:style>
  <w:style w:type="character" w:styleId="DeltaViewMoveDestination" w:customStyle="1">
    <w:name w:val="DeltaView Move Destination"/>
    <w:rsid w:val="00960870"/>
    <w:rPr>
      <w:color w:val="00C000"/>
      <w:spacing w:val="0"/>
      <w:u w:val="double"/>
    </w:rPr>
  </w:style>
  <w:style w:type="character" w:styleId="DeltaViewChangeNumber" w:customStyle="1">
    <w:name w:val="DeltaView Change Number"/>
    <w:rsid w:val="00960870"/>
    <w:rPr>
      <w:color w:val="000000"/>
      <w:spacing w:val="0"/>
      <w:vertAlign w:val="superscript"/>
    </w:rPr>
  </w:style>
  <w:style w:type="character" w:styleId="DeltaViewDelimiter" w:customStyle="1">
    <w:name w:val="DeltaView Delimiter"/>
    <w:rsid w:val="00960870"/>
    <w:rPr>
      <w:spacing w:val="0"/>
    </w:rPr>
  </w:style>
  <w:style w:type="character" w:styleId="DeltaViewFormatChange" w:customStyle="1">
    <w:name w:val="DeltaView Format Change"/>
    <w:rsid w:val="00960870"/>
    <w:rPr>
      <w:color w:val="000000"/>
      <w:spacing w:val="0"/>
    </w:rPr>
  </w:style>
  <w:style w:type="paragraph" w:styleId="5indent" w:customStyle="1">
    <w:name w:val=".5&quot; indent"/>
    <w:basedOn w:val="Normal"/>
    <w:rsid w:val="00960870"/>
    <w:pPr>
      <w:spacing w:before="0" w:after="240"/>
      <w:ind w:left="720"/>
    </w:pPr>
    <w:rPr>
      <w:rFonts w:ascii="Times New Roman" w:hAnsi="Times New Roman" w:eastAsia="Times New Roman"/>
      <w:sz w:val="24"/>
      <w:szCs w:val="24"/>
    </w:rPr>
  </w:style>
  <w:style w:type="character" w:styleId="Char" w:customStyle="1">
    <w:name w:val="Char"/>
    <w:basedOn w:val="DefaultParagraphFont"/>
    <w:rsid w:val="00960870"/>
    <w:rPr>
      <w:spacing w:val="0"/>
      <w:sz w:val="24"/>
      <w:szCs w:val="24"/>
      <w:lang w:val="en-US"/>
    </w:rPr>
  </w:style>
  <w:style w:type="character" w:styleId="CharChar" w:customStyle="1">
    <w:name w:val="Char Char"/>
    <w:basedOn w:val="DefaultParagraphFont"/>
    <w:rsid w:val="00960870"/>
    <w:rPr>
      <w:sz w:val="24"/>
      <w:lang w:val="en-US" w:eastAsia="en-US" w:bidi="ar-SA"/>
    </w:rPr>
  </w:style>
  <w:style w:type="character" w:styleId="Char1" w:customStyle="1">
    <w:name w:val="Char1"/>
    <w:basedOn w:val="DefaultParagraphFont"/>
    <w:rsid w:val="00960870"/>
    <w:rPr>
      <w:lang w:val="en-US" w:eastAsia="en-US" w:bidi="ar-SA"/>
    </w:rPr>
  </w:style>
  <w:style w:type="character" w:styleId="Char2" w:customStyle="1">
    <w:name w:val="Char2"/>
    <w:basedOn w:val="DefaultParagraphFont"/>
    <w:rsid w:val="00960870"/>
    <w:rPr>
      <w:sz w:val="24"/>
      <w:lang w:val="en-US" w:eastAsia="en-US" w:bidi="ar-SA"/>
    </w:rPr>
  </w:style>
  <w:style w:type="paragraph" w:styleId="HeadingPara2" w:customStyle="1">
    <w:name w:val="Heading Para 2"/>
    <w:basedOn w:val="Heading2"/>
    <w:next w:val="Normal"/>
    <w:rsid w:val="00960870"/>
    <w:pPr>
      <w:keepNext w:val="0"/>
      <w:widowControl w:val="0"/>
      <w:adjustRightInd w:val="0"/>
      <w:spacing w:before="0" w:after="0" w:line="480" w:lineRule="auto"/>
      <w:ind w:left="-720"/>
      <w:textAlignment w:val="baseline"/>
      <w:outlineLvl w:val="9"/>
    </w:pPr>
    <w:rPr>
      <w:rFonts w:ascii="Times New Roman" w:hAnsi="Times New Roman" w:eastAsia="Times New Roman"/>
      <w:b w:val="0"/>
      <w:snapToGrid w:val="0"/>
      <w:sz w:val="24"/>
    </w:rPr>
  </w:style>
  <w:style w:type="paragraph" w:styleId="Article5L1" w:customStyle="1">
    <w:name w:val="Article5_L1"/>
    <w:basedOn w:val="Normal"/>
    <w:next w:val="BodyText"/>
    <w:rsid w:val="00960870"/>
    <w:pPr>
      <w:keepNext/>
      <w:numPr>
        <w:numId w:val="8"/>
      </w:numPr>
      <w:spacing w:before="0" w:after="240"/>
      <w:ind w:left="720" w:hanging="360"/>
      <w:jc w:val="center"/>
      <w:outlineLvl w:val="0"/>
    </w:pPr>
    <w:rPr>
      <w:rFonts w:ascii="Times New Roman" w:hAnsi="Times New Roman" w:eastAsia="Times New Roman"/>
      <w:caps/>
      <w:sz w:val="24"/>
    </w:rPr>
  </w:style>
  <w:style w:type="paragraph" w:styleId="Article5L2" w:customStyle="1">
    <w:name w:val="Article5_L2"/>
    <w:basedOn w:val="Article5L1"/>
    <w:next w:val="BodyText"/>
    <w:rsid w:val="00960870"/>
    <w:pPr>
      <w:keepNext w:val="0"/>
      <w:numPr>
        <w:ilvl w:val="1"/>
      </w:numPr>
      <w:tabs>
        <w:tab w:val="clear" w:pos="1440"/>
      </w:tabs>
      <w:ind w:left="936" w:hanging="936"/>
      <w:jc w:val="both"/>
      <w:outlineLvl w:val="1"/>
    </w:pPr>
    <w:rPr>
      <w:caps w:val="0"/>
    </w:rPr>
  </w:style>
  <w:style w:type="paragraph" w:styleId="Article5L4" w:customStyle="1">
    <w:name w:val="Article5_L4"/>
    <w:basedOn w:val="Article5L3"/>
    <w:next w:val="BodyText"/>
    <w:rsid w:val="00960870"/>
    <w:pPr>
      <w:numPr>
        <w:ilvl w:val="3"/>
      </w:numPr>
      <w:tabs>
        <w:tab w:val="clear" w:pos="3168"/>
      </w:tabs>
      <w:ind w:left="2880" w:hanging="936"/>
      <w:outlineLvl w:val="3"/>
    </w:pPr>
  </w:style>
  <w:style w:type="paragraph" w:styleId="Article5L6" w:customStyle="1">
    <w:name w:val="Article5_L6"/>
    <w:basedOn w:val="Article5L5"/>
    <w:next w:val="BodyText"/>
    <w:rsid w:val="00960870"/>
    <w:pPr>
      <w:numPr>
        <w:ilvl w:val="5"/>
      </w:numPr>
      <w:tabs>
        <w:tab w:val="clear" w:pos="2160"/>
      </w:tabs>
      <w:ind w:left="4320" w:hanging="360"/>
      <w:jc w:val="both"/>
      <w:outlineLvl w:val="5"/>
    </w:pPr>
  </w:style>
  <w:style w:type="character" w:styleId="Mention">
    <w:name w:val="Mention"/>
    <w:basedOn w:val="DefaultParagraphFont"/>
    <w:uiPriority w:val="99"/>
    <w:unhideWhenUsed/>
    <w:rsid w:val="0014242D"/>
    <w:rPr>
      <w:color w:val="2B579A"/>
      <w:shd w:val="clear" w:color="auto" w:fill="E1DFDD"/>
    </w:rPr>
  </w:style>
  <w:style w:type="paragraph" w:styleId="Article5L7" w:customStyle="1">
    <w:name w:val="Article5_L7"/>
    <w:basedOn w:val="Article5L6"/>
    <w:next w:val="BodyText"/>
    <w:rsid w:val="00960870"/>
    <w:pPr>
      <w:numPr>
        <w:ilvl w:val="6"/>
      </w:numPr>
      <w:tabs>
        <w:tab w:val="clear" w:pos="2160"/>
      </w:tabs>
      <w:ind w:left="5040" w:hanging="360"/>
      <w:outlineLvl w:val="6"/>
    </w:pPr>
  </w:style>
  <w:style w:type="paragraph" w:styleId="Article5L8" w:customStyle="1">
    <w:name w:val="Article5_L8"/>
    <w:basedOn w:val="Article5L7"/>
    <w:next w:val="BodyText"/>
    <w:rsid w:val="00960870"/>
    <w:pPr>
      <w:numPr>
        <w:ilvl w:val="7"/>
      </w:numPr>
      <w:tabs>
        <w:tab w:val="clear" w:pos="6480"/>
      </w:tabs>
      <w:ind w:left="5760" w:hanging="360"/>
      <w:jc w:val="left"/>
      <w:outlineLvl w:val="7"/>
    </w:pPr>
  </w:style>
  <w:style w:type="table" w:styleId="TableGrid1" w:customStyle="1">
    <w:name w:val="Table Grid1"/>
    <w:basedOn w:val="TableNormal"/>
    <w:next w:val="TableGrid"/>
    <w:rsid w:val="00506657"/>
    <w:pPr>
      <w:spacing w:before="0" w:after="0"/>
      <w:jc w:val="left"/>
    </w:pPr>
    <w:rPr>
      <w:rFonts w:ascii="Times New Roman" w:hAnsi="Times New Roman" w:eastAsia="Times New Roman"/>
    </w:rPr>
    <w:tblPr/>
  </w:style>
  <w:style w:type="paragraph" w:styleId="paragraph" w:customStyle="1">
    <w:name w:val="paragraph"/>
    <w:basedOn w:val="Normal"/>
    <w:rsid w:val="000F2B61"/>
    <w:pPr>
      <w:spacing w:before="100" w:beforeAutospacing="1" w:after="100" w:afterAutospacing="1"/>
      <w:jc w:val="left"/>
    </w:pPr>
    <w:rPr>
      <w:rFonts w:ascii="Times New Roman" w:hAnsi="Times New Roman" w:eastAsia="Times New Roman"/>
      <w:sz w:val="24"/>
      <w:szCs w:val="24"/>
    </w:rPr>
  </w:style>
  <w:style w:type="character" w:styleId="Mention3" w:customStyle="1">
    <w:name w:val="Mention3"/>
    <w:basedOn w:val="DefaultParagraphFont"/>
    <w:uiPriority w:val="99"/>
    <w:unhideWhenUsed/>
    <w:rsid w:val="001A5DD4"/>
    <w:rPr>
      <w:color w:val="2B579A"/>
      <w:shd w:val="clear" w:color="auto" w:fill="E1DFDD"/>
    </w:rPr>
  </w:style>
  <w:style w:type="character" w:styleId="IntenseQuoteChar" w:customStyle="1">
    <w:name w:val="Intense Quote Char"/>
    <w:basedOn w:val="DefaultParagraphFont"/>
    <w:link w:val="IntenseQuote"/>
    <w:uiPriority w:val="30"/>
    <w:rsid w:val="007C2163"/>
    <w:rPr>
      <w:b/>
      <w:bCs/>
      <w:i/>
      <w:iCs/>
    </w:rPr>
  </w:style>
  <w:style w:type="character" w:styleId="QuoteChar" w:customStyle="1">
    <w:name w:val="Quote Char"/>
    <w:basedOn w:val="DefaultParagraphFont"/>
    <w:link w:val="Quote"/>
    <w:uiPriority w:val="29"/>
    <w:rsid w:val="007C2163"/>
    <w:rPr>
      <w:i/>
      <w:iCs/>
    </w:rPr>
  </w:style>
  <w:style w:type="character" w:styleId="Emphasis">
    <w:name w:val="Emphasis"/>
    <w:basedOn w:val="DefaultParagraphFont"/>
    <w:uiPriority w:val="20"/>
    <w:qFormat/>
    <w:rsid w:val="007C2163"/>
    <w:rPr>
      <w:i/>
      <w:iCs/>
    </w:rPr>
  </w:style>
  <w:style w:type="character" w:styleId="SubtleEmphasis">
    <w:name w:val="Subtle Emphasis"/>
    <w:basedOn w:val="DefaultParagraphFont"/>
    <w:uiPriority w:val="19"/>
    <w:qFormat/>
    <w:rsid w:val="007C2163"/>
    <w:rPr>
      <w:i/>
      <w:iCs/>
      <w:color w:val="auto"/>
    </w:rPr>
  </w:style>
  <w:style w:type="character" w:styleId="SubtleReference">
    <w:name w:val="Subtle Reference"/>
    <w:basedOn w:val="DefaultParagraphFont"/>
    <w:uiPriority w:val="31"/>
    <w:qFormat/>
    <w:rsid w:val="007C2163"/>
    <w:rPr>
      <w:smallCaps/>
      <w:color w:val="auto"/>
      <w:u w:val="single"/>
    </w:rPr>
  </w:style>
  <w:style w:type="character" w:styleId="IntenseReference">
    <w:name w:val="Intense Reference"/>
    <w:basedOn w:val="DefaultParagraphFont"/>
    <w:uiPriority w:val="32"/>
    <w:qFormat/>
    <w:rsid w:val="007C2163"/>
    <w:rPr>
      <w:b/>
      <w:bCs/>
      <w:smallCaps/>
      <w:color w:val="auto"/>
      <w:spacing w:val="5"/>
      <w:u w:val="single"/>
    </w:rPr>
  </w:style>
  <w:style w:type="paragraph" w:styleId="BlockText">
    <w:name w:val="Block Text"/>
    <w:basedOn w:val="Normal"/>
    <w:uiPriority w:val="99"/>
    <w:semiHidden/>
    <w:unhideWhenUsed/>
    <w:rsid w:val="007C2163"/>
    <w:pPr>
      <w:pBdr>
        <w:top w:val="single" w:color="auto" w:sz="2" w:space="10"/>
        <w:left w:val="single" w:color="auto" w:sz="2" w:space="10"/>
        <w:bottom w:val="single" w:color="auto" w:sz="2" w:space="10"/>
        <w:right w:val="single" w:color="auto" w:sz="2" w:space="10"/>
      </w:pBdr>
      <w:ind w:left="1152" w:right="1152"/>
    </w:pPr>
    <w:rPr>
      <w:rFonts w:eastAsiaTheme="minorEastAsia"/>
      <w:i/>
      <w:iCs/>
    </w:rPr>
  </w:style>
  <w:style w:type="character" w:styleId="UnresolvedMention">
    <w:name w:val="Unresolved Mention"/>
    <w:basedOn w:val="DefaultParagraphFont"/>
    <w:uiPriority w:val="99"/>
    <w:semiHidden/>
    <w:unhideWhenUsed/>
    <w:rsid w:val="00382385"/>
    <w:rPr>
      <w:color w:val="605E5C"/>
      <w:shd w:val="clear" w:color="auto" w:fill="E1DFDD"/>
    </w:rPr>
  </w:style>
  <w:style w:type="character" w:styleId="PlaceholderText">
    <w:name w:val="Placeholder Text"/>
    <w:basedOn w:val="DefaultParagraphFont"/>
    <w:uiPriority w:val="99"/>
    <w:semiHidden/>
    <w:rsid w:val="001448B2"/>
    <w:rPr>
      <w:color w:val="808080"/>
    </w:rPr>
  </w:style>
  <w:style w:type="numbering" w:styleId="Style2" w:customStyle="1">
    <w:name w:val="Style2"/>
    <w:uiPriority w:val="99"/>
    <w:rsid w:val="009C0A64"/>
    <w:pPr>
      <w:numPr>
        <w:numId w:val="18"/>
      </w:numPr>
    </w:pPr>
  </w:style>
  <w:style w:type="character" w:styleId="ui-provider" w:customStyle="1">
    <w:name w:val="ui-provider"/>
    <w:basedOn w:val="DefaultParagraphFont"/>
    <w:rsid w:val="006536CA"/>
  </w:style>
  <w:style w:type="character" w:styleId="Strong">
    <w:name w:val="Strong"/>
    <w:basedOn w:val="DefaultParagraphFont"/>
    <w:uiPriority w:val="22"/>
    <w:qFormat/>
    <w:rsid w:val="006536CA"/>
    <w:rPr>
      <w:b/>
      <w:bCs/>
    </w:rPr>
  </w:style>
  <w:style w:type="numbering" w:styleId="zGzListStyle21" w:customStyle="1">
    <w:name w:val="zGzListStyle21"/>
    <w:uiPriority w:val="99"/>
    <w:rsid w:val="005E512D"/>
  </w:style>
  <w:style w:type="paragraph" w:styleId="ListParagraph">
    <w:name w:val="List Paragraph"/>
    <w:basedOn w:val="Normal"/>
    <w:uiPriority w:val="34"/>
    <w:qFormat/>
    <w:rsid w:val="00F30D93"/>
    <w:pPr>
      <w:spacing w:before="0" w:after="160" w:line="259" w:lineRule="auto"/>
      <w:ind w:left="720"/>
      <w:contextualSpacing/>
      <w:jc w:val="left"/>
    </w:pPr>
    <w:rPr>
      <w:rFonts w:asciiTheme="minorHAnsi" w:hAnsiTheme="minorHAnsi" w:cstheme="minorBidi"/>
      <w:sz w:val="22"/>
      <w:szCs w:val="22"/>
    </w:rPr>
  </w:style>
  <w:style w:type="table" w:styleId="GridTable3">
    <w:name w:val="Grid Table 3"/>
    <w:basedOn w:val="TableNormal"/>
    <w:uiPriority w:val="48"/>
    <w:rsid w:val="001E200B"/>
    <w:pPr>
      <w:spacing w:before="0" w:after="0"/>
      <w:jc w:val="left"/>
    </w:pPr>
    <w:rPr>
      <w:rFonts w:asciiTheme="minorHAnsi" w:hAnsiTheme="minorHAnsi" w:cstheme="minorBidi"/>
      <w:sz w:val="22"/>
      <w:szCs w:val="22"/>
    </w:rPr>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color="666666" w:themeColor="text1" w:themeTint="99" w:sz="4" w:space="0"/>
        </w:tcBorders>
      </w:tcPr>
    </w:tblStylePr>
    <w:tblStylePr w:type="nwCell">
      <w:tblPr/>
      <w:tcPr>
        <w:tcBorders>
          <w:bottom w:val="single" w:color="666666" w:themeColor="text1" w:themeTint="99" w:sz="4" w:space="0"/>
        </w:tcBorders>
      </w:tcPr>
    </w:tblStylePr>
    <w:tblStylePr w:type="seCell">
      <w:tblPr/>
      <w:tcPr>
        <w:tcBorders>
          <w:top w:val="single" w:color="666666" w:themeColor="text1" w:themeTint="99" w:sz="4" w:space="0"/>
        </w:tcBorders>
      </w:tcPr>
    </w:tblStylePr>
    <w:tblStylePr w:type="swCell">
      <w:tblPr/>
      <w:tcPr>
        <w:tcBorders>
          <w:top w:val="single" w:color="666666" w:themeColor="text1" w:themeTint="99" w:sz="4" w:space="0"/>
        </w:tcBorders>
      </w:tcPr>
    </w:tblStylePr>
  </w:style>
  <w:style w:type="numbering" w:styleId="zGList" w:customStyle="1">
    <w:name w:val="zGList"/>
    <w:rsid w:val="00904E76"/>
    <w:pPr>
      <w:numPr>
        <w:numId w:val="23"/>
      </w:numPr>
    </w:pPr>
  </w:style>
  <w:style w:type="paragraph" w:styleId="zGTextHangingIndent10" w:customStyle="1">
    <w:name w:val="zGText Hanging Indent 1.0"/>
    <w:basedOn w:val="Normal"/>
    <w:uiPriority w:val="5"/>
    <w:unhideWhenUsed/>
    <w:rsid w:val="0034786E"/>
    <w:pPr>
      <w:spacing w:before="0" w:after="240"/>
      <w:ind w:left="2160" w:hanging="720"/>
    </w:pPr>
  </w:style>
  <w:style w:type="paragraph" w:styleId="zGTextHangingIndent15" w:customStyle="1">
    <w:name w:val="zGText Hanging Indent 1.5"/>
    <w:basedOn w:val="zGTextHangingIndent10"/>
    <w:uiPriority w:val="5"/>
    <w:unhideWhenUsed/>
    <w:rsid w:val="0034786E"/>
    <w:pPr>
      <w:ind w:left="2880"/>
    </w:pPr>
  </w:style>
  <w:style w:type="numbering" w:styleId="Style21" w:customStyle="1">
    <w:name w:val="Style21"/>
    <w:uiPriority w:val="99"/>
    <w:rsid w:val="00585878"/>
  </w:style>
  <w:style w:type="paragraph" w:styleId="NormalWeb">
    <w:name w:val="Normal (Web)"/>
    <w:basedOn w:val="Normal"/>
    <w:uiPriority w:val="99"/>
    <w:semiHidden/>
    <w:unhideWhenUsed/>
    <w:rsid w:val="00BB0F45"/>
    <w:rPr>
      <w:rFonts w:ascii="Times New Roman" w:hAnsi="Times New Roman"/>
      <w:sz w:val="24"/>
      <w:szCs w:val="24"/>
    </w:rPr>
  </w:style>
  <w:style w:type="paragraph" w:styleId="BodyText21" w:customStyle="1">
    <w:name w:val="BodyText2_1"/>
    <w:rsid w:val="00500844"/>
    <w:pPr>
      <w:widowControl w:val="0"/>
      <w:adjustRightInd w:val="0"/>
      <w:spacing w:before="0" w:after="0" w:line="360" w:lineRule="atLeast"/>
      <w:ind w:left="450" w:hanging="450"/>
      <w:textAlignment w:val="baseline"/>
    </w:pPr>
    <w:rPr>
      <w:rFonts w:ascii="Times New Roman" w:hAnsi="Times New Roman" w:eastAsia="Times New Roman"/>
    </w:rPr>
  </w:style>
  <w:style w:type="paragraph" w:styleId="zgtc020" w:customStyle="1">
    <w:name w:val="zgtc02"/>
    <w:basedOn w:val="Normal"/>
    <w:rsid w:val="00500844"/>
    <w:pPr>
      <w:spacing w:before="100" w:beforeAutospacing="1" w:after="100" w:afterAutospacing="1"/>
      <w:jc w:val="left"/>
    </w:pPr>
    <w:rPr>
      <w:rFonts w:ascii="Times New Roman" w:hAnsi="Times New Roman" w:eastAsia="Times New Roman"/>
      <w:sz w:val="24"/>
      <w:szCs w:val="24"/>
    </w:rPr>
  </w:style>
  <w:style w:type="character" w:styleId="zgeditornote0" w:customStyle="1">
    <w:name w:val="zgeditornote"/>
    <w:basedOn w:val="DefaultParagraphFont"/>
    <w:rsid w:val="00500844"/>
  </w:style>
  <w:style w:type="paragraph" w:styleId="articlel20" w:customStyle="1">
    <w:name w:val="articlel2"/>
    <w:basedOn w:val="Normal"/>
    <w:rsid w:val="00500844"/>
    <w:pPr>
      <w:spacing w:before="100" w:beforeAutospacing="1" w:after="100" w:afterAutospacing="1"/>
      <w:jc w:val="left"/>
    </w:pPr>
    <w:rPr>
      <w:rFonts w:ascii="Times New Roman" w:hAnsi="Times New Roman" w:eastAsia="Times New Roman"/>
      <w:sz w:val="24"/>
      <w:szCs w:val="24"/>
    </w:rPr>
  </w:style>
  <w:style w:type="paragraph" w:styleId="zgtc030" w:customStyle="1">
    <w:name w:val="zgtc03"/>
    <w:basedOn w:val="Normal"/>
    <w:rsid w:val="00500844"/>
    <w:pPr>
      <w:spacing w:before="100" w:beforeAutospacing="1" w:after="100" w:afterAutospacing="1"/>
      <w:jc w:val="left"/>
    </w:pPr>
    <w:rPr>
      <w:rFonts w:ascii="Times New Roman" w:hAnsi="Times New Roman"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712320">
      <w:bodyDiv w:val="1"/>
      <w:marLeft w:val="0"/>
      <w:marRight w:val="0"/>
      <w:marTop w:val="0"/>
      <w:marBottom w:val="0"/>
      <w:divBdr>
        <w:top w:val="none" w:sz="0" w:space="0" w:color="auto"/>
        <w:left w:val="none" w:sz="0" w:space="0" w:color="auto"/>
        <w:bottom w:val="none" w:sz="0" w:space="0" w:color="auto"/>
        <w:right w:val="none" w:sz="0" w:space="0" w:color="auto"/>
      </w:divBdr>
    </w:div>
    <w:div w:id="97726023">
      <w:bodyDiv w:val="1"/>
      <w:marLeft w:val="0"/>
      <w:marRight w:val="0"/>
      <w:marTop w:val="0"/>
      <w:marBottom w:val="0"/>
      <w:divBdr>
        <w:top w:val="none" w:sz="0" w:space="0" w:color="auto"/>
        <w:left w:val="none" w:sz="0" w:space="0" w:color="auto"/>
        <w:bottom w:val="none" w:sz="0" w:space="0" w:color="auto"/>
        <w:right w:val="none" w:sz="0" w:space="0" w:color="auto"/>
      </w:divBdr>
      <w:divsChild>
        <w:div w:id="91248222">
          <w:marLeft w:val="0"/>
          <w:marRight w:val="0"/>
          <w:marTop w:val="0"/>
          <w:marBottom w:val="0"/>
          <w:divBdr>
            <w:top w:val="none" w:sz="0" w:space="0" w:color="auto"/>
            <w:left w:val="none" w:sz="0" w:space="0" w:color="auto"/>
            <w:bottom w:val="none" w:sz="0" w:space="0" w:color="auto"/>
            <w:right w:val="none" w:sz="0" w:space="0" w:color="auto"/>
          </w:divBdr>
          <w:divsChild>
            <w:div w:id="1351184695">
              <w:marLeft w:val="0"/>
              <w:marRight w:val="0"/>
              <w:marTop w:val="0"/>
              <w:marBottom w:val="0"/>
              <w:divBdr>
                <w:top w:val="none" w:sz="0" w:space="0" w:color="auto"/>
                <w:left w:val="none" w:sz="0" w:space="0" w:color="auto"/>
                <w:bottom w:val="none" w:sz="0" w:space="0" w:color="auto"/>
                <w:right w:val="none" w:sz="0" w:space="0" w:color="auto"/>
              </w:divBdr>
            </w:div>
          </w:divsChild>
        </w:div>
        <w:div w:id="114640983">
          <w:marLeft w:val="0"/>
          <w:marRight w:val="0"/>
          <w:marTop w:val="0"/>
          <w:marBottom w:val="0"/>
          <w:divBdr>
            <w:top w:val="none" w:sz="0" w:space="0" w:color="auto"/>
            <w:left w:val="none" w:sz="0" w:space="0" w:color="auto"/>
            <w:bottom w:val="none" w:sz="0" w:space="0" w:color="auto"/>
            <w:right w:val="none" w:sz="0" w:space="0" w:color="auto"/>
          </w:divBdr>
          <w:divsChild>
            <w:div w:id="1687367650">
              <w:marLeft w:val="0"/>
              <w:marRight w:val="0"/>
              <w:marTop w:val="0"/>
              <w:marBottom w:val="0"/>
              <w:divBdr>
                <w:top w:val="none" w:sz="0" w:space="0" w:color="auto"/>
                <w:left w:val="none" w:sz="0" w:space="0" w:color="auto"/>
                <w:bottom w:val="none" w:sz="0" w:space="0" w:color="auto"/>
                <w:right w:val="none" w:sz="0" w:space="0" w:color="auto"/>
              </w:divBdr>
            </w:div>
          </w:divsChild>
        </w:div>
        <w:div w:id="231432180">
          <w:marLeft w:val="0"/>
          <w:marRight w:val="0"/>
          <w:marTop w:val="0"/>
          <w:marBottom w:val="0"/>
          <w:divBdr>
            <w:top w:val="none" w:sz="0" w:space="0" w:color="auto"/>
            <w:left w:val="none" w:sz="0" w:space="0" w:color="auto"/>
            <w:bottom w:val="none" w:sz="0" w:space="0" w:color="auto"/>
            <w:right w:val="none" w:sz="0" w:space="0" w:color="auto"/>
          </w:divBdr>
          <w:divsChild>
            <w:div w:id="1468621688">
              <w:marLeft w:val="0"/>
              <w:marRight w:val="0"/>
              <w:marTop w:val="0"/>
              <w:marBottom w:val="0"/>
              <w:divBdr>
                <w:top w:val="none" w:sz="0" w:space="0" w:color="auto"/>
                <w:left w:val="none" w:sz="0" w:space="0" w:color="auto"/>
                <w:bottom w:val="none" w:sz="0" w:space="0" w:color="auto"/>
                <w:right w:val="none" w:sz="0" w:space="0" w:color="auto"/>
              </w:divBdr>
            </w:div>
          </w:divsChild>
        </w:div>
        <w:div w:id="245068426">
          <w:marLeft w:val="0"/>
          <w:marRight w:val="0"/>
          <w:marTop w:val="0"/>
          <w:marBottom w:val="0"/>
          <w:divBdr>
            <w:top w:val="none" w:sz="0" w:space="0" w:color="auto"/>
            <w:left w:val="none" w:sz="0" w:space="0" w:color="auto"/>
            <w:bottom w:val="none" w:sz="0" w:space="0" w:color="auto"/>
            <w:right w:val="none" w:sz="0" w:space="0" w:color="auto"/>
          </w:divBdr>
          <w:divsChild>
            <w:div w:id="141311628">
              <w:marLeft w:val="0"/>
              <w:marRight w:val="0"/>
              <w:marTop w:val="0"/>
              <w:marBottom w:val="0"/>
              <w:divBdr>
                <w:top w:val="none" w:sz="0" w:space="0" w:color="auto"/>
                <w:left w:val="none" w:sz="0" w:space="0" w:color="auto"/>
                <w:bottom w:val="none" w:sz="0" w:space="0" w:color="auto"/>
                <w:right w:val="none" w:sz="0" w:space="0" w:color="auto"/>
              </w:divBdr>
            </w:div>
          </w:divsChild>
        </w:div>
        <w:div w:id="349376619">
          <w:marLeft w:val="0"/>
          <w:marRight w:val="0"/>
          <w:marTop w:val="0"/>
          <w:marBottom w:val="0"/>
          <w:divBdr>
            <w:top w:val="none" w:sz="0" w:space="0" w:color="auto"/>
            <w:left w:val="none" w:sz="0" w:space="0" w:color="auto"/>
            <w:bottom w:val="none" w:sz="0" w:space="0" w:color="auto"/>
            <w:right w:val="none" w:sz="0" w:space="0" w:color="auto"/>
          </w:divBdr>
          <w:divsChild>
            <w:div w:id="1653439027">
              <w:marLeft w:val="0"/>
              <w:marRight w:val="0"/>
              <w:marTop w:val="0"/>
              <w:marBottom w:val="0"/>
              <w:divBdr>
                <w:top w:val="none" w:sz="0" w:space="0" w:color="auto"/>
                <w:left w:val="none" w:sz="0" w:space="0" w:color="auto"/>
                <w:bottom w:val="none" w:sz="0" w:space="0" w:color="auto"/>
                <w:right w:val="none" w:sz="0" w:space="0" w:color="auto"/>
              </w:divBdr>
            </w:div>
          </w:divsChild>
        </w:div>
        <w:div w:id="362831683">
          <w:marLeft w:val="0"/>
          <w:marRight w:val="0"/>
          <w:marTop w:val="0"/>
          <w:marBottom w:val="0"/>
          <w:divBdr>
            <w:top w:val="none" w:sz="0" w:space="0" w:color="auto"/>
            <w:left w:val="none" w:sz="0" w:space="0" w:color="auto"/>
            <w:bottom w:val="none" w:sz="0" w:space="0" w:color="auto"/>
            <w:right w:val="none" w:sz="0" w:space="0" w:color="auto"/>
          </w:divBdr>
          <w:divsChild>
            <w:div w:id="1124541696">
              <w:marLeft w:val="0"/>
              <w:marRight w:val="0"/>
              <w:marTop w:val="0"/>
              <w:marBottom w:val="0"/>
              <w:divBdr>
                <w:top w:val="none" w:sz="0" w:space="0" w:color="auto"/>
                <w:left w:val="none" w:sz="0" w:space="0" w:color="auto"/>
                <w:bottom w:val="none" w:sz="0" w:space="0" w:color="auto"/>
                <w:right w:val="none" w:sz="0" w:space="0" w:color="auto"/>
              </w:divBdr>
            </w:div>
          </w:divsChild>
        </w:div>
        <w:div w:id="403532082">
          <w:marLeft w:val="0"/>
          <w:marRight w:val="0"/>
          <w:marTop w:val="0"/>
          <w:marBottom w:val="0"/>
          <w:divBdr>
            <w:top w:val="none" w:sz="0" w:space="0" w:color="auto"/>
            <w:left w:val="none" w:sz="0" w:space="0" w:color="auto"/>
            <w:bottom w:val="none" w:sz="0" w:space="0" w:color="auto"/>
            <w:right w:val="none" w:sz="0" w:space="0" w:color="auto"/>
          </w:divBdr>
          <w:divsChild>
            <w:div w:id="902789339">
              <w:marLeft w:val="0"/>
              <w:marRight w:val="0"/>
              <w:marTop w:val="0"/>
              <w:marBottom w:val="0"/>
              <w:divBdr>
                <w:top w:val="none" w:sz="0" w:space="0" w:color="auto"/>
                <w:left w:val="none" w:sz="0" w:space="0" w:color="auto"/>
                <w:bottom w:val="none" w:sz="0" w:space="0" w:color="auto"/>
                <w:right w:val="none" w:sz="0" w:space="0" w:color="auto"/>
              </w:divBdr>
            </w:div>
          </w:divsChild>
        </w:div>
        <w:div w:id="454762775">
          <w:marLeft w:val="0"/>
          <w:marRight w:val="0"/>
          <w:marTop w:val="0"/>
          <w:marBottom w:val="0"/>
          <w:divBdr>
            <w:top w:val="none" w:sz="0" w:space="0" w:color="auto"/>
            <w:left w:val="none" w:sz="0" w:space="0" w:color="auto"/>
            <w:bottom w:val="none" w:sz="0" w:space="0" w:color="auto"/>
            <w:right w:val="none" w:sz="0" w:space="0" w:color="auto"/>
          </w:divBdr>
          <w:divsChild>
            <w:div w:id="814562272">
              <w:marLeft w:val="0"/>
              <w:marRight w:val="0"/>
              <w:marTop w:val="0"/>
              <w:marBottom w:val="0"/>
              <w:divBdr>
                <w:top w:val="none" w:sz="0" w:space="0" w:color="auto"/>
                <w:left w:val="none" w:sz="0" w:space="0" w:color="auto"/>
                <w:bottom w:val="none" w:sz="0" w:space="0" w:color="auto"/>
                <w:right w:val="none" w:sz="0" w:space="0" w:color="auto"/>
              </w:divBdr>
            </w:div>
          </w:divsChild>
        </w:div>
        <w:div w:id="530263254">
          <w:marLeft w:val="0"/>
          <w:marRight w:val="0"/>
          <w:marTop w:val="0"/>
          <w:marBottom w:val="0"/>
          <w:divBdr>
            <w:top w:val="none" w:sz="0" w:space="0" w:color="auto"/>
            <w:left w:val="none" w:sz="0" w:space="0" w:color="auto"/>
            <w:bottom w:val="none" w:sz="0" w:space="0" w:color="auto"/>
            <w:right w:val="none" w:sz="0" w:space="0" w:color="auto"/>
          </w:divBdr>
          <w:divsChild>
            <w:div w:id="1967739764">
              <w:marLeft w:val="0"/>
              <w:marRight w:val="0"/>
              <w:marTop w:val="0"/>
              <w:marBottom w:val="0"/>
              <w:divBdr>
                <w:top w:val="none" w:sz="0" w:space="0" w:color="auto"/>
                <w:left w:val="none" w:sz="0" w:space="0" w:color="auto"/>
                <w:bottom w:val="none" w:sz="0" w:space="0" w:color="auto"/>
                <w:right w:val="none" w:sz="0" w:space="0" w:color="auto"/>
              </w:divBdr>
            </w:div>
          </w:divsChild>
        </w:div>
        <w:div w:id="538014826">
          <w:marLeft w:val="0"/>
          <w:marRight w:val="0"/>
          <w:marTop w:val="0"/>
          <w:marBottom w:val="0"/>
          <w:divBdr>
            <w:top w:val="none" w:sz="0" w:space="0" w:color="auto"/>
            <w:left w:val="none" w:sz="0" w:space="0" w:color="auto"/>
            <w:bottom w:val="none" w:sz="0" w:space="0" w:color="auto"/>
            <w:right w:val="none" w:sz="0" w:space="0" w:color="auto"/>
          </w:divBdr>
          <w:divsChild>
            <w:div w:id="1570458270">
              <w:marLeft w:val="0"/>
              <w:marRight w:val="0"/>
              <w:marTop w:val="0"/>
              <w:marBottom w:val="0"/>
              <w:divBdr>
                <w:top w:val="none" w:sz="0" w:space="0" w:color="auto"/>
                <w:left w:val="none" w:sz="0" w:space="0" w:color="auto"/>
                <w:bottom w:val="none" w:sz="0" w:space="0" w:color="auto"/>
                <w:right w:val="none" w:sz="0" w:space="0" w:color="auto"/>
              </w:divBdr>
            </w:div>
          </w:divsChild>
        </w:div>
        <w:div w:id="567038119">
          <w:marLeft w:val="0"/>
          <w:marRight w:val="0"/>
          <w:marTop w:val="0"/>
          <w:marBottom w:val="0"/>
          <w:divBdr>
            <w:top w:val="none" w:sz="0" w:space="0" w:color="auto"/>
            <w:left w:val="none" w:sz="0" w:space="0" w:color="auto"/>
            <w:bottom w:val="none" w:sz="0" w:space="0" w:color="auto"/>
            <w:right w:val="none" w:sz="0" w:space="0" w:color="auto"/>
          </w:divBdr>
          <w:divsChild>
            <w:div w:id="1873103244">
              <w:marLeft w:val="0"/>
              <w:marRight w:val="0"/>
              <w:marTop w:val="0"/>
              <w:marBottom w:val="0"/>
              <w:divBdr>
                <w:top w:val="none" w:sz="0" w:space="0" w:color="auto"/>
                <w:left w:val="none" w:sz="0" w:space="0" w:color="auto"/>
                <w:bottom w:val="none" w:sz="0" w:space="0" w:color="auto"/>
                <w:right w:val="none" w:sz="0" w:space="0" w:color="auto"/>
              </w:divBdr>
            </w:div>
          </w:divsChild>
        </w:div>
        <w:div w:id="624430633">
          <w:marLeft w:val="0"/>
          <w:marRight w:val="0"/>
          <w:marTop w:val="0"/>
          <w:marBottom w:val="0"/>
          <w:divBdr>
            <w:top w:val="none" w:sz="0" w:space="0" w:color="auto"/>
            <w:left w:val="none" w:sz="0" w:space="0" w:color="auto"/>
            <w:bottom w:val="none" w:sz="0" w:space="0" w:color="auto"/>
            <w:right w:val="none" w:sz="0" w:space="0" w:color="auto"/>
          </w:divBdr>
          <w:divsChild>
            <w:div w:id="977805595">
              <w:marLeft w:val="0"/>
              <w:marRight w:val="0"/>
              <w:marTop w:val="0"/>
              <w:marBottom w:val="0"/>
              <w:divBdr>
                <w:top w:val="none" w:sz="0" w:space="0" w:color="auto"/>
                <w:left w:val="none" w:sz="0" w:space="0" w:color="auto"/>
                <w:bottom w:val="none" w:sz="0" w:space="0" w:color="auto"/>
                <w:right w:val="none" w:sz="0" w:space="0" w:color="auto"/>
              </w:divBdr>
            </w:div>
          </w:divsChild>
        </w:div>
        <w:div w:id="723870759">
          <w:marLeft w:val="0"/>
          <w:marRight w:val="0"/>
          <w:marTop w:val="0"/>
          <w:marBottom w:val="0"/>
          <w:divBdr>
            <w:top w:val="none" w:sz="0" w:space="0" w:color="auto"/>
            <w:left w:val="none" w:sz="0" w:space="0" w:color="auto"/>
            <w:bottom w:val="none" w:sz="0" w:space="0" w:color="auto"/>
            <w:right w:val="none" w:sz="0" w:space="0" w:color="auto"/>
          </w:divBdr>
          <w:divsChild>
            <w:div w:id="1121613176">
              <w:marLeft w:val="0"/>
              <w:marRight w:val="0"/>
              <w:marTop w:val="0"/>
              <w:marBottom w:val="0"/>
              <w:divBdr>
                <w:top w:val="none" w:sz="0" w:space="0" w:color="auto"/>
                <w:left w:val="none" w:sz="0" w:space="0" w:color="auto"/>
                <w:bottom w:val="none" w:sz="0" w:space="0" w:color="auto"/>
                <w:right w:val="none" w:sz="0" w:space="0" w:color="auto"/>
              </w:divBdr>
            </w:div>
          </w:divsChild>
        </w:div>
        <w:div w:id="852838562">
          <w:marLeft w:val="0"/>
          <w:marRight w:val="0"/>
          <w:marTop w:val="0"/>
          <w:marBottom w:val="0"/>
          <w:divBdr>
            <w:top w:val="none" w:sz="0" w:space="0" w:color="auto"/>
            <w:left w:val="none" w:sz="0" w:space="0" w:color="auto"/>
            <w:bottom w:val="none" w:sz="0" w:space="0" w:color="auto"/>
            <w:right w:val="none" w:sz="0" w:space="0" w:color="auto"/>
          </w:divBdr>
          <w:divsChild>
            <w:div w:id="1541941495">
              <w:marLeft w:val="0"/>
              <w:marRight w:val="0"/>
              <w:marTop w:val="0"/>
              <w:marBottom w:val="0"/>
              <w:divBdr>
                <w:top w:val="none" w:sz="0" w:space="0" w:color="auto"/>
                <w:left w:val="none" w:sz="0" w:space="0" w:color="auto"/>
                <w:bottom w:val="none" w:sz="0" w:space="0" w:color="auto"/>
                <w:right w:val="none" w:sz="0" w:space="0" w:color="auto"/>
              </w:divBdr>
            </w:div>
          </w:divsChild>
        </w:div>
        <w:div w:id="932663538">
          <w:marLeft w:val="0"/>
          <w:marRight w:val="0"/>
          <w:marTop w:val="0"/>
          <w:marBottom w:val="0"/>
          <w:divBdr>
            <w:top w:val="none" w:sz="0" w:space="0" w:color="auto"/>
            <w:left w:val="none" w:sz="0" w:space="0" w:color="auto"/>
            <w:bottom w:val="none" w:sz="0" w:space="0" w:color="auto"/>
            <w:right w:val="none" w:sz="0" w:space="0" w:color="auto"/>
          </w:divBdr>
          <w:divsChild>
            <w:div w:id="864901748">
              <w:marLeft w:val="0"/>
              <w:marRight w:val="0"/>
              <w:marTop w:val="0"/>
              <w:marBottom w:val="0"/>
              <w:divBdr>
                <w:top w:val="none" w:sz="0" w:space="0" w:color="auto"/>
                <w:left w:val="none" w:sz="0" w:space="0" w:color="auto"/>
                <w:bottom w:val="none" w:sz="0" w:space="0" w:color="auto"/>
                <w:right w:val="none" w:sz="0" w:space="0" w:color="auto"/>
              </w:divBdr>
            </w:div>
          </w:divsChild>
        </w:div>
        <w:div w:id="938831772">
          <w:marLeft w:val="0"/>
          <w:marRight w:val="0"/>
          <w:marTop w:val="0"/>
          <w:marBottom w:val="0"/>
          <w:divBdr>
            <w:top w:val="none" w:sz="0" w:space="0" w:color="auto"/>
            <w:left w:val="none" w:sz="0" w:space="0" w:color="auto"/>
            <w:bottom w:val="none" w:sz="0" w:space="0" w:color="auto"/>
            <w:right w:val="none" w:sz="0" w:space="0" w:color="auto"/>
          </w:divBdr>
          <w:divsChild>
            <w:div w:id="198473477">
              <w:marLeft w:val="0"/>
              <w:marRight w:val="0"/>
              <w:marTop w:val="0"/>
              <w:marBottom w:val="0"/>
              <w:divBdr>
                <w:top w:val="none" w:sz="0" w:space="0" w:color="auto"/>
                <w:left w:val="none" w:sz="0" w:space="0" w:color="auto"/>
                <w:bottom w:val="none" w:sz="0" w:space="0" w:color="auto"/>
                <w:right w:val="none" w:sz="0" w:space="0" w:color="auto"/>
              </w:divBdr>
            </w:div>
          </w:divsChild>
        </w:div>
        <w:div w:id="985207144">
          <w:marLeft w:val="0"/>
          <w:marRight w:val="0"/>
          <w:marTop w:val="0"/>
          <w:marBottom w:val="0"/>
          <w:divBdr>
            <w:top w:val="none" w:sz="0" w:space="0" w:color="auto"/>
            <w:left w:val="none" w:sz="0" w:space="0" w:color="auto"/>
            <w:bottom w:val="none" w:sz="0" w:space="0" w:color="auto"/>
            <w:right w:val="none" w:sz="0" w:space="0" w:color="auto"/>
          </w:divBdr>
          <w:divsChild>
            <w:div w:id="543173159">
              <w:marLeft w:val="0"/>
              <w:marRight w:val="0"/>
              <w:marTop w:val="0"/>
              <w:marBottom w:val="0"/>
              <w:divBdr>
                <w:top w:val="none" w:sz="0" w:space="0" w:color="auto"/>
                <w:left w:val="none" w:sz="0" w:space="0" w:color="auto"/>
                <w:bottom w:val="none" w:sz="0" w:space="0" w:color="auto"/>
                <w:right w:val="none" w:sz="0" w:space="0" w:color="auto"/>
              </w:divBdr>
            </w:div>
          </w:divsChild>
        </w:div>
        <w:div w:id="1008675687">
          <w:marLeft w:val="0"/>
          <w:marRight w:val="0"/>
          <w:marTop w:val="0"/>
          <w:marBottom w:val="0"/>
          <w:divBdr>
            <w:top w:val="none" w:sz="0" w:space="0" w:color="auto"/>
            <w:left w:val="none" w:sz="0" w:space="0" w:color="auto"/>
            <w:bottom w:val="none" w:sz="0" w:space="0" w:color="auto"/>
            <w:right w:val="none" w:sz="0" w:space="0" w:color="auto"/>
          </w:divBdr>
          <w:divsChild>
            <w:div w:id="1430153862">
              <w:marLeft w:val="0"/>
              <w:marRight w:val="0"/>
              <w:marTop w:val="0"/>
              <w:marBottom w:val="0"/>
              <w:divBdr>
                <w:top w:val="none" w:sz="0" w:space="0" w:color="auto"/>
                <w:left w:val="none" w:sz="0" w:space="0" w:color="auto"/>
                <w:bottom w:val="none" w:sz="0" w:space="0" w:color="auto"/>
                <w:right w:val="none" w:sz="0" w:space="0" w:color="auto"/>
              </w:divBdr>
            </w:div>
          </w:divsChild>
        </w:div>
        <w:div w:id="1310549139">
          <w:marLeft w:val="0"/>
          <w:marRight w:val="0"/>
          <w:marTop w:val="0"/>
          <w:marBottom w:val="0"/>
          <w:divBdr>
            <w:top w:val="none" w:sz="0" w:space="0" w:color="auto"/>
            <w:left w:val="none" w:sz="0" w:space="0" w:color="auto"/>
            <w:bottom w:val="none" w:sz="0" w:space="0" w:color="auto"/>
            <w:right w:val="none" w:sz="0" w:space="0" w:color="auto"/>
          </w:divBdr>
          <w:divsChild>
            <w:div w:id="640305169">
              <w:marLeft w:val="0"/>
              <w:marRight w:val="0"/>
              <w:marTop w:val="0"/>
              <w:marBottom w:val="0"/>
              <w:divBdr>
                <w:top w:val="none" w:sz="0" w:space="0" w:color="auto"/>
                <w:left w:val="none" w:sz="0" w:space="0" w:color="auto"/>
                <w:bottom w:val="none" w:sz="0" w:space="0" w:color="auto"/>
                <w:right w:val="none" w:sz="0" w:space="0" w:color="auto"/>
              </w:divBdr>
            </w:div>
          </w:divsChild>
        </w:div>
        <w:div w:id="1336803490">
          <w:marLeft w:val="0"/>
          <w:marRight w:val="0"/>
          <w:marTop w:val="0"/>
          <w:marBottom w:val="0"/>
          <w:divBdr>
            <w:top w:val="none" w:sz="0" w:space="0" w:color="auto"/>
            <w:left w:val="none" w:sz="0" w:space="0" w:color="auto"/>
            <w:bottom w:val="none" w:sz="0" w:space="0" w:color="auto"/>
            <w:right w:val="none" w:sz="0" w:space="0" w:color="auto"/>
          </w:divBdr>
          <w:divsChild>
            <w:div w:id="497232911">
              <w:marLeft w:val="0"/>
              <w:marRight w:val="0"/>
              <w:marTop w:val="0"/>
              <w:marBottom w:val="0"/>
              <w:divBdr>
                <w:top w:val="none" w:sz="0" w:space="0" w:color="auto"/>
                <w:left w:val="none" w:sz="0" w:space="0" w:color="auto"/>
                <w:bottom w:val="none" w:sz="0" w:space="0" w:color="auto"/>
                <w:right w:val="none" w:sz="0" w:space="0" w:color="auto"/>
              </w:divBdr>
            </w:div>
          </w:divsChild>
        </w:div>
        <w:div w:id="1369337547">
          <w:marLeft w:val="0"/>
          <w:marRight w:val="0"/>
          <w:marTop w:val="0"/>
          <w:marBottom w:val="0"/>
          <w:divBdr>
            <w:top w:val="none" w:sz="0" w:space="0" w:color="auto"/>
            <w:left w:val="none" w:sz="0" w:space="0" w:color="auto"/>
            <w:bottom w:val="none" w:sz="0" w:space="0" w:color="auto"/>
            <w:right w:val="none" w:sz="0" w:space="0" w:color="auto"/>
          </w:divBdr>
          <w:divsChild>
            <w:div w:id="640117102">
              <w:marLeft w:val="0"/>
              <w:marRight w:val="0"/>
              <w:marTop w:val="0"/>
              <w:marBottom w:val="0"/>
              <w:divBdr>
                <w:top w:val="none" w:sz="0" w:space="0" w:color="auto"/>
                <w:left w:val="none" w:sz="0" w:space="0" w:color="auto"/>
                <w:bottom w:val="none" w:sz="0" w:space="0" w:color="auto"/>
                <w:right w:val="none" w:sz="0" w:space="0" w:color="auto"/>
              </w:divBdr>
            </w:div>
          </w:divsChild>
        </w:div>
        <w:div w:id="1377243941">
          <w:marLeft w:val="0"/>
          <w:marRight w:val="0"/>
          <w:marTop w:val="0"/>
          <w:marBottom w:val="0"/>
          <w:divBdr>
            <w:top w:val="none" w:sz="0" w:space="0" w:color="auto"/>
            <w:left w:val="none" w:sz="0" w:space="0" w:color="auto"/>
            <w:bottom w:val="none" w:sz="0" w:space="0" w:color="auto"/>
            <w:right w:val="none" w:sz="0" w:space="0" w:color="auto"/>
          </w:divBdr>
          <w:divsChild>
            <w:div w:id="1587305701">
              <w:marLeft w:val="0"/>
              <w:marRight w:val="0"/>
              <w:marTop w:val="0"/>
              <w:marBottom w:val="0"/>
              <w:divBdr>
                <w:top w:val="none" w:sz="0" w:space="0" w:color="auto"/>
                <w:left w:val="none" w:sz="0" w:space="0" w:color="auto"/>
                <w:bottom w:val="none" w:sz="0" w:space="0" w:color="auto"/>
                <w:right w:val="none" w:sz="0" w:space="0" w:color="auto"/>
              </w:divBdr>
            </w:div>
          </w:divsChild>
        </w:div>
        <w:div w:id="1476994345">
          <w:marLeft w:val="0"/>
          <w:marRight w:val="0"/>
          <w:marTop w:val="0"/>
          <w:marBottom w:val="0"/>
          <w:divBdr>
            <w:top w:val="none" w:sz="0" w:space="0" w:color="auto"/>
            <w:left w:val="none" w:sz="0" w:space="0" w:color="auto"/>
            <w:bottom w:val="none" w:sz="0" w:space="0" w:color="auto"/>
            <w:right w:val="none" w:sz="0" w:space="0" w:color="auto"/>
          </w:divBdr>
          <w:divsChild>
            <w:div w:id="2005475146">
              <w:marLeft w:val="0"/>
              <w:marRight w:val="0"/>
              <w:marTop w:val="0"/>
              <w:marBottom w:val="0"/>
              <w:divBdr>
                <w:top w:val="none" w:sz="0" w:space="0" w:color="auto"/>
                <w:left w:val="none" w:sz="0" w:space="0" w:color="auto"/>
                <w:bottom w:val="none" w:sz="0" w:space="0" w:color="auto"/>
                <w:right w:val="none" w:sz="0" w:space="0" w:color="auto"/>
              </w:divBdr>
            </w:div>
          </w:divsChild>
        </w:div>
        <w:div w:id="1535773080">
          <w:marLeft w:val="0"/>
          <w:marRight w:val="0"/>
          <w:marTop w:val="0"/>
          <w:marBottom w:val="0"/>
          <w:divBdr>
            <w:top w:val="none" w:sz="0" w:space="0" w:color="auto"/>
            <w:left w:val="none" w:sz="0" w:space="0" w:color="auto"/>
            <w:bottom w:val="none" w:sz="0" w:space="0" w:color="auto"/>
            <w:right w:val="none" w:sz="0" w:space="0" w:color="auto"/>
          </w:divBdr>
          <w:divsChild>
            <w:div w:id="1198736197">
              <w:marLeft w:val="0"/>
              <w:marRight w:val="0"/>
              <w:marTop w:val="0"/>
              <w:marBottom w:val="0"/>
              <w:divBdr>
                <w:top w:val="none" w:sz="0" w:space="0" w:color="auto"/>
                <w:left w:val="none" w:sz="0" w:space="0" w:color="auto"/>
                <w:bottom w:val="none" w:sz="0" w:space="0" w:color="auto"/>
                <w:right w:val="none" w:sz="0" w:space="0" w:color="auto"/>
              </w:divBdr>
            </w:div>
          </w:divsChild>
        </w:div>
        <w:div w:id="1596161867">
          <w:marLeft w:val="0"/>
          <w:marRight w:val="0"/>
          <w:marTop w:val="0"/>
          <w:marBottom w:val="0"/>
          <w:divBdr>
            <w:top w:val="none" w:sz="0" w:space="0" w:color="auto"/>
            <w:left w:val="none" w:sz="0" w:space="0" w:color="auto"/>
            <w:bottom w:val="none" w:sz="0" w:space="0" w:color="auto"/>
            <w:right w:val="none" w:sz="0" w:space="0" w:color="auto"/>
          </w:divBdr>
          <w:divsChild>
            <w:div w:id="221597544">
              <w:marLeft w:val="0"/>
              <w:marRight w:val="0"/>
              <w:marTop w:val="0"/>
              <w:marBottom w:val="0"/>
              <w:divBdr>
                <w:top w:val="none" w:sz="0" w:space="0" w:color="auto"/>
                <w:left w:val="none" w:sz="0" w:space="0" w:color="auto"/>
                <w:bottom w:val="none" w:sz="0" w:space="0" w:color="auto"/>
                <w:right w:val="none" w:sz="0" w:space="0" w:color="auto"/>
              </w:divBdr>
            </w:div>
          </w:divsChild>
        </w:div>
        <w:div w:id="1616868134">
          <w:marLeft w:val="0"/>
          <w:marRight w:val="0"/>
          <w:marTop w:val="0"/>
          <w:marBottom w:val="0"/>
          <w:divBdr>
            <w:top w:val="none" w:sz="0" w:space="0" w:color="auto"/>
            <w:left w:val="none" w:sz="0" w:space="0" w:color="auto"/>
            <w:bottom w:val="none" w:sz="0" w:space="0" w:color="auto"/>
            <w:right w:val="none" w:sz="0" w:space="0" w:color="auto"/>
          </w:divBdr>
          <w:divsChild>
            <w:div w:id="455754492">
              <w:marLeft w:val="0"/>
              <w:marRight w:val="0"/>
              <w:marTop w:val="0"/>
              <w:marBottom w:val="0"/>
              <w:divBdr>
                <w:top w:val="none" w:sz="0" w:space="0" w:color="auto"/>
                <w:left w:val="none" w:sz="0" w:space="0" w:color="auto"/>
                <w:bottom w:val="none" w:sz="0" w:space="0" w:color="auto"/>
                <w:right w:val="none" w:sz="0" w:space="0" w:color="auto"/>
              </w:divBdr>
            </w:div>
          </w:divsChild>
        </w:div>
        <w:div w:id="1637293813">
          <w:marLeft w:val="0"/>
          <w:marRight w:val="0"/>
          <w:marTop w:val="0"/>
          <w:marBottom w:val="0"/>
          <w:divBdr>
            <w:top w:val="none" w:sz="0" w:space="0" w:color="auto"/>
            <w:left w:val="none" w:sz="0" w:space="0" w:color="auto"/>
            <w:bottom w:val="none" w:sz="0" w:space="0" w:color="auto"/>
            <w:right w:val="none" w:sz="0" w:space="0" w:color="auto"/>
          </w:divBdr>
          <w:divsChild>
            <w:div w:id="579366562">
              <w:marLeft w:val="0"/>
              <w:marRight w:val="0"/>
              <w:marTop w:val="0"/>
              <w:marBottom w:val="0"/>
              <w:divBdr>
                <w:top w:val="none" w:sz="0" w:space="0" w:color="auto"/>
                <w:left w:val="none" w:sz="0" w:space="0" w:color="auto"/>
                <w:bottom w:val="none" w:sz="0" w:space="0" w:color="auto"/>
                <w:right w:val="none" w:sz="0" w:space="0" w:color="auto"/>
              </w:divBdr>
            </w:div>
          </w:divsChild>
        </w:div>
        <w:div w:id="1697389034">
          <w:marLeft w:val="0"/>
          <w:marRight w:val="0"/>
          <w:marTop w:val="0"/>
          <w:marBottom w:val="0"/>
          <w:divBdr>
            <w:top w:val="none" w:sz="0" w:space="0" w:color="auto"/>
            <w:left w:val="none" w:sz="0" w:space="0" w:color="auto"/>
            <w:bottom w:val="none" w:sz="0" w:space="0" w:color="auto"/>
            <w:right w:val="none" w:sz="0" w:space="0" w:color="auto"/>
          </w:divBdr>
          <w:divsChild>
            <w:div w:id="935871662">
              <w:marLeft w:val="0"/>
              <w:marRight w:val="0"/>
              <w:marTop w:val="0"/>
              <w:marBottom w:val="0"/>
              <w:divBdr>
                <w:top w:val="none" w:sz="0" w:space="0" w:color="auto"/>
                <w:left w:val="none" w:sz="0" w:space="0" w:color="auto"/>
                <w:bottom w:val="none" w:sz="0" w:space="0" w:color="auto"/>
                <w:right w:val="none" w:sz="0" w:space="0" w:color="auto"/>
              </w:divBdr>
            </w:div>
            <w:div w:id="1573393411">
              <w:marLeft w:val="0"/>
              <w:marRight w:val="0"/>
              <w:marTop w:val="0"/>
              <w:marBottom w:val="0"/>
              <w:divBdr>
                <w:top w:val="none" w:sz="0" w:space="0" w:color="auto"/>
                <w:left w:val="none" w:sz="0" w:space="0" w:color="auto"/>
                <w:bottom w:val="none" w:sz="0" w:space="0" w:color="auto"/>
                <w:right w:val="none" w:sz="0" w:space="0" w:color="auto"/>
              </w:divBdr>
            </w:div>
          </w:divsChild>
        </w:div>
        <w:div w:id="1760636396">
          <w:marLeft w:val="0"/>
          <w:marRight w:val="0"/>
          <w:marTop w:val="0"/>
          <w:marBottom w:val="0"/>
          <w:divBdr>
            <w:top w:val="none" w:sz="0" w:space="0" w:color="auto"/>
            <w:left w:val="none" w:sz="0" w:space="0" w:color="auto"/>
            <w:bottom w:val="none" w:sz="0" w:space="0" w:color="auto"/>
            <w:right w:val="none" w:sz="0" w:space="0" w:color="auto"/>
          </w:divBdr>
          <w:divsChild>
            <w:div w:id="1952124988">
              <w:marLeft w:val="0"/>
              <w:marRight w:val="0"/>
              <w:marTop w:val="0"/>
              <w:marBottom w:val="0"/>
              <w:divBdr>
                <w:top w:val="none" w:sz="0" w:space="0" w:color="auto"/>
                <w:left w:val="none" w:sz="0" w:space="0" w:color="auto"/>
                <w:bottom w:val="none" w:sz="0" w:space="0" w:color="auto"/>
                <w:right w:val="none" w:sz="0" w:space="0" w:color="auto"/>
              </w:divBdr>
            </w:div>
          </w:divsChild>
        </w:div>
        <w:div w:id="1927690735">
          <w:marLeft w:val="0"/>
          <w:marRight w:val="0"/>
          <w:marTop w:val="0"/>
          <w:marBottom w:val="0"/>
          <w:divBdr>
            <w:top w:val="none" w:sz="0" w:space="0" w:color="auto"/>
            <w:left w:val="none" w:sz="0" w:space="0" w:color="auto"/>
            <w:bottom w:val="none" w:sz="0" w:space="0" w:color="auto"/>
            <w:right w:val="none" w:sz="0" w:space="0" w:color="auto"/>
          </w:divBdr>
          <w:divsChild>
            <w:div w:id="1954171692">
              <w:marLeft w:val="0"/>
              <w:marRight w:val="0"/>
              <w:marTop w:val="0"/>
              <w:marBottom w:val="0"/>
              <w:divBdr>
                <w:top w:val="none" w:sz="0" w:space="0" w:color="auto"/>
                <w:left w:val="none" w:sz="0" w:space="0" w:color="auto"/>
                <w:bottom w:val="none" w:sz="0" w:space="0" w:color="auto"/>
                <w:right w:val="none" w:sz="0" w:space="0" w:color="auto"/>
              </w:divBdr>
            </w:div>
          </w:divsChild>
        </w:div>
        <w:div w:id="1943999076">
          <w:marLeft w:val="0"/>
          <w:marRight w:val="0"/>
          <w:marTop w:val="0"/>
          <w:marBottom w:val="0"/>
          <w:divBdr>
            <w:top w:val="none" w:sz="0" w:space="0" w:color="auto"/>
            <w:left w:val="none" w:sz="0" w:space="0" w:color="auto"/>
            <w:bottom w:val="none" w:sz="0" w:space="0" w:color="auto"/>
            <w:right w:val="none" w:sz="0" w:space="0" w:color="auto"/>
          </w:divBdr>
          <w:divsChild>
            <w:div w:id="369114159">
              <w:marLeft w:val="0"/>
              <w:marRight w:val="0"/>
              <w:marTop w:val="0"/>
              <w:marBottom w:val="0"/>
              <w:divBdr>
                <w:top w:val="none" w:sz="0" w:space="0" w:color="auto"/>
                <w:left w:val="none" w:sz="0" w:space="0" w:color="auto"/>
                <w:bottom w:val="none" w:sz="0" w:space="0" w:color="auto"/>
                <w:right w:val="none" w:sz="0" w:space="0" w:color="auto"/>
              </w:divBdr>
            </w:div>
          </w:divsChild>
        </w:div>
        <w:div w:id="1950160070">
          <w:marLeft w:val="0"/>
          <w:marRight w:val="0"/>
          <w:marTop w:val="0"/>
          <w:marBottom w:val="0"/>
          <w:divBdr>
            <w:top w:val="none" w:sz="0" w:space="0" w:color="auto"/>
            <w:left w:val="none" w:sz="0" w:space="0" w:color="auto"/>
            <w:bottom w:val="none" w:sz="0" w:space="0" w:color="auto"/>
            <w:right w:val="none" w:sz="0" w:space="0" w:color="auto"/>
          </w:divBdr>
          <w:divsChild>
            <w:div w:id="1477838348">
              <w:marLeft w:val="0"/>
              <w:marRight w:val="0"/>
              <w:marTop w:val="0"/>
              <w:marBottom w:val="0"/>
              <w:divBdr>
                <w:top w:val="none" w:sz="0" w:space="0" w:color="auto"/>
                <w:left w:val="none" w:sz="0" w:space="0" w:color="auto"/>
                <w:bottom w:val="none" w:sz="0" w:space="0" w:color="auto"/>
                <w:right w:val="none" w:sz="0" w:space="0" w:color="auto"/>
              </w:divBdr>
            </w:div>
          </w:divsChild>
        </w:div>
        <w:div w:id="1998223955">
          <w:marLeft w:val="0"/>
          <w:marRight w:val="0"/>
          <w:marTop w:val="0"/>
          <w:marBottom w:val="0"/>
          <w:divBdr>
            <w:top w:val="none" w:sz="0" w:space="0" w:color="auto"/>
            <w:left w:val="none" w:sz="0" w:space="0" w:color="auto"/>
            <w:bottom w:val="none" w:sz="0" w:space="0" w:color="auto"/>
            <w:right w:val="none" w:sz="0" w:space="0" w:color="auto"/>
          </w:divBdr>
          <w:divsChild>
            <w:div w:id="877933701">
              <w:marLeft w:val="0"/>
              <w:marRight w:val="0"/>
              <w:marTop w:val="0"/>
              <w:marBottom w:val="0"/>
              <w:divBdr>
                <w:top w:val="none" w:sz="0" w:space="0" w:color="auto"/>
                <w:left w:val="none" w:sz="0" w:space="0" w:color="auto"/>
                <w:bottom w:val="none" w:sz="0" w:space="0" w:color="auto"/>
                <w:right w:val="none" w:sz="0" w:space="0" w:color="auto"/>
              </w:divBdr>
            </w:div>
          </w:divsChild>
        </w:div>
        <w:div w:id="2002733154">
          <w:marLeft w:val="0"/>
          <w:marRight w:val="0"/>
          <w:marTop w:val="0"/>
          <w:marBottom w:val="0"/>
          <w:divBdr>
            <w:top w:val="none" w:sz="0" w:space="0" w:color="auto"/>
            <w:left w:val="none" w:sz="0" w:space="0" w:color="auto"/>
            <w:bottom w:val="none" w:sz="0" w:space="0" w:color="auto"/>
            <w:right w:val="none" w:sz="0" w:space="0" w:color="auto"/>
          </w:divBdr>
          <w:divsChild>
            <w:div w:id="297030765">
              <w:marLeft w:val="0"/>
              <w:marRight w:val="0"/>
              <w:marTop w:val="0"/>
              <w:marBottom w:val="0"/>
              <w:divBdr>
                <w:top w:val="none" w:sz="0" w:space="0" w:color="auto"/>
                <w:left w:val="none" w:sz="0" w:space="0" w:color="auto"/>
                <w:bottom w:val="none" w:sz="0" w:space="0" w:color="auto"/>
                <w:right w:val="none" w:sz="0" w:space="0" w:color="auto"/>
              </w:divBdr>
            </w:div>
          </w:divsChild>
        </w:div>
        <w:div w:id="2030138608">
          <w:marLeft w:val="0"/>
          <w:marRight w:val="0"/>
          <w:marTop w:val="0"/>
          <w:marBottom w:val="0"/>
          <w:divBdr>
            <w:top w:val="none" w:sz="0" w:space="0" w:color="auto"/>
            <w:left w:val="none" w:sz="0" w:space="0" w:color="auto"/>
            <w:bottom w:val="none" w:sz="0" w:space="0" w:color="auto"/>
            <w:right w:val="none" w:sz="0" w:space="0" w:color="auto"/>
          </w:divBdr>
          <w:divsChild>
            <w:div w:id="1057584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9848">
      <w:bodyDiv w:val="1"/>
      <w:marLeft w:val="0"/>
      <w:marRight w:val="0"/>
      <w:marTop w:val="0"/>
      <w:marBottom w:val="0"/>
      <w:divBdr>
        <w:top w:val="none" w:sz="0" w:space="0" w:color="auto"/>
        <w:left w:val="none" w:sz="0" w:space="0" w:color="auto"/>
        <w:bottom w:val="none" w:sz="0" w:space="0" w:color="auto"/>
        <w:right w:val="none" w:sz="0" w:space="0" w:color="auto"/>
      </w:divBdr>
      <w:divsChild>
        <w:div w:id="49502685">
          <w:marLeft w:val="0"/>
          <w:marRight w:val="0"/>
          <w:marTop w:val="0"/>
          <w:marBottom w:val="0"/>
          <w:divBdr>
            <w:top w:val="none" w:sz="0" w:space="0" w:color="auto"/>
            <w:left w:val="none" w:sz="0" w:space="0" w:color="auto"/>
            <w:bottom w:val="none" w:sz="0" w:space="0" w:color="auto"/>
            <w:right w:val="none" w:sz="0" w:space="0" w:color="auto"/>
          </w:divBdr>
          <w:divsChild>
            <w:div w:id="1358240226">
              <w:marLeft w:val="0"/>
              <w:marRight w:val="0"/>
              <w:marTop w:val="0"/>
              <w:marBottom w:val="0"/>
              <w:divBdr>
                <w:top w:val="none" w:sz="0" w:space="0" w:color="auto"/>
                <w:left w:val="none" w:sz="0" w:space="0" w:color="auto"/>
                <w:bottom w:val="none" w:sz="0" w:space="0" w:color="auto"/>
                <w:right w:val="none" w:sz="0" w:space="0" w:color="auto"/>
              </w:divBdr>
            </w:div>
          </w:divsChild>
        </w:div>
        <w:div w:id="98064679">
          <w:marLeft w:val="0"/>
          <w:marRight w:val="0"/>
          <w:marTop w:val="0"/>
          <w:marBottom w:val="0"/>
          <w:divBdr>
            <w:top w:val="none" w:sz="0" w:space="0" w:color="auto"/>
            <w:left w:val="none" w:sz="0" w:space="0" w:color="auto"/>
            <w:bottom w:val="none" w:sz="0" w:space="0" w:color="auto"/>
            <w:right w:val="none" w:sz="0" w:space="0" w:color="auto"/>
          </w:divBdr>
          <w:divsChild>
            <w:div w:id="551885823">
              <w:marLeft w:val="0"/>
              <w:marRight w:val="0"/>
              <w:marTop w:val="0"/>
              <w:marBottom w:val="0"/>
              <w:divBdr>
                <w:top w:val="none" w:sz="0" w:space="0" w:color="auto"/>
                <w:left w:val="none" w:sz="0" w:space="0" w:color="auto"/>
                <w:bottom w:val="none" w:sz="0" w:space="0" w:color="auto"/>
                <w:right w:val="none" w:sz="0" w:space="0" w:color="auto"/>
              </w:divBdr>
            </w:div>
          </w:divsChild>
        </w:div>
        <w:div w:id="380060209">
          <w:marLeft w:val="0"/>
          <w:marRight w:val="0"/>
          <w:marTop w:val="0"/>
          <w:marBottom w:val="0"/>
          <w:divBdr>
            <w:top w:val="none" w:sz="0" w:space="0" w:color="auto"/>
            <w:left w:val="none" w:sz="0" w:space="0" w:color="auto"/>
            <w:bottom w:val="none" w:sz="0" w:space="0" w:color="auto"/>
            <w:right w:val="none" w:sz="0" w:space="0" w:color="auto"/>
          </w:divBdr>
          <w:divsChild>
            <w:div w:id="710761122">
              <w:marLeft w:val="0"/>
              <w:marRight w:val="0"/>
              <w:marTop w:val="0"/>
              <w:marBottom w:val="0"/>
              <w:divBdr>
                <w:top w:val="none" w:sz="0" w:space="0" w:color="auto"/>
                <w:left w:val="none" w:sz="0" w:space="0" w:color="auto"/>
                <w:bottom w:val="none" w:sz="0" w:space="0" w:color="auto"/>
                <w:right w:val="none" w:sz="0" w:space="0" w:color="auto"/>
              </w:divBdr>
            </w:div>
          </w:divsChild>
        </w:div>
        <w:div w:id="410397232">
          <w:marLeft w:val="0"/>
          <w:marRight w:val="0"/>
          <w:marTop w:val="0"/>
          <w:marBottom w:val="0"/>
          <w:divBdr>
            <w:top w:val="none" w:sz="0" w:space="0" w:color="auto"/>
            <w:left w:val="none" w:sz="0" w:space="0" w:color="auto"/>
            <w:bottom w:val="none" w:sz="0" w:space="0" w:color="auto"/>
            <w:right w:val="none" w:sz="0" w:space="0" w:color="auto"/>
          </w:divBdr>
          <w:divsChild>
            <w:div w:id="824321764">
              <w:marLeft w:val="0"/>
              <w:marRight w:val="0"/>
              <w:marTop w:val="0"/>
              <w:marBottom w:val="0"/>
              <w:divBdr>
                <w:top w:val="none" w:sz="0" w:space="0" w:color="auto"/>
                <w:left w:val="none" w:sz="0" w:space="0" w:color="auto"/>
                <w:bottom w:val="none" w:sz="0" w:space="0" w:color="auto"/>
                <w:right w:val="none" w:sz="0" w:space="0" w:color="auto"/>
              </w:divBdr>
            </w:div>
          </w:divsChild>
        </w:div>
        <w:div w:id="510295634">
          <w:marLeft w:val="0"/>
          <w:marRight w:val="0"/>
          <w:marTop w:val="0"/>
          <w:marBottom w:val="0"/>
          <w:divBdr>
            <w:top w:val="none" w:sz="0" w:space="0" w:color="auto"/>
            <w:left w:val="none" w:sz="0" w:space="0" w:color="auto"/>
            <w:bottom w:val="none" w:sz="0" w:space="0" w:color="auto"/>
            <w:right w:val="none" w:sz="0" w:space="0" w:color="auto"/>
          </w:divBdr>
          <w:divsChild>
            <w:div w:id="107745078">
              <w:marLeft w:val="0"/>
              <w:marRight w:val="0"/>
              <w:marTop w:val="0"/>
              <w:marBottom w:val="0"/>
              <w:divBdr>
                <w:top w:val="none" w:sz="0" w:space="0" w:color="auto"/>
                <w:left w:val="none" w:sz="0" w:space="0" w:color="auto"/>
                <w:bottom w:val="none" w:sz="0" w:space="0" w:color="auto"/>
                <w:right w:val="none" w:sz="0" w:space="0" w:color="auto"/>
              </w:divBdr>
            </w:div>
          </w:divsChild>
        </w:div>
        <w:div w:id="554776938">
          <w:marLeft w:val="0"/>
          <w:marRight w:val="0"/>
          <w:marTop w:val="0"/>
          <w:marBottom w:val="0"/>
          <w:divBdr>
            <w:top w:val="none" w:sz="0" w:space="0" w:color="auto"/>
            <w:left w:val="none" w:sz="0" w:space="0" w:color="auto"/>
            <w:bottom w:val="none" w:sz="0" w:space="0" w:color="auto"/>
            <w:right w:val="none" w:sz="0" w:space="0" w:color="auto"/>
          </w:divBdr>
          <w:divsChild>
            <w:div w:id="1644961635">
              <w:marLeft w:val="0"/>
              <w:marRight w:val="0"/>
              <w:marTop w:val="0"/>
              <w:marBottom w:val="0"/>
              <w:divBdr>
                <w:top w:val="none" w:sz="0" w:space="0" w:color="auto"/>
                <w:left w:val="none" w:sz="0" w:space="0" w:color="auto"/>
                <w:bottom w:val="none" w:sz="0" w:space="0" w:color="auto"/>
                <w:right w:val="none" w:sz="0" w:space="0" w:color="auto"/>
              </w:divBdr>
            </w:div>
          </w:divsChild>
        </w:div>
        <w:div w:id="727075529">
          <w:marLeft w:val="0"/>
          <w:marRight w:val="0"/>
          <w:marTop w:val="0"/>
          <w:marBottom w:val="0"/>
          <w:divBdr>
            <w:top w:val="none" w:sz="0" w:space="0" w:color="auto"/>
            <w:left w:val="none" w:sz="0" w:space="0" w:color="auto"/>
            <w:bottom w:val="none" w:sz="0" w:space="0" w:color="auto"/>
            <w:right w:val="none" w:sz="0" w:space="0" w:color="auto"/>
          </w:divBdr>
          <w:divsChild>
            <w:div w:id="52628686">
              <w:marLeft w:val="0"/>
              <w:marRight w:val="0"/>
              <w:marTop w:val="0"/>
              <w:marBottom w:val="0"/>
              <w:divBdr>
                <w:top w:val="none" w:sz="0" w:space="0" w:color="auto"/>
                <w:left w:val="none" w:sz="0" w:space="0" w:color="auto"/>
                <w:bottom w:val="none" w:sz="0" w:space="0" w:color="auto"/>
                <w:right w:val="none" w:sz="0" w:space="0" w:color="auto"/>
              </w:divBdr>
            </w:div>
            <w:div w:id="1049912712">
              <w:marLeft w:val="0"/>
              <w:marRight w:val="0"/>
              <w:marTop w:val="0"/>
              <w:marBottom w:val="0"/>
              <w:divBdr>
                <w:top w:val="none" w:sz="0" w:space="0" w:color="auto"/>
                <w:left w:val="none" w:sz="0" w:space="0" w:color="auto"/>
                <w:bottom w:val="none" w:sz="0" w:space="0" w:color="auto"/>
                <w:right w:val="none" w:sz="0" w:space="0" w:color="auto"/>
              </w:divBdr>
            </w:div>
          </w:divsChild>
        </w:div>
        <w:div w:id="826628084">
          <w:marLeft w:val="0"/>
          <w:marRight w:val="0"/>
          <w:marTop w:val="0"/>
          <w:marBottom w:val="0"/>
          <w:divBdr>
            <w:top w:val="none" w:sz="0" w:space="0" w:color="auto"/>
            <w:left w:val="none" w:sz="0" w:space="0" w:color="auto"/>
            <w:bottom w:val="none" w:sz="0" w:space="0" w:color="auto"/>
            <w:right w:val="none" w:sz="0" w:space="0" w:color="auto"/>
          </w:divBdr>
          <w:divsChild>
            <w:div w:id="1534926664">
              <w:marLeft w:val="0"/>
              <w:marRight w:val="0"/>
              <w:marTop w:val="0"/>
              <w:marBottom w:val="0"/>
              <w:divBdr>
                <w:top w:val="none" w:sz="0" w:space="0" w:color="auto"/>
                <w:left w:val="none" w:sz="0" w:space="0" w:color="auto"/>
                <w:bottom w:val="none" w:sz="0" w:space="0" w:color="auto"/>
                <w:right w:val="none" w:sz="0" w:space="0" w:color="auto"/>
              </w:divBdr>
            </w:div>
          </w:divsChild>
        </w:div>
        <w:div w:id="911819933">
          <w:marLeft w:val="0"/>
          <w:marRight w:val="0"/>
          <w:marTop w:val="0"/>
          <w:marBottom w:val="0"/>
          <w:divBdr>
            <w:top w:val="none" w:sz="0" w:space="0" w:color="auto"/>
            <w:left w:val="none" w:sz="0" w:space="0" w:color="auto"/>
            <w:bottom w:val="none" w:sz="0" w:space="0" w:color="auto"/>
            <w:right w:val="none" w:sz="0" w:space="0" w:color="auto"/>
          </w:divBdr>
          <w:divsChild>
            <w:div w:id="1145007800">
              <w:marLeft w:val="0"/>
              <w:marRight w:val="0"/>
              <w:marTop w:val="0"/>
              <w:marBottom w:val="0"/>
              <w:divBdr>
                <w:top w:val="none" w:sz="0" w:space="0" w:color="auto"/>
                <w:left w:val="none" w:sz="0" w:space="0" w:color="auto"/>
                <w:bottom w:val="none" w:sz="0" w:space="0" w:color="auto"/>
                <w:right w:val="none" w:sz="0" w:space="0" w:color="auto"/>
              </w:divBdr>
            </w:div>
          </w:divsChild>
        </w:div>
        <w:div w:id="995107887">
          <w:marLeft w:val="0"/>
          <w:marRight w:val="0"/>
          <w:marTop w:val="0"/>
          <w:marBottom w:val="0"/>
          <w:divBdr>
            <w:top w:val="none" w:sz="0" w:space="0" w:color="auto"/>
            <w:left w:val="none" w:sz="0" w:space="0" w:color="auto"/>
            <w:bottom w:val="none" w:sz="0" w:space="0" w:color="auto"/>
            <w:right w:val="none" w:sz="0" w:space="0" w:color="auto"/>
          </w:divBdr>
          <w:divsChild>
            <w:div w:id="1288391723">
              <w:marLeft w:val="0"/>
              <w:marRight w:val="0"/>
              <w:marTop w:val="0"/>
              <w:marBottom w:val="0"/>
              <w:divBdr>
                <w:top w:val="none" w:sz="0" w:space="0" w:color="auto"/>
                <w:left w:val="none" w:sz="0" w:space="0" w:color="auto"/>
                <w:bottom w:val="none" w:sz="0" w:space="0" w:color="auto"/>
                <w:right w:val="none" w:sz="0" w:space="0" w:color="auto"/>
              </w:divBdr>
            </w:div>
          </w:divsChild>
        </w:div>
        <w:div w:id="1006396189">
          <w:marLeft w:val="0"/>
          <w:marRight w:val="0"/>
          <w:marTop w:val="0"/>
          <w:marBottom w:val="0"/>
          <w:divBdr>
            <w:top w:val="none" w:sz="0" w:space="0" w:color="auto"/>
            <w:left w:val="none" w:sz="0" w:space="0" w:color="auto"/>
            <w:bottom w:val="none" w:sz="0" w:space="0" w:color="auto"/>
            <w:right w:val="none" w:sz="0" w:space="0" w:color="auto"/>
          </w:divBdr>
          <w:divsChild>
            <w:div w:id="1037510320">
              <w:marLeft w:val="0"/>
              <w:marRight w:val="0"/>
              <w:marTop w:val="0"/>
              <w:marBottom w:val="0"/>
              <w:divBdr>
                <w:top w:val="none" w:sz="0" w:space="0" w:color="auto"/>
                <w:left w:val="none" w:sz="0" w:space="0" w:color="auto"/>
                <w:bottom w:val="none" w:sz="0" w:space="0" w:color="auto"/>
                <w:right w:val="none" w:sz="0" w:space="0" w:color="auto"/>
              </w:divBdr>
            </w:div>
          </w:divsChild>
        </w:div>
        <w:div w:id="1023895650">
          <w:marLeft w:val="0"/>
          <w:marRight w:val="0"/>
          <w:marTop w:val="0"/>
          <w:marBottom w:val="0"/>
          <w:divBdr>
            <w:top w:val="none" w:sz="0" w:space="0" w:color="auto"/>
            <w:left w:val="none" w:sz="0" w:space="0" w:color="auto"/>
            <w:bottom w:val="none" w:sz="0" w:space="0" w:color="auto"/>
            <w:right w:val="none" w:sz="0" w:space="0" w:color="auto"/>
          </w:divBdr>
          <w:divsChild>
            <w:div w:id="949122068">
              <w:marLeft w:val="0"/>
              <w:marRight w:val="0"/>
              <w:marTop w:val="0"/>
              <w:marBottom w:val="0"/>
              <w:divBdr>
                <w:top w:val="none" w:sz="0" w:space="0" w:color="auto"/>
                <w:left w:val="none" w:sz="0" w:space="0" w:color="auto"/>
                <w:bottom w:val="none" w:sz="0" w:space="0" w:color="auto"/>
                <w:right w:val="none" w:sz="0" w:space="0" w:color="auto"/>
              </w:divBdr>
            </w:div>
          </w:divsChild>
        </w:div>
        <w:div w:id="1025055985">
          <w:marLeft w:val="0"/>
          <w:marRight w:val="0"/>
          <w:marTop w:val="0"/>
          <w:marBottom w:val="0"/>
          <w:divBdr>
            <w:top w:val="none" w:sz="0" w:space="0" w:color="auto"/>
            <w:left w:val="none" w:sz="0" w:space="0" w:color="auto"/>
            <w:bottom w:val="none" w:sz="0" w:space="0" w:color="auto"/>
            <w:right w:val="none" w:sz="0" w:space="0" w:color="auto"/>
          </w:divBdr>
          <w:divsChild>
            <w:div w:id="392317648">
              <w:marLeft w:val="0"/>
              <w:marRight w:val="0"/>
              <w:marTop w:val="0"/>
              <w:marBottom w:val="0"/>
              <w:divBdr>
                <w:top w:val="none" w:sz="0" w:space="0" w:color="auto"/>
                <w:left w:val="none" w:sz="0" w:space="0" w:color="auto"/>
                <w:bottom w:val="none" w:sz="0" w:space="0" w:color="auto"/>
                <w:right w:val="none" w:sz="0" w:space="0" w:color="auto"/>
              </w:divBdr>
            </w:div>
          </w:divsChild>
        </w:div>
        <w:div w:id="1053503346">
          <w:marLeft w:val="0"/>
          <w:marRight w:val="0"/>
          <w:marTop w:val="0"/>
          <w:marBottom w:val="0"/>
          <w:divBdr>
            <w:top w:val="none" w:sz="0" w:space="0" w:color="auto"/>
            <w:left w:val="none" w:sz="0" w:space="0" w:color="auto"/>
            <w:bottom w:val="none" w:sz="0" w:space="0" w:color="auto"/>
            <w:right w:val="none" w:sz="0" w:space="0" w:color="auto"/>
          </w:divBdr>
          <w:divsChild>
            <w:div w:id="690034508">
              <w:marLeft w:val="0"/>
              <w:marRight w:val="0"/>
              <w:marTop w:val="0"/>
              <w:marBottom w:val="0"/>
              <w:divBdr>
                <w:top w:val="none" w:sz="0" w:space="0" w:color="auto"/>
                <w:left w:val="none" w:sz="0" w:space="0" w:color="auto"/>
                <w:bottom w:val="none" w:sz="0" w:space="0" w:color="auto"/>
                <w:right w:val="none" w:sz="0" w:space="0" w:color="auto"/>
              </w:divBdr>
            </w:div>
          </w:divsChild>
        </w:div>
        <w:div w:id="1077477965">
          <w:marLeft w:val="0"/>
          <w:marRight w:val="0"/>
          <w:marTop w:val="0"/>
          <w:marBottom w:val="0"/>
          <w:divBdr>
            <w:top w:val="none" w:sz="0" w:space="0" w:color="auto"/>
            <w:left w:val="none" w:sz="0" w:space="0" w:color="auto"/>
            <w:bottom w:val="none" w:sz="0" w:space="0" w:color="auto"/>
            <w:right w:val="none" w:sz="0" w:space="0" w:color="auto"/>
          </w:divBdr>
          <w:divsChild>
            <w:div w:id="936329466">
              <w:marLeft w:val="0"/>
              <w:marRight w:val="0"/>
              <w:marTop w:val="0"/>
              <w:marBottom w:val="0"/>
              <w:divBdr>
                <w:top w:val="none" w:sz="0" w:space="0" w:color="auto"/>
                <w:left w:val="none" w:sz="0" w:space="0" w:color="auto"/>
                <w:bottom w:val="none" w:sz="0" w:space="0" w:color="auto"/>
                <w:right w:val="none" w:sz="0" w:space="0" w:color="auto"/>
              </w:divBdr>
            </w:div>
          </w:divsChild>
        </w:div>
        <w:div w:id="1091972275">
          <w:marLeft w:val="0"/>
          <w:marRight w:val="0"/>
          <w:marTop w:val="0"/>
          <w:marBottom w:val="0"/>
          <w:divBdr>
            <w:top w:val="none" w:sz="0" w:space="0" w:color="auto"/>
            <w:left w:val="none" w:sz="0" w:space="0" w:color="auto"/>
            <w:bottom w:val="none" w:sz="0" w:space="0" w:color="auto"/>
            <w:right w:val="none" w:sz="0" w:space="0" w:color="auto"/>
          </w:divBdr>
          <w:divsChild>
            <w:div w:id="1579827483">
              <w:marLeft w:val="0"/>
              <w:marRight w:val="0"/>
              <w:marTop w:val="0"/>
              <w:marBottom w:val="0"/>
              <w:divBdr>
                <w:top w:val="none" w:sz="0" w:space="0" w:color="auto"/>
                <w:left w:val="none" w:sz="0" w:space="0" w:color="auto"/>
                <w:bottom w:val="none" w:sz="0" w:space="0" w:color="auto"/>
                <w:right w:val="none" w:sz="0" w:space="0" w:color="auto"/>
              </w:divBdr>
            </w:div>
          </w:divsChild>
        </w:div>
        <w:div w:id="1132870408">
          <w:marLeft w:val="0"/>
          <w:marRight w:val="0"/>
          <w:marTop w:val="0"/>
          <w:marBottom w:val="0"/>
          <w:divBdr>
            <w:top w:val="none" w:sz="0" w:space="0" w:color="auto"/>
            <w:left w:val="none" w:sz="0" w:space="0" w:color="auto"/>
            <w:bottom w:val="none" w:sz="0" w:space="0" w:color="auto"/>
            <w:right w:val="none" w:sz="0" w:space="0" w:color="auto"/>
          </w:divBdr>
          <w:divsChild>
            <w:div w:id="1017001502">
              <w:marLeft w:val="0"/>
              <w:marRight w:val="0"/>
              <w:marTop w:val="0"/>
              <w:marBottom w:val="0"/>
              <w:divBdr>
                <w:top w:val="none" w:sz="0" w:space="0" w:color="auto"/>
                <w:left w:val="none" w:sz="0" w:space="0" w:color="auto"/>
                <w:bottom w:val="none" w:sz="0" w:space="0" w:color="auto"/>
                <w:right w:val="none" w:sz="0" w:space="0" w:color="auto"/>
              </w:divBdr>
            </w:div>
          </w:divsChild>
        </w:div>
        <w:div w:id="1168521291">
          <w:marLeft w:val="0"/>
          <w:marRight w:val="0"/>
          <w:marTop w:val="0"/>
          <w:marBottom w:val="0"/>
          <w:divBdr>
            <w:top w:val="none" w:sz="0" w:space="0" w:color="auto"/>
            <w:left w:val="none" w:sz="0" w:space="0" w:color="auto"/>
            <w:bottom w:val="none" w:sz="0" w:space="0" w:color="auto"/>
            <w:right w:val="none" w:sz="0" w:space="0" w:color="auto"/>
          </w:divBdr>
          <w:divsChild>
            <w:div w:id="16976278">
              <w:marLeft w:val="0"/>
              <w:marRight w:val="0"/>
              <w:marTop w:val="0"/>
              <w:marBottom w:val="0"/>
              <w:divBdr>
                <w:top w:val="none" w:sz="0" w:space="0" w:color="auto"/>
                <w:left w:val="none" w:sz="0" w:space="0" w:color="auto"/>
                <w:bottom w:val="none" w:sz="0" w:space="0" w:color="auto"/>
                <w:right w:val="none" w:sz="0" w:space="0" w:color="auto"/>
              </w:divBdr>
            </w:div>
          </w:divsChild>
        </w:div>
        <w:div w:id="1203442783">
          <w:marLeft w:val="0"/>
          <w:marRight w:val="0"/>
          <w:marTop w:val="0"/>
          <w:marBottom w:val="0"/>
          <w:divBdr>
            <w:top w:val="none" w:sz="0" w:space="0" w:color="auto"/>
            <w:left w:val="none" w:sz="0" w:space="0" w:color="auto"/>
            <w:bottom w:val="none" w:sz="0" w:space="0" w:color="auto"/>
            <w:right w:val="none" w:sz="0" w:space="0" w:color="auto"/>
          </w:divBdr>
          <w:divsChild>
            <w:div w:id="645355374">
              <w:marLeft w:val="0"/>
              <w:marRight w:val="0"/>
              <w:marTop w:val="0"/>
              <w:marBottom w:val="0"/>
              <w:divBdr>
                <w:top w:val="none" w:sz="0" w:space="0" w:color="auto"/>
                <w:left w:val="none" w:sz="0" w:space="0" w:color="auto"/>
                <w:bottom w:val="none" w:sz="0" w:space="0" w:color="auto"/>
                <w:right w:val="none" w:sz="0" w:space="0" w:color="auto"/>
              </w:divBdr>
            </w:div>
          </w:divsChild>
        </w:div>
        <w:div w:id="1296059128">
          <w:marLeft w:val="0"/>
          <w:marRight w:val="0"/>
          <w:marTop w:val="0"/>
          <w:marBottom w:val="0"/>
          <w:divBdr>
            <w:top w:val="none" w:sz="0" w:space="0" w:color="auto"/>
            <w:left w:val="none" w:sz="0" w:space="0" w:color="auto"/>
            <w:bottom w:val="none" w:sz="0" w:space="0" w:color="auto"/>
            <w:right w:val="none" w:sz="0" w:space="0" w:color="auto"/>
          </w:divBdr>
          <w:divsChild>
            <w:div w:id="1640307235">
              <w:marLeft w:val="0"/>
              <w:marRight w:val="0"/>
              <w:marTop w:val="0"/>
              <w:marBottom w:val="0"/>
              <w:divBdr>
                <w:top w:val="none" w:sz="0" w:space="0" w:color="auto"/>
                <w:left w:val="none" w:sz="0" w:space="0" w:color="auto"/>
                <w:bottom w:val="none" w:sz="0" w:space="0" w:color="auto"/>
                <w:right w:val="none" w:sz="0" w:space="0" w:color="auto"/>
              </w:divBdr>
            </w:div>
          </w:divsChild>
        </w:div>
        <w:div w:id="1302998540">
          <w:marLeft w:val="0"/>
          <w:marRight w:val="0"/>
          <w:marTop w:val="0"/>
          <w:marBottom w:val="0"/>
          <w:divBdr>
            <w:top w:val="none" w:sz="0" w:space="0" w:color="auto"/>
            <w:left w:val="none" w:sz="0" w:space="0" w:color="auto"/>
            <w:bottom w:val="none" w:sz="0" w:space="0" w:color="auto"/>
            <w:right w:val="none" w:sz="0" w:space="0" w:color="auto"/>
          </w:divBdr>
          <w:divsChild>
            <w:div w:id="1594513349">
              <w:marLeft w:val="0"/>
              <w:marRight w:val="0"/>
              <w:marTop w:val="0"/>
              <w:marBottom w:val="0"/>
              <w:divBdr>
                <w:top w:val="none" w:sz="0" w:space="0" w:color="auto"/>
                <w:left w:val="none" w:sz="0" w:space="0" w:color="auto"/>
                <w:bottom w:val="none" w:sz="0" w:space="0" w:color="auto"/>
                <w:right w:val="none" w:sz="0" w:space="0" w:color="auto"/>
              </w:divBdr>
            </w:div>
          </w:divsChild>
        </w:div>
        <w:div w:id="1341547017">
          <w:marLeft w:val="0"/>
          <w:marRight w:val="0"/>
          <w:marTop w:val="0"/>
          <w:marBottom w:val="0"/>
          <w:divBdr>
            <w:top w:val="none" w:sz="0" w:space="0" w:color="auto"/>
            <w:left w:val="none" w:sz="0" w:space="0" w:color="auto"/>
            <w:bottom w:val="none" w:sz="0" w:space="0" w:color="auto"/>
            <w:right w:val="none" w:sz="0" w:space="0" w:color="auto"/>
          </w:divBdr>
          <w:divsChild>
            <w:div w:id="1260408452">
              <w:marLeft w:val="0"/>
              <w:marRight w:val="0"/>
              <w:marTop w:val="0"/>
              <w:marBottom w:val="0"/>
              <w:divBdr>
                <w:top w:val="none" w:sz="0" w:space="0" w:color="auto"/>
                <w:left w:val="none" w:sz="0" w:space="0" w:color="auto"/>
                <w:bottom w:val="none" w:sz="0" w:space="0" w:color="auto"/>
                <w:right w:val="none" w:sz="0" w:space="0" w:color="auto"/>
              </w:divBdr>
            </w:div>
          </w:divsChild>
        </w:div>
        <w:div w:id="1369449538">
          <w:marLeft w:val="0"/>
          <w:marRight w:val="0"/>
          <w:marTop w:val="0"/>
          <w:marBottom w:val="0"/>
          <w:divBdr>
            <w:top w:val="none" w:sz="0" w:space="0" w:color="auto"/>
            <w:left w:val="none" w:sz="0" w:space="0" w:color="auto"/>
            <w:bottom w:val="none" w:sz="0" w:space="0" w:color="auto"/>
            <w:right w:val="none" w:sz="0" w:space="0" w:color="auto"/>
          </w:divBdr>
          <w:divsChild>
            <w:div w:id="588268144">
              <w:marLeft w:val="0"/>
              <w:marRight w:val="0"/>
              <w:marTop w:val="0"/>
              <w:marBottom w:val="0"/>
              <w:divBdr>
                <w:top w:val="none" w:sz="0" w:space="0" w:color="auto"/>
                <w:left w:val="none" w:sz="0" w:space="0" w:color="auto"/>
                <w:bottom w:val="none" w:sz="0" w:space="0" w:color="auto"/>
                <w:right w:val="none" w:sz="0" w:space="0" w:color="auto"/>
              </w:divBdr>
            </w:div>
          </w:divsChild>
        </w:div>
        <w:div w:id="1373920176">
          <w:marLeft w:val="0"/>
          <w:marRight w:val="0"/>
          <w:marTop w:val="0"/>
          <w:marBottom w:val="0"/>
          <w:divBdr>
            <w:top w:val="none" w:sz="0" w:space="0" w:color="auto"/>
            <w:left w:val="none" w:sz="0" w:space="0" w:color="auto"/>
            <w:bottom w:val="none" w:sz="0" w:space="0" w:color="auto"/>
            <w:right w:val="none" w:sz="0" w:space="0" w:color="auto"/>
          </w:divBdr>
          <w:divsChild>
            <w:div w:id="843663884">
              <w:marLeft w:val="0"/>
              <w:marRight w:val="0"/>
              <w:marTop w:val="0"/>
              <w:marBottom w:val="0"/>
              <w:divBdr>
                <w:top w:val="none" w:sz="0" w:space="0" w:color="auto"/>
                <w:left w:val="none" w:sz="0" w:space="0" w:color="auto"/>
                <w:bottom w:val="none" w:sz="0" w:space="0" w:color="auto"/>
                <w:right w:val="none" w:sz="0" w:space="0" w:color="auto"/>
              </w:divBdr>
            </w:div>
          </w:divsChild>
        </w:div>
        <w:div w:id="1584072512">
          <w:marLeft w:val="0"/>
          <w:marRight w:val="0"/>
          <w:marTop w:val="0"/>
          <w:marBottom w:val="0"/>
          <w:divBdr>
            <w:top w:val="none" w:sz="0" w:space="0" w:color="auto"/>
            <w:left w:val="none" w:sz="0" w:space="0" w:color="auto"/>
            <w:bottom w:val="none" w:sz="0" w:space="0" w:color="auto"/>
            <w:right w:val="none" w:sz="0" w:space="0" w:color="auto"/>
          </w:divBdr>
          <w:divsChild>
            <w:div w:id="329455266">
              <w:marLeft w:val="0"/>
              <w:marRight w:val="0"/>
              <w:marTop w:val="0"/>
              <w:marBottom w:val="0"/>
              <w:divBdr>
                <w:top w:val="none" w:sz="0" w:space="0" w:color="auto"/>
                <w:left w:val="none" w:sz="0" w:space="0" w:color="auto"/>
                <w:bottom w:val="none" w:sz="0" w:space="0" w:color="auto"/>
                <w:right w:val="none" w:sz="0" w:space="0" w:color="auto"/>
              </w:divBdr>
            </w:div>
          </w:divsChild>
        </w:div>
        <w:div w:id="1599563919">
          <w:marLeft w:val="0"/>
          <w:marRight w:val="0"/>
          <w:marTop w:val="0"/>
          <w:marBottom w:val="0"/>
          <w:divBdr>
            <w:top w:val="none" w:sz="0" w:space="0" w:color="auto"/>
            <w:left w:val="none" w:sz="0" w:space="0" w:color="auto"/>
            <w:bottom w:val="none" w:sz="0" w:space="0" w:color="auto"/>
            <w:right w:val="none" w:sz="0" w:space="0" w:color="auto"/>
          </w:divBdr>
          <w:divsChild>
            <w:div w:id="373773957">
              <w:marLeft w:val="0"/>
              <w:marRight w:val="0"/>
              <w:marTop w:val="0"/>
              <w:marBottom w:val="0"/>
              <w:divBdr>
                <w:top w:val="none" w:sz="0" w:space="0" w:color="auto"/>
                <w:left w:val="none" w:sz="0" w:space="0" w:color="auto"/>
                <w:bottom w:val="none" w:sz="0" w:space="0" w:color="auto"/>
                <w:right w:val="none" w:sz="0" w:space="0" w:color="auto"/>
              </w:divBdr>
            </w:div>
          </w:divsChild>
        </w:div>
        <w:div w:id="1618022125">
          <w:marLeft w:val="0"/>
          <w:marRight w:val="0"/>
          <w:marTop w:val="0"/>
          <w:marBottom w:val="0"/>
          <w:divBdr>
            <w:top w:val="none" w:sz="0" w:space="0" w:color="auto"/>
            <w:left w:val="none" w:sz="0" w:space="0" w:color="auto"/>
            <w:bottom w:val="none" w:sz="0" w:space="0" w:color="auto"/>
            <w:right w:val="none" w:sz="0" w:space="0" w:color="auto"/>
          </w:divBdr>
          <w:divsChild>
            <w:div w:id="932469665">
              <w:marLeft w:val="0"/>
              <w:marRight w:val="0"/>
              <w:marTop w:val="0"/>
              <w:marBottom w:val="0"/>
              <w:divBdr>
                <w:top w:val="none" w:sz="0" w:space="0" w:color="auto"/>
                <w:left w:val="none" w:sz="0" w:space="0" w:color="auto"/>
                <w:bottom w:val="none" w:sz="0" w:space="0" w:color="auto"/>
                <w:right w:val="none" w:sz="0" w:space="0" w:color="auto"/>
              </w:divBdr>
            </w:div>
          </w:divsChild>
        </w:div>
        <w:div w:id="1688097829">
          <w:marLeft w:val="0"/>
          <w:marRight w:val="0"/>
          <w:marTop w:val="0"/>
          <w:marBottom w:val="0"/>
          <w:divBdr>
            <w:top w:val="none" w:sz="0" w:space="0" w:color="auto"/>
            <w:left w:val="none" w:sz="0" w:space="0" w:color="auto"/>
            <w:bottom w:val="none" w:sz="0" w:space="0" w:color="auto"/>
            <w:right w:val="none" w:sz="0" w:space="0" w:color="auto"/>
          </w:divBdr>
          <w:divsChild>
            <w:div w:id="1934319392">
              <w:marLeft w:val="0"/>
              <w:marRight w:val="0"/>
              <w:marTop w:val="0"/>
              <w:marBottom w:val="0"/>
              <w:divBdr>
                <w:top w:val="none" w:sz="0" w:space="0" w:color="auto"/>
                <w:left w:val="none" w:sz="0" w:space="0" w:color="auto"/>
                <w:bottom w:val="none" w:sz="0" w:space="0" w:color="auto"/>
                <w:right w:val="none" w:sz="0" w:space="0" w:color="auto"/>
              </w:divBdr>
            </w:div>
          </w:divsChild>
        </w:div>
        <w:div w:id="1775781782">
          <w:marLeft w:val="0"/>
          <w:marRight w:val="0"/>
          <w:marTop w:val="0"/>
          <w:marBottom w:val="0"/>
          <w:divBdr>
            <w:top w:val="none" w:sz="0" w:space="0" w:color="auto"/>
            <w:left w:val="none" w:sz="0" w:space="0" w:color="auto"/>
            <w:bottom w:val="none" w:sz="0" w:space="0" w:color="auto"/>
            <w:right w:val="none" w:sz="0" w:space="0" w:color="auto"/>
          </w:divBdr>
          <w:divsChild>
            <w:div w:id="565533188">
              <w:marLeft w:val="0"/>
              <w:marRight w:val="0"/>
              <w:marTop w:val="0"/>
              <w:marBottom w:val="0"/>
              <w:divBdr>
                <w:top w:val="none" w:sz="0" w:space="0" w:color="auto"/>
                <w:left w:val="none" w:sz="0" w:space="0" w:color="auto"/>
                <w:bottom w:val="none" w:sz="0" w:space="0" w:color="auto"/>
                <w:right w:val="none" w:sz="0" w:space="0" w:color="auto"/>
              </w:divBdr>
            </w:div>
          </w:divsChild>
        </w:div>
        <w:div w:id="1780176336">
          <w:marLeft w:val="0"/>
          <w:marRight w:val="0"/>
          <w:marTop w:val="0"/>
          <w:marBottom w:val="0"/>
          <w:divBdr>
            <w:top w:val="none" w:sz="0" w:space="0" w:color="auto"/>
            <w:left w:val="none" w:sz="0" w:space="0" w:color="auto"/>
            <w:bottom w:val="none" w:sz="0" w:space="0" w:color="auto"/>
            <w:right w:val="none" w:sz="0" w:space="0" w:color="auto"/>
          </w:divBdr>
          <w:divsChild>
            <w:div w:id="640766027">
              <w:marLeft w:val="0"/>
              <w:marRight w:val="0"/>
              <w:marTop w:val="0"/>
              <w:marBottom w:val="0"/>
              <w:divBdr>
                <w:top w:val="none" w:sz="0" w:space="0" w:color="auto"/>
                <w:left w:val="none" w:sz="0" w:space="0" w:color="auto"/>
                <w:bottom w:val="none" w:sz="0" w:space="0" w:color="auto"/>
                <w:right w:val="none" w:sz="0" w:space="0" w:color="auto"/>
              </w:divBdr>
            </w:div>
          </w:divsChild>
        </w:div>
        <w:div w:id="1826555582">
          <w:marLeft w:val="0"/>
          <w:marRight w:val="0"/>
          <w:marTop w:val="0"/>
          <w:marBottom w:val="0"/>
          <w:divBdr>
            <w:top w:val="none" w:sz="0" w:space="0" w:color="auto"/>
            <w:left w:val="none" w:sz="0" w:space="0" w:color="auto"/>
            <w:bottom w:val="none" w:sz="0" w:space="0" w:color="auto"/>
            <w:right w:val="none" w:sz="0" w:space="0" w:color="auto"/>
          </w:divBdr>
          <w:divsChild>
            <w:div w:id="732581739">
              <w:marLeft w:val="0"/>
              <w:marRight w:val="0"/>
              <w:marTop w:val="0"/>
              <w:marBottom w:val="0"/>
              <w:divBdr>
                <w:top w:val="none" w:sz="0" w:space="0" w:color="auto"/>
                <w:left w:val="none" w:sz="0" w:space="0" w:color="auto"/>
                <w:bottom w:val="none" w:sz="0" w:space="0" w:color="auto"/>
                <w:right w:val="none" w:sz="0" w:space="0" w:color="auto"/>
              </w:divBdr>
            </w:div>
          </w:divsChild>
        </w:div>
        <w:div w:id="1829326440">
          <w:marLeft w:val="0"/>
          <w:marRight w:val="0"/>
          <w:marTop w:val="0"/>
          <w:marBottom w:val="0"/>
          <w:divBdr>
            <w:top w:val="none" w:sz="0" w:space="0" w:color="auto"/>
            <w:left w:val="none" w:sz="0" w:space="0" w:color="auto"/>
            <w:bottom w:val="none" w:sz="0" w:space="0" w:color="auto"/>
            <w:right w:val="none" w:sz="0" w:space="0" w:color="auto"/>
          </w:divBdr>
          <w:divsChild>
            <w:div w:id="1857843921">
              <w:marLeft w:val="0"/>
              <w:marRight w:val="0"/>
              <w:marTop w:val="0"/>
              <w:marBottom w:val="0"/>
              <w:divBdr>
                <w:top w:val="none" w:sz="0" w:space="0" w:color="auto"/>
                <w:left w:val="none" w:sz="0" w:space="0" w:color="auto"/>
                <w:bottom w:val="none" w:sz="0" w:space="0" w:color="auto"/>
                <w:right w:val="none" w:sz="0" w:space="0" w:color="auto"/>
              </w:divBdr>
            </w:div>
          </w:divsChild>
        </w:div>
        <w:div w:id="2027361851">
          <w:marLeft w:val="0"/>
          <w:marRight w:val="0"/>
          <w:marTop w:val="0"/>
          <w:marBottom w:val="0"/>
          <w:divBdr>
            <w:top w:val="none" w:sz="0" w:space="0" w:color="auto"/>
            <w:left w:val="none" w:sz="0" w:space="0" w:color="auto"/>
            <w:bottom w:val="none" w:sz="0" w:space="0" w:color="auto"/>
            <w:right w:val="none" w:sz="0" w:space="0" w:color="auto"/>
          </w:divBdr>
          <w:divsChild>
            <w:div w:id="1348631360">
              <w:marLeft w:val="0"/>
              <w:marRight w:val="0"/>
              <w:marTop w:val="0"/>
              <w:marBottom w:val="0"/>
              <w:divBdr>
                <w:top w:val="none" w:sz="0" w:space="0" w:color="auto"/>
                <w:left w:val="none" w:sz="0" w:space="0" w:color="auto"/>
                <w:bottom w:val="none" w:sz="0" w:space="0" w:color="auto"/>
                <w:right w:val="none" w:sz="0" w:space="0" w:color="auto"/>
              </w:divBdr>
            </w:div>
          </w:divsChild>
        </w:div>
        <w:div w:id="2107799629">
          <w:marLeft w:val="0"/>
          <w:marRight w:val="0"/>
          <w:marTop w:val="0"/>
          <w:marBottom w:val="0"/>
          <w:divBdr>
            <w:top w:val="none" w:sz="0" w:space="0" w:color="auto"/>
            <w:left w:val="none" w:sz="0" w:space="0" w:color="auto"/>
            <w:bottom w:val="none" w:sz="0" w:space="0" w:color="auto"/>
            <w:right w:val="none" w:sz="0" w:space="0" w:color="auto"/>
          </w:divBdr>
          <w:divsChild>
            <w:div w:id="309142580">
              <w:marLeft w:val="0"/>
              <w:marRight w:val="0"/>
              <w:marTop w:val="0"/>
              <w:marBottom w:val="0"/>
              <w:divBdr>
                <w:top w:val="none" w:sz="0" w:space="0" w:color="auto"/>
                <w:left w:val="none" w:sz="0" w:space="0" w:color="auto"/>
                <w:bottom w:val="none" w:sz="0" w:space="0" w:color="auto"/>
                <w:right w:val="none" w:sz="0" w:space="0" w:color="auto"/>
              </w:divBdr>
            </w:div>
          </w:divsChild>
        </w:div>
        <w:div w:id="2144691581">
          <w:marLeft w:val="0"/>
          <w:marRight w:val="0"/>
          <w:marTop w:val="0"/>
          <w:marBottom w:val="0"/>
          <w:divBdr>
            <w:top w:val="none" w:sz="0" w:space="0" w:color="auto"/>
            <w:left w:val="none" w:sz="0" w:space="0" w:color="auto"/>
            <w:bottom w:val="none" w:sz="0" w:space="0" w:color="auto"/>
            <w:right w:val="none" w:sz="0" w:space="0" w:color="auto"/>
          </w:divBdr>
          <w:divsChild>
            <w:div w:id="1686860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700467">
      <w:bodyDiv w:val="1"/>
      <w:marLeft w:val="0"/>
      <w:marRight w:val="0"/>
      <w:marTop w:val="0"/>
      <w:marBottom w:val="0"/>
      <w:divBdr>
        <w:top w:val="none" w:sz="0" w:space="0" w:color="auto"/>
        <w:left w:val="none" w:sz="0" w:space="0" w:color="auto"/>
        <w:bottom w:val="none" w:sz="0" w:space="0" w:color="auto"/>
        <w:right w:val="none" w:sz="0" w:space="0" w:color="auto"/>
      </w:divBdr>
      <w:divsChild>
        <w:div w:id="20471060">
          <w:marLeft w:val="0"/>
          <w:marRight w:val="0"/>
          <w:marTop w:val="0"/>
          <w:marBottom w:val="0"/>
          <w:divBdr>
            <w:top w:val="none" w:sz="0" w:space="0" w:color="auto"/>
            <w:left w:val="none" w:sz="0" w:space="0" w:color="auto"/>
            <w:bottom w:val="none" w:sz="0" w:space="0" w:color="auto"/>
            <w:right w:val="none" w:sz="0" w:space="0" w:color="auto"/>
          </w:divBdr>
          <w:divsChild>
            <w:div w:id="27995533">
              <w:marLeft w:val="0"/>
              <w:marRight w:val="0"/>
              <w:marTop w:val="0"/>
              <w:marBottom w:val="0"/>
              <w:divBdr>
                <w:top w:val="none" w:sz="0" w:space="0" w:color="auto"/>
                <w:left w:val="none" w:sz="0" w:space="0" w:color="auto"/>
                <w:bottom w:val="none" w:sz="0" w:space="0" w:color="auto"/>
                <w:right w:val="none" w:sz="0" w:space="0" w:color="auto"/>
              </w:divBdr>
            </w:div>
          </w:divsChild>
        </w:div>
        <w:div w:id="164518458">
          <w:marLeft w:val="0"/>
          <w:marRight w:val="0"/>
          <w:marTop w:val="0"/>
          <w:marBottom w:val="0"/>
          <w:divBdr>
            <w:top w:val="none" w:sz="0" w:space="0" w:color="auto"/>
            <w:left w:val="none" w:sz="0" w:space="0" w:color="auto"/>
            <w:bottom w:val="none" w:sz="0" w:space="0" w:color="auto"/>
            <w:right w:val="none" w:sz="0" w:space="0" w:color="auto"/>
          </w:divBdr>
          <w:divsChild>
            <w:div w:id="1752384584">
              <w:marLeft w:val="0"/>
              <w:marRight w:val="0"/>
              <w:marTop w:val="0"/>
              <w:marBottom w:val="0"/>
              <w:divBdr>
                <w:top w:val="none" w:sz="0" w:space="0" w:color="auto"/>
                <w:left w:val="none" w:sz="0" w:space="0" w:color="auto"/>
                <w:bottom w:val="none" w:sz="0" w:space="0" w:color="auto"/>
                <w:right w:val="none" w:sz="0" w:space="0" w:color="auto"/>
              </w:divBdr>
            </w:div>
          </w:divsChild>
        </w:div>
        <w:div w:id="165094726">
          <w:marLeft w:val="0"/>
          <w:marRight w:val="0"/>
          <w:marTop w:val="0"/>
          <w:marBottom w:val="0"/>
          <w:divBdr>
            <w:top w:val="none" w:sz="0" w:space="0" w:color="auto"/>
            <w:left w:val="none" w:sz="0" w:space="0" w:color="auto"/>
            <w:bottom w:val="none" w:sz="0" w:space="0" w:color="auto"/>
            <w:right w:val="none" w:sz="0" w:space="0" w:color="auto"/>
          </w:divBdr>
          <w:divsChild>
            <w:div w:id="1857647304">
              <w:marLeft w:val="0"/>
              <w:marRight w:val="0"/>
              <w:marTop w:val="0"/>
              <w:marBottom w:val="0"/>
              <w:divBdr>
                <w:top w:val="none" w:sz="0" w:space="0" w:color="auto"/>
                <w:left w:val="none" w:sz="0" w:space="0" w:color="auto"/>
                <w:bottom w:val="none" w:sz="0" w:space="0" w:color="auto"/>
                <w:right w:val="none" w:sz="0" w:space="0" w:color="auto"/>
              </w:divBdr>
            </w:div>
          </w:divsChild>
        </w:div>
        <w:div w:id="172112327">
          <w:marLeft w:val="0"/>
          <w:marRight w:val="0"/>
          <w:marTop w:val="0"/>
          <w:marBottom w:val="0"/>
          <w:divBdr>
            <w:top w:val="none" w:sz="0" w:space="0" w:color="auto"/>
            <w:left w:val="none" w:sz="0" w:space="0" w:color="auto"/>
            <w:bottom w:val="none" w:sz="0" w:space="0" w:color="auto"/>
            <w:right w:val="none" w:sz="0" w:space="0" w:color="auto"/>
          </w:divBdr>
          <w:divsChild>
            <w:div w:id="789322370">
              <w:marLeft w:val="0"/>
              <w:marRight w:val="0"/>
              <w:marTop w:val="0"/>
              <w:marBottom w:val="0"/>
              <w:divBdr>
                <w:top w:val="none" w:sz="0" w:space="0" w:color="auto"/>
                <w:left w:val="none" w:sz="0" w:space="0" w:color="auto"/>
                <w:bottom w:val="none" w:sz="0" w:space="0" w:color="auto"/>
                <w:right w:val="none" w:sz="0" w:space="0" w:color="auto"/>
              </w:divBdr>
            </w:div>
          </w:divsChild>
        </w:div>
        <w:div w:id="191042838">
          <w:marLeft w:val="0"/>
          <w:marRight w:val="0"/>
          <w:marTop w:val="0"/>
          <w:marBottom w:val="0"/>
          <w:divBdr>
            <w:top w:val="none" w:sz="0" w:space="0" w:color="auto"/>
            <w:left w:val="none" w:sz="0" w:space="0" w:color="auto"/>
            <w:bottom w:val="none" w:sz="0" w:space="0" w:color="auto"/>
            <w:right w:val="none" w:sz="0" w:space="0" w:color="auto"/>
          </w:divBdr>
          <w:divsChild>
            <w:div w:id="1108962999">
              <w:marLeft w:val="0"/>
              <w:marRight w:val="0"/>
              <w:marTop w:val="0"/>
              <w:marBottom w:val="0"/>
              <w:divBdr>
                <w:top w:val="none" w:sz="0" w:space="0" w:color="auto"/>
                <w:left w:val="none" w:sz="0" w:space="0" w:color="auto"/>
                <w:bottom w:val="none" w:sz="0" w:space="0" w:color="auto"/>
                <w:right w:val="none" w:sz="0" w:space="0" w:color="auto"/>
              </w:divBdr>
            </w:div>
          </w:divsChild>
        </w:div>
        <w:div w:id="204411277">
          <w:marLeft w:val="0"/>
          <w:marRight w:val="0"/>
          <w:marTop w:val="0"/>
          <w:marBottom w:val="0"/>
          <w:divBdr>
            <w:top w:val="none" w:sz="0" w:space="0" w:color="auto"/>
            <w:left w:val="none" w:sz="0" w:space="0" w:color="auto"/>
            <w:bottom w:val="none" w:sz="0" w:space="0" w:color="auto"/>
            <w:right w:val="none" w:sz="0" w:space="0" w:color="auto"/>
          </w:divBdr>
          <w:divsChild>
            <w:div w:id="1050107714">
              <w:marLeft w:val="0"/>
              <w:marRight w:val="0"/>
              <w:marTop w:val="0"/>
              <w:marBottom w:val="0"/>
              <w:divBdr>
                <w:top w:val="none" w:sz="0" w:space="0" w:color="auto"/>
                <w:left w:val="none" w:sz="0" w:space="0" w:color="auto"/>
                <w:bottom w:val="none" w:sz="0" w:space="0" w:color="auto"/>
                <w:right w:val="none" w:sz="0" w:space="0" w:color="auto"/>
              </w:divBdr>
            </w:div>
          </w:divsChild>
        </w:div>
        <w:div w:id="249851505">
          <w:marLeft w:val="0"/>
          <w:marRight w:val="0"/>
          <w:marTop w:val="0"/>
          <w:marBottom w:val="0"/>
          <w:divBdr>
            <w:top w:val="none" w:sz="0" w:space="0" w:color="auto"/>
            <w:left w:val="none" w:sz="0" w:space="0" w:color="auto"/>
            <w:bottom w:val="none" w:sz="0" w:space="0" w:color="auto"/>
            <w:right w:val="none" w:sz="0" w:space="0" w:color="auto"/>
          </w:divBdr>
          <w:divsChild>
            <w:div w:id="685403264">
              <w:marLeft w:val="0"/>
              <w:marRight w:val="0"/>
              <w:marTop w:val="0"/>
              <w:marBottom w:val="0"/>
              <w:divBdr>
                <w:top w:val="none" w:sz="0" w:space="0" w:color="auto"/>
                <w:left w:val="none" w:sz="0" w:space="0" w:color="auto"/>
                <w:bottom w:val="none" w:sz="0" w:space="0" w:color="auto"/>
                <w:right w:val="none" w:sz="0" w:space="0" w:color="auto"/>
              </w:divBdr>
            </w:div>
          </w:divsChild>
        </w:div>
        <w:div w:id="261575246">
          <w:marLeft w:val="0"/>
          <w:marRight w:val="0"/>
          <w:marTop w:val="0"/>
          <w:marBottom w:val="0"/>
          <w:divBdr>
            <w:top w:val="none" w:sz="0" w:space="0" w:color="auto"/>
            <w:left w:val="none" w:sz="0" w:space="0" w:color="auto"/>
            <w:bottom w:val="none" w:sz="0" w:space="0" w:color="auto"/>
            <w:right w:val="none" w:sz="0" w:space="0" w:color="auto"/>
          </w:divBdr>
          <w:divsChild>
            <w:div w:id="1622415402">
              <w:marLeft w:val="0"/>
              <w:marRight w:val="0"/>
              <w:marTop w:val="0"/>
              <w:marBottom w:val="0"/>
              <w:divBdr>
                <w:top w:val="none" w:sz="0" w:space="0" w:color="auto"/>
                <w:left w:val="none" w:sz="0" w:space="0" w:color="auto"/>
                <w:bottom w:val="none" w:sz="0" w:space="0" w:color="auto"/>
                <w:right w:val="none" w:sz="0" w:space="0" w:color="auto"/>
              </w:divBdr>
            </w:div>
          </w:divsChild>
        </w:div>
        <w:div w:id="338040613">
          <w:marLeft w:val="0"/>
          <w:marRight w:val="0"/>
          <w:marTop w:val="0"/>
          <w:marBottom w:val="0"/>
          <w:divBdr>
            <w:top w:val="none" w:sz="0" w:space="0" w:color="auto"/>
            <w:left w:val="none" w:sz="0" w:space="0" w:color="auto"/>
            <w:bottom w:val="none" w:sz="0" w:space="0" w:color="auto"/>
            <w:right w:val="none" w:sz="0" w:space="0" w:color="auto"/>
          </w:divBdr>
          <w:divsChild>
            <w:div w:id="1974022708">
              <w:marLeft w:val="0"/>
              <w:marRight w:val="0"/>
              <w:marTop w:val="0"/>
              <w:marBottom w:val="0"/>
              <w:divBdr>
                <w:top w:val="none" w:sz="0" w:space="0" w:color="auto"/>
                <w:left w:val="none" w:sz="0" w:space="0" w:color="auto"/>
                <w:bottom w:val="none" w:sz="0" w:space="0" w:color="auto"/>
                <w:right w:val="none" w:sz="0" w:space="0" w:color="auto"/>
              </w:divBdr>
            </w:div>
          </w:divsChild>
        </w:div>
        <w:div w:id="357705977">
          <w:marLeft w:val="0"/>
          <w:marRight w:val="0"/>
          <w:marTop w:val="0"/>
          <w:marBottom w:val="0"/>
          <w:divBdr>
            <w:top w:val="none" w:sz="0" w:space="0" w:color="auto"/>
            <w:left w:val="none" w:sz="0" w:space="0" w:color="auto"/>
            <w:bottom w:val="none" w:sz="0" w:space="0" w:color="auto"/>
            <w:right w:val="none" w:sz="0" w:space="0" w:color="auto"/>
          </w:divBdr>
          <w:divsChild>
            <w:div w:id="1094863357">
              <w:marLeft w:val="0"/>
              <w:marRight w:val="0"/>
              <w:marTop w:val="0"/>
              <w:marBottom w:val="0"/>
              <w:divBdr>
                <w:top w:val="none" w:sz="0" w:space="0" w:color="auto"/>
                <w:left w:val="none" w:sz="0" w:space="0" w:color="auto"/>
                <w:bottom w:val="none" w:sz="0" w:space="0" w:color="auto"/>
                <w:right w:val="none" w:sz="0" w:space="0" w:color="auto"/>
              </w:divBdr>
            </w:div>
          </w:divsChild>
        </w:div>
        <w:div w:id="485703595">
          <w:marLeft w:val="0"/>
          <w:marRight w:val="0"/>
          <w:marTop w:val="0"/>
          <w:marBottom w:val="0"/>
          <w:divBdr>
            <w:top w:val="none" w:sz="0" w:space="0" w:color="auto"/>
            <w:left w:val="none" w:sz="0" w:space="0" w:color="auto"/>
            <w:bottom w:val="none" w:sz="0" w:space="0" w:color="auto"/>
            <w:right w:val="none" w:sz="0" w:space="0" w:color="auto"/>
          </w:divBdr>
          <w:divsChild>
            <w:div w:id="1549564096">
              <w:marLeft w:val="0"/>
              <w:marRight w:val="0"/>
              <w:marTop w:val="0"/>
              <w:marBottom w:val="0"/>
              <w:divBdr>
                <w:top w:val="none" w:sz="0" w:space="0" w:color="auto"/>
                <w:left w:val="none" w:sz="0" w:space="0" w:color="auto"/>
                <w:bottom w:val="none" w:sz="0" w:space="0" w:color="auto"/>
                <w:right w:val="none" w:sz="0" w:space="0" w:color="auto"/>
              </w:divBdr>
            </w:div>
          </w:divsChild>
        </w:div>
        <w:div w:id="506166617">
          <w:marLeft w:val="0"/>
          <w:marRight w:val="0"/>
          <w:marTop w:val="0"/>
          <w:marBottom w:val="0"/>
          <w:divBdr>
            <w:top w:val="none" w:sz="0" w:space="0" w:color="auto"/>
            <w:left w:val="none" w:sz="0" w:space="0" w:color="auto"/>
            <w:bottom w:val="none" w:sz="0" w:space="0" w:color="auto"/>
            <w:right w:val="none" w:sz="0" w:space="0" w:color="auto"/>
          </w:divBdr>
          <w:divsChild>
            <w:div w:id="267127920">
              <w:marLeft w:val="0"/>
              <w:marRight w:val="0"/>
              <w:marTop w:val="0"/>
              <w:marBottom w:val="0"/>
              <w:divBdr>
                <w:top w:val="none" w:sz="0" w:space="0" w:color="auto"/>
                <w:left w:val="none" w:sz="0" w:space="0" w:color="auto"/>
                <w:bottom w:val="none" w:sz="0" w:space="0" w:color="auto"/>
                <w:right w:val="none" w:sz="0" w:space="0" w:color="auto"/>
              </w:divBdr>
            </w:div>
          </w:divsChild>
        </w:div>
        <w:div w:id="521675359">
          <w:marLeft w:val="0"/>
          <w:marRight w:val="0"/>
          <w:marTop w:val="0"/>
          <w:marBottom w:val="0"/>
          <w:divBdr>
            <w:top w:val="none" w:sz="0" w:space="0" w:color="auto"/>
            <w:left w:val="none" w:sz="0" w:space="0" w:color="auto"/>
            <w:bottom w:val="none" w:sz="0" w:space="0" w:color="auto"/>
            <w:right w:val="none" w:sz="0" w:space="0" w:color="auto"/>
          </w:divBdr>
          <w:divsChild>
            <w:div w:id="1657414562">
              <w:marLeft w:val="0"/>
              <w:marRight w:val="0"/>
              <w:marTop w:val="0"/>
              <w:marBottom w:val="0"/>
              <w:divBdr>
                <w:top w:val="none" w:sz="0" w:space="0" w:color="auto"/>
                <w:left w:val="none" w:sz="0" w:space="0" w:color="auto"/>
                <w:bottom w:val="none" w:sz="0" w:space="0" w:color="auto"/>
                <w:right w:val="none" w:sz="0" w:space="0" w:color="auto"/>
              </w:divBdr>
            </w:div>
          </w:divsChild>
        </w:div>
        <w:div w:id="618924368">
          <w:marLeft w:val="0"/>
          <w:marRight w:val="0"/>
          <w:marTop w:val="0"/>
          <w:marBottom w:val="0"/>
          <w:divBdr>
            <w:top w:val="none" w:sz="0" w:space="0" w:color="auto"/>
            <w:left w:val="none" w:sz="0" w:space="0" w:color="auto"/>
            <w:bottom w:val="none" w:sz="0" w:space="0" w:color="auto"/>
            <w:right w:val="none" w:sz="0" w:space="0" w:color="auto"/>
          </w:divBdr>
          <w:divsChild>
            <w:div w:id="1566840361">
              <w:marLeft w:val="0"/>
              <w:marRight w:val="0"/>
              <w:marTop w:val="0"/>
              <w:marBottom w:val="0"/>
              <w:divBdr>
                <w:top w:val="none" w:sz="0" w:space="0" w:color="auto"/>
                <w:left w:val="none" w:sz="0" w:space="0" w:color="auto"/>
                <w:bottom w:val="none" w:sz="0" w:space="0" w:color="auto"/>
                <w:right w:val="none" w:sz="0" w:space="0" w:color="auto"/>
              </w:divBdr>
            </w:div>
          </w:divsChild>
        </w:div>
        <w:div w:id="654603573">
          <w:marLeft w:val="0"/>
          <w:marRight w:val="0"/>
          <w:marTop w:val="0"/>
          <w:marBottom w:val="0"/>
          <w:divBdr>
            <w:top w:val="none" w:sz="0" w:space="0" w:color="auto"/>
            <w:left w:val="none" w:sz="0" w:space="0" w:color="auto"/>
            <w:bottom w:val="none" w:sz="0" w:space="0" w:color="auto"/>
            <w:right w:val="none" w:sz="0" w:space="0" w:color="auto"/>
          </w:divBdr>
          <w:divsChild>
            <w:div w:id="1307978707">
              <w:marLeft w:val="0"/>
              <w:marRight w:val="0"/>
              <w:marTop w:val="0"/>
              <w:marBottom w:val="0"/>
              <w:divBdr>
                <w:top w:val="none" w:sz="0" w:space="0" w:color="auto"/>
                <w:left w:val="none" w:sz="0" w:space="0" w:color="auto"/>
                <w:bottom w:val="none" w:sz="0" w:space="0" w:color="auto"/>
                <w:right w:val="none" w:sz="0" w:space="0" w:color="auto"/>
              </w:divBdr>
            </w:div>
            <w:div w:id="1577858386">
              <w:marLeft w:val="0"/>
              <w:marRight w:val="0"/>
              <w:marTop w:val="0"/>
              <w:marBottom w:val="0"/>
              <w:divBdr>
                <w:top w:val="none" w:sz="0" w:space="0" w:color="auto"/>
                <w:left w:val="none" w:sz="0" w:space="0" w:color="auto"/>
                <w:bottom w:val="none" w:sz="0" w:space="0" w:color="auto"/>
                <w:right w:val="none" w:sz="0" w:space="0" w:color="auto"/>
              </w:divBdr>
            </w:div>
          </w:divsChild>
        </w:div>
        <w:div w:id="676731555">
          <w:marLeft w:val="0"/>
          <w:marRight w:val="0"/>
          <w:marTop w:val="0"/>
          <w:marBottom w:val="0"/>
          <w:divBdr>
            <w:top w:val="none" w:sz="0" w:space="0" w:color="auto"/>
            <w:left w:val="none" w:sz="0" w:space="0" w:color="auto"/>
            <w:bottom w:val="none" w:sz="0" w:space="0" w:color="auto"/>
            <w:right w:val="none" w:sz="0" w:space="0" w:color="auto"/>
          </w:divBdr>
          <w:divsChild>
            <w:div w:id="113208725">
              <w:marLeft w:val="0"/>
              <w:marRight w:val="0"/>
              <w:marTop w:val="0"/>
              <w:marBottom w:val="0"/>
              <w:divBdr>
                <w:top w:val="none" w:sz="0" w:space="0" w:color="auto"/>
                <w:left w:val="none" w:sz="0" w:space="0" w:color="auto"/>
                <w:bottom w:val="none" w:sz="0" w:space="0" w:color="auto"/>
                <w:right w:val="none" w:sz="0" w:space="0" w:color="auto"/>
              </w:divBdr>
            </w:div>
          </w:divsChild>
        </w:div>
        <w:div w:id="742067878">
          <w:marLeft w:val="0"/>
          <w:marRight w:val="0"/>
          <w:marTop w:val="0"/>
          <w:marBottom w:val="0"/>
          <w:divBdr>
            <w:top w:val="none" w:sz="0" w:space="0" w:color="auto"/>
            <w:left w:val="none" w:sz="0" w:space="0" w:color="auto"/>
            <w:bottom w:val="none" w:sz="0" w:space="0" w:color="auto"/>
            <w:right w:val="none" w:sz="0" w:space="0" w:color="auto"/>
          </w:divBdr>
          <w:divsChild>
            <w:div w:id="414398592">
              <w:marLeft w:val="0"/>
              <w:marRight w:val="0"/>
              <w:marTop w:val="0"/>
              <w:marBottom w:val="0"/>
              <w:divBdr>
                <w:top w:val="none" w:sz="0" w:space="0" w:color="auto"/>
                <w:left w:val="none" w:sz="0" w:space="0" w:color="auto"/>
                <w:bottom w:val="none" w:sz="0" w:space="0" w:color="auto"/>
                <w:right w:val="none" w:sz="0" w:space="0" w:color="auto"/>
              </w:divBdr>
            </w:div>
          </w:divsChild>
        </w:div>
        <w:div w:id="909585533">
          <w:marLeft w:val="0"/>
          <w:marRight w:val="0"/>
          <w:marTop w:val="0"/>
          <w:marBottom w:val="0"/>
          <w:divBdr>
            <w:top w:val="none" w:sz="0" w:space="0" w:color="auto"/>
            <w:left w:val="none" w:sz="0" w:space="0" w:color="auto"/>
            <w:bottom w:val="none" w:sz="0" w:space="0" w:color="auto"/>
            <w:right w:val="none" w:sz="0" w:space="0" w:color="auto"/>
          </w:divBdr>
          <w:divsChild>
            <w:div w:id="1684210409">
              <w:marLeft w:val="0"/>
              <w:marRight w:val="0"/>
              <w:marTop w:val="0"/>
              <w:marBottom w:val="0"/>
              <w:divBdr>
                <w:top w:val="none" w:sz="0" w:space="0" w:color="auto"/>
                <w:left w:val="none" w:sz="0" w:space="0" w:color="auto"/>
                <w:bottom w:val="none" w:sz="0" w:space="0" w:color="auto"/>
                <w:right w:val="none" w:sz="0" w:space="0" w:color="auto"/>
              </w:divBdr>
            </w:div>
          </w:divsChild>
        </w:div>
        <w:div w:id="915554874">
          <w:marLeft w:val="0"/>
          <w:marRight w:val="0"/>
          <w:marTop w:val="0"/>
          <w:marBottom w:val="0"/>
          <w:divBdr>
            <w:top w:val="none" w:sz="0" w:space="0" w:color="auto"/>
            <w:left w:val="none" w:sz="0" w:space="0" w:color="auto"/>
            <w:bottom w:val="none" w:sz="0" w:space="0" w:color="auto"/>
            <w:right w:val="none" w:sz="0" w:space="0" w:color="auto"/>
          </w:divBdr>
          <w:divsChild>
            <w:div w:id="130825912">
              <w:marLeft w:val="0"/>
              <w:marRight w:val="0"/>
              <w:marTop w:val="0"/>
              <w:marBottom w:val="0"/>
              <w:divBdr>
                <w:top w:val="none" w:sz="0" w:space="0" w:color="auto"/>
                <w:left w:val="none" w:sz="0" w:space="0" w:color="auto"/>
                <w:bottom w:val="none" w:sz="0" w:space="0" w:color="auto"/>
                <w:right w:val="none" w:sz="0" w:space="0" w:color="auto"/>
              </w:divBdr>
            </w:div>
          </w:divsChild>
        </w:div>
        <w:div w:id="980233353">
          <w:marLeft w:val="0"/>
          <w:marRight w:val="0"/>
          <w:marTop w:val="0"/>
          <w:marBottom w:val="0"/>
          <w:divBdr>
            <w:top w:val="none" w:sz="0" w:space="0" w:color="auto"/>
            <w:left w:val="none" w:sz="0" w:space="0" w:color="auto"/>
            <w:bottom w:val="none" w:sz="0" w:space="0" w:color="auto"/>
            <w:right w:val="none" w:sz="0" w:space="0" w:color="auto"/>
          </w:divBdr>
          <w:divsChild>
            <w:div w:id="798452818">
              <w:marLeft w:val="0"/>
              <w:marRight w:val="0"/>
              <w:marTop w:val="0"/>
              <w:marBottom w:val="0"/>
              <w:divBdr>
                <w:top w:val="none" w:sz="0" w:space="0" w:color="auto"/>
                <w:left w:val="none" w:sz="0" w:space="0" w:color="auto"/>
                <w:bottom w:val="none" w:sz="0" w:space="0" w:color="auto"/>
                <w:right w:val="none" w:sz="0" w:space="0" w:color="auto"/>
              </w:divBdr>
            </w:div>
          </w:divsChild>
        </w:div>
        <w:div w:id="1020085933">
          <w:marLeft w:val="0"/>
          <w:marRight w:val="0"/>
          <w:marTop w:val="0"/>
          <w:marBottom w:val="0"/>
          <w:divBdr>
            <w:top w:val="none" w:sz="0" w:space="0" w:color="auto"/>
            <w:left w:val="none" w:sz="0" w:space="0" w:color="auto"/>
            <w:bottom w:val="none" w:sz="0" w:space="0" w:color="auto"/>
            <w:right w:val="none" w:sz="0" w:space="0" w:color="auto"/>
          </w:divBdr>
          <w:divsChild>
            <w:div w:id="2065130368">
              <w:marLeft w:val="0"/>
              <w:marRight w:val="0"/>
              <w:marTop w:val="0"/>
              <w:marBottom w:val="0"/>
              <w:divBdr>
                <w:top w:val="none" w:sz="0" w:space="0" w:color="auto"/>
                <w:left w:val="none" w:sz="0" w:space="0" w:color="auto"/>
                <w:bottom w:val="none" w:sz="0" w:space="0" w:color="auto"/>
                <w:right w:val="none" w:sz="0" w:space="0" w:color="auto"/>
              </w:divBdr>
            </w:div>
          </w:divsChild>
        </w:div>
        <w:div w:id="1202279122">
          <w:marLeft w:val="0"/>
          <w:marRight w:val="0"/>
          <w:marTop w:val="0"/>
          <w:marBottom w:val="0"/>
          <w:divBdr>
            <w:top w:val="none" w:sz="0" w:space="0" w:color="auto"/>
            <w:left w:val="none" w:sz="0" w:space="0" w:color="auto"/>
            <w:bottom w:val="none" w:sz="0" w:space="0" w:color="auto"/>
            <w:right w:val="none" w:sz="0" w:space="0" w:color="auto"/>
          </w:divBdr>
          <w:divsChild>
            <w:div w:id="1329019673">
              <w:marLeft w:val="0"/>
              <w:marRight w:val="0"/>
              <w:marTop w:val="0"/>
              <w:marBottom w:val="0"/>
              <w:divBdr>
                <w:top w:val="none" w:sz="0" w:space="0" w:color="auto"/>
                <w:left w:val="none" w:sz="0" w:space="0" w:color="auto"/>
                <w:bottom w:val="none" w:sz="0" w:space="0" w:color="auto"/>
                <w:right w:val="none" w:sz="0" w:space="0" w:color="auto"/>
              </w:divBdr>
            </w:div>
          </w:divsChild>
        </w:div>
        <w:div w:id="1432971313">
          <w:marLeft w:val="0"/>
          <w:marRight w:val="0"/>
          <w:marTop w:val="0"/>
          <w:marBottom w:val="0"/>
          <w:divBdr>
            <w:top w:val="none" w:sz="0" w:space="0" w:color="auto"/>
            <w:left w:val="none" w:sz="0" w:space="0" w:color="auto"/>
            <w:bottom w:val="none" w:sz="0" w:space="0" w:color="auto"/>
            <w:right w:val="none" w:sz="0" w:space="0" w:color="auto"/>
          </w:divBdr>
          <w:divsChild>
            <w:div w:id="2129346260">
              <w:marLeft w:val="0"/>
              <w:marRight w:val="0"/>
              <w:marTop w:val="0"/>
              <w:marBottom w:val="0"/>
              <w:divBdr>
                <w:top w:val="none" w:sz="0" w:space="0" w:color="auto"/>
                <w:left w:val="none" w:sz="0" w:space="0" w:color="auto"/>
                <w:bottom w:val="none" w:sz="0" w:space="0" w:color="auto"/>
                <w:right w:val="none" w:sz="0" w:space="0" w:color="auto"/>
              </w:divBdr>
            </w:div>
          </w:divsChild>
        </w:div>
        <w:div w:id="1555460733">
          <w:marLeft w:val="0"/>
          <w:marRight w:val="0"/>
          <w:marTop w:val="0"/>
          <w:marBottom w:val="0"/>
          <w:divBdr>
            <w:top w:val="none" w:sz="0" w:space="0" w:color="auto"/>
            <w:left w:val="none" w:sz="0" w:space="0" w:color="auto"/>
            <w:bottom w:val="none" w:sz="0" w:space="0" w:color="auto"/>
            <w:right w:val="none" w:sz="0" w:space="0" w:color="auto"/>
          </w:divBdr>
          <w:divsChild>
            <w:div w:id="1584752363">
              <w:marLeft w:val="0"/>
              <w:marRight w:val="0"/>
              <w:marTop w:val="0"/>
              <w:marBottom w:val="0"/>
              <w:divBdr>
                <w:top w:val="none" w:sz="0" w:space="0" w:color="auto"/>
                <w:left w:val="none" w:sz="0" w:space="0" w:color="auto"/>
                <w:bottom w:val="none" w:sz="0" w:space="0" w:color="auto"/>
                <w:right w:val="none" w:sz="0" w:space="0" w:color="auto"/>
              </w:divBdr>
            </w:div>
          </w:divsChild>
        </w:div>
        <w:div w:id="1560945776">
          <w:marLeft w:val="0"/>
          <w:marRight w:val="0"/>
          <w:marTop w:val="0"/>
          <w:marBottom w:val="0"/>
          <w:divBdr>
            <w:top w:val="none" w:sz="0" w:space="0" w:color="auto"/>
            <w:left w:val="none" w:sz="0" w:space="0" w:color="auto"/>
            <w:bottom w:val="none" w:sz="0" w:space="0" w:color="auto"/>
            <w:right w:val="none" w:sz="0" w:space="0" w:color="auto"/>
          </w:divBdr>
          <w:divsChild>
            <w:div w:id="490874898">
              <w:marLeft w:val="0"/>
              <w:marRight w:val="0"/>
              <w:marTop w:val="0"/>
              <w:marBottom w:val="0"/>
              <w:divBdr>
                <w:top w:val="none" w:sz="0" w:space="0" w:color="auto"/>
                <w:left w:val="none" w:sz="0" w:space="0" w:color="auto"/>
                <w:bottom w:val="none" w:sz="0" w:space="0" w:color="auto"/>
                <w:right w:val="none" w:sz="0" w:space="0" w:color="auto"/>
              </w:divBdr>
            </w:div>
          </w:divsChild>
        </w:div>
        <w:div w:id="1582060674">
          <w:marLeft w:val="0"/>
          <w:marRight w:val="0"/>
          <w:marTop w:val="0"/>
          <w:marBottom w:val="0"/>
          <w:divBdr>
            <w:top w:val="none" w:sz="0" w:space="0" w:color="auto"/>
            <w:left w:val="none" w:sz="0" w:space="0" w:color="auto"/>
            <w:bottom w:val="none" w:sz="0" w:space="0" w:color="auto"/>
            <w:right w:val="none" w:sz="0" w:space="0" w:color="auto"/>
          </w:divBdr>
          <w:divsChild>
            <w:div w:id="2024090382">
              <w:marLeft w:val="0"/>
              <w:marRight w:val="0"/>
              <w:marTop w:val="0"/>
              <w:marBottom w:val="0"/>
              <w:divBdr>
                <w:top w:val="none" w:sz="0" w:space="0" w:color="auto"/>
                <w:left w:val="none" w:sz="0" w:space="0" w:color="auto"/>
                <w:bottom w:val="none" w:sz="0" w:space="0" w:color="auto"/>
                <w:right w:val="none" w:sz="0" w:space="0" w:color="auto"/>
              </w:divBdr>
            </w:div>
          </w:divsChild>
        </w:div>
        <w:div w:id="1653408079">
          <w:marLeft w:val="0"/>
          <w:marRight w:val="0"/>
          <w:marTop w:val="0"/>
          <w:marBottom w:val="0"/>
          <w:divBdr>
            <w:top w:val="none" w:sz="0" w:space="0" w:color="auto"/>
            <w:left w:val="none" w:sz="0" w:space="0" w:color="auto"/>
            <w:bottom w:val="none" w:sz="0" w:space="0" w:color="auto"/>
            <w:right w:val="none" w:sz="0" w:space="0" w:color="auto"/>
          </w:divBdr>
          <w:divsChild>
            <w:div w:id="1756705825">
              <w:marLeft w:val="0"/>
              <w:marRight w:val="0"/>
              <w:marTop w:val="0"/>
              <w:marBottom w:val="0"/>
              <w:divBdr>
                <w:top w:val="none" w:sz="0" w:space="0" w:color="auto"/>
                <w:left w:val="none" w:sz="0" w:space="0" w:color="auto"/>
                <w:bottom w:val="none" w:sz="0" w:space="0" w:color="auto"/>
                <w:right w:val="none" w:sz="0" w:space="0" w:color="auto"/>
              </w:divBdr>
            </w:div>
          </w:divsChild>
        </w:div>
        <w:div w:id="1663267471">
          <w:marLeft w:val="0"/>
          <w:marRight w:val="0"/>
          <w:marTop w:val="0"/>
          <w:marBottom w:val="0"/>
          <w:divBdr>
            <w:top w:val="none" w:sz="0" w:space="0" w:color="auto"/>
            <w:left w:val="none" w:sz="0" w:space="0" w:color="auto"/>
            <w:bottom w:val="none" w:sz="0" w:space="0" w:color="auto"/>
            <w:right w:val="none" w:sz="0" w:space="0" w:color="auto"/>
          </w:divBdr>
          <w:divsChild>
            <w:div w:id="725959260">
              <w:marLeft w:val="0"/>
              <w:marRight w:val="0"/>
              <w:marTop w:val="0"/>
              <w:marBottom w:val="0"/>
              <w:divBdr>
                <w:top w:val="none" w:sz="0" w:space="0" w:color="auto"/>
                <w:left w:val="none" w:sz="0" w:space="0" w:color="auto"/>
                <w:bottom w:val="none" w:sz="0" w:space="0" w:color="auto"/>
                <w:right w:val="none" w:sz="0" w:space="0" w:color="auto"/>
              </w:divBdr>
            </w:div>
          </w:divsChild>
        </w:div>
        <w:div w:id="1701970742">
          <w:marLeft w:val="0"/>
          <w:marRight w:val="0"/>
          <w:marTop w:val="0"/>
          <w:marBottom w:val="0"/>
          <w:divBdr>
            <w:top w:val="none" w:sz="0" w:space="0" w:color="auto"/>
            <w:left w:val="none" w:sz="0" w:space="0" w:color="auto"/>
            <w:bottom w:val="none" w:sz="0" w:space="0" w:color="auto"/>
            <w:right w:val="none" w:sz="0" w:space="0" w:color="auto"/>
          </w:divBdr>
          <w:divsChild>
            <w:div w:id="563179260">
              <w:marLeft w:val="0"/>
              <w:marRight w:val="0"/>
              <w:marTop w:val="0"/>
              <w:marBottom w:val="0"/>
              <w:divBdr>
                <w:top w:val="none" w:sz="0" w:space="0" w:color="auto"/>
                <w:left w:val="none" w:sz="0" w:space="0" w:color="auto"/>
                <w:bottom w:val="none" w:sz="0" w:space="0" w:color="auto"/>
                <w:right w:val="none" w:sz="0" w:space="0" w:color="auto"/>
              </w:divBdr>
            </w:div>
          </w:divsChild>
        </w:div>
        <w:div w:id="1729255322">
          <w:marLeft w:val="0"/>
          <w:marRight w:val="0"/>
          <w:marTop w:val="0"/>
          <w:marBottom w:val="0"/>
          <w:divBdr>
            <w:top w:val="none" w:sz="0" w:space="0" w:color="auto"/>
            <w:left w:val="none" w:sz="0" w:space="0" w:color="auto"/>
            <w:bottom w:val="none" w:sz="0" w:space="0" w:color="auto"/>
            <w:right w:val="none" w:sz="0" w:space="0" w:color="auto"/>
          </w:divBdr>
          <w:divsChild>
            <w:div w:id="935286849">
              <w:marLeft w:val="0"/>
              <w:marRight w:val="0"/>
              <w:marTop w:val="0"/>
              <w:marBottom w:val="0"/>
              <w:divBdr>
                <w:top w:val="none" w:sz="0" w:space="0" w:color="auto"/>
                <w:left w:val="none" w:sz="0" w:space="0" w:color="auto"/>
                <w:bottom w:val="none" w:sz="0" w:space="0" w:color="auto"/>
                <w:right w:val="none" w:sz="0" w:space="0" w:color="auto"/>
              </w:divBdr>
            </w:div>
          </w:divsChild>
        </w:div>
        <w:div w:id="1789615862">
          <w:marLeft w:val="0"/>
          <w:marRight w:val="0"/>
          <w:marTop w:val="0"/>
          <w:marBottom w:val="0"/>
          <w:divBdr>
            <w:top w:val="none" w:sz="0" w:space="0" w:color="auto"/>
            <w:left w:val="none" w:sz="0" w:space="0" w:color="auto"/>
            <w:bottom w:val="none" w:sz="0" w:space="0" w:color="auto"/>
            <w:right w:val="none" w:sz="0" w:space="0" w:color="auto"/>
          </w:divBdr>
          <w:divsChild>
            <w:div w:id="1833519028">
              <w:marLeft w:val="0"/>
              <w:marRight w:val="0"/>
              <w:marTop w:val="0"/>
              <w:marBottom w:val="0"/>
              <w:divBdr>
                <w:top w:val="none" w:sz="0" w:space="0" w:color="auto"/>
                <w:left w:val="none" w:sz="0" w:space="0" w:color="auto"/>
                <w:bottom w:val="none" w:sz="0" w:space="0" w:color="auto"/>
                <w:right w:val="none" w:sz="0" w:space="0" w:color="auto"/>
              </w:divBdr>
            </w:div>
          </w:divsChild>
        </w:div>
        <w:div w:id="1834174082">
          <w:marLeft w:val="0"/>
          <w:marRight w:val="0"/>
          <w:marTop w:val="0"/>
          <w:marBottom w:val="0"/>
          <w:divBdr>
            <w:top w:val="none" w:sz="0" w:space="0" w:color="auto"/>
            <w:left w:val="none" w:sz="0" w:space="0" w:color="auto"/>
            <w:bottom w:val="none" w:sz="0" w:space="0" w:color="auto"/>
            <w:right w:val="none" w:sz="0" w:space="0" w:color="auto"/>
          </w:divBdr>
          <w:divsChild>
            <w:div w:id="1876311577">
              <w:marLeft w:val="0"/>
              <w:marRight w:val="0"/>
              <w:marTop w:val="0"/>
              <w:marBottom w:val="0"/>
              <w:divBdr>
                <w:top w:val="none" w:sz="0" w:space="0" w:color="auto"/>
                <w:left w:val="none" w:sz="0" w:space="0" w:color="auto"/>
                <w:bottom w:val="none" w:sz="0" w:space="0" w:color="auto"/>
                <w:right w:val="none" w:sz="0" w:space="0" w:color="auto"/>
              </w:divBdr>
            </w:div>
          </w:divsChild>
        </w:div>
        <w:div w:id="2076538188">
          <w:marLeft w:val="0"/>
          <w:marRight w:val="0"/>
          <w:marTop w:val="0"/>
          <w:marBottom w:val="0"/>
          <w:divBdr>
            <w:top w:val="none" w:sz="0" w:space="0" w:color="auto"/>
            <w:left w:val="none" w:sz="0" w:space="0" w:color="auto"/>
            <w:bottom w:val="none" w:sz="0" w:space="0" w:color="auto"/>
            <w:right w:val="none" w:sz="0" w:space="0" w:color="auto"/>
          </w:divBdr>
          <w:divsChild>
            <w:div w:id="318389726">
              <w:marLeft w:val="0"/>
              <w:marRight w:val="0"/>
              <w:marTop w:val="0"/>
              <w:marBottom w:val="0"/>
              <w:divBdr>
                <w:top w:val="none" w:sz="0" w:space="0" w:color="auto"/>
                <w:left w:val="none" w:sz="0" w:space="0" w:color="auto"/>
                <w:bottom w:val="none" w:sz="0" w:space="0" w:color="auto"/>
                <w:right w:val="none" w:sz="0" w:space="0" w:color="auto"/>
              </w:divBdr>
            </w:div>
          </w:divsChild>
        </w:div>
        <w:div w:id="2092846511">
          <w:marLeft w:val="0"/>
          <w:marRight w:val="0"/>
          <w:marTop w:val="0"/>
          <w:marBottom w:val="0"/>
          <w:divBdr>
            <w:top w:val="none" w:sz="0" w:space="0" w:color="auto"/>
            <w:left w:val="none" w:sz="0" w:space="0" w:color="auto"/>
            <w:bottom w:val="none" w:sz="0" w:space="0" w:color="auto"/>
            <w:right w:val="none" w:sz="0" w:space="0" w:color="auto"/>
          </w:divBdr>
          <w:divsChild>
            <w:div w:id="375590563">
              <w:marLeft w:val="0"/>
              <w:marRight w:val="0"/>
              <w:marTop w:val="0"/>
              <w:marBottom w:val="0"/>
              <w:divBdr>
                <w:top w:val="none" w:sz="0" w:space="0" w:color="auto"/>
                <w:left w:val="none" w:sz="0" w:space="0" w:color="auto"/>
                <w:bottom w:val="none" w:sz="0" w:space="0" w:color="auto"/>
                <w:right w:val="none" w:sz="0" w:space="0" w:color="auto"/>
              </w:divBdr>
            </w:div>
          </w:divsChild>
        </w:div>
        <w:div w:id="2110463541">
          <w:marLeft w:val="0"/>
          <w:marRight w:val="0"/>
          <w:marTop w:val="0"/>
          <w:marBottom w:val="0"/>
          <w:divBdr>
            <w:top w:val="none" w:sz="0" w:space="0" w:color="auto"/>
            <w:left w:val="none" w:sz="0" w:space="0" w:color="auto"/>
            <w:bottom w:val="none" w:sz="0" w:space="0" w:color="auto"/>
            <w:right w:val="none" w:sz="0" w:space="0" w:color="auto"/>
          </w:divBdr>
          <w:divsChild>
            <w:div w:id="1156804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005651">
      <w:bodyDiv w:val="1"/>
      <w:marLeft w:val="0"/>
      <w:marRight w:val="0"/>
      <w:marTop w:val="0"/>
      <w:marBottom w:val="0"/>
      <w:divBdr>
        <w:top w:val="none" w:sz="0" w:space="0" w:color="auto"/>
        <w:left w:val="none" w:sz="0" w:space="0" w:color="auto"/>
        <w:bottom w:val="none" w:sz="0" w:space="0" w:color="auto"/>
        <w:right w:val="none" w:sz="0" w:space="0" w:color="auto"/>
      </w:divBdr>
      <w:divsChild>
        <w:div w:id="101656040">
          <w:marLeft w:val="0"/>
          <w:marRight w:val="0"/>
          <w:marTop w:val="0"/>
          <w:marBottom w:val="0"/>
          <w:divBdr>
            <w:top w:val="none" w:sz="0" w:space="0" w:color="auto"/>
            <w:left w:val="none" w:sz="0" w:space="0" w:color="auto"/>
            <w:bottom w:val="none" w:sz="0" w:space="0" w:color="auto"/>
            <w:right w:val="none" w:sz="0" w:space="0" w:color="auto"/>
          </w:divBdr>
          <w:divsChild>
            <w:div w:id="1064135918">
              <w:marLeft w:val="0"/>
              <w:marRight w:val="0"/>
              <w:marTop w:val="0"/>
              <w:marBottom w:val="0"/>
              <w:divBdr>
                <w:top w:val="none" w:sz="0" w:space="0" w:color="auto"/>
                <w:left w:val="none" w:sz="0" w:space="0" w:color="auto"/>
                <w:bottom w:val="none" w:sz="0" w:space="0" w:color="auto"/>
                <w:right w:val="none" w:sz="0" w:space="0" w:color="auto"/>
              </w:divBdr>
            </w:div>
          </w:divsChild>
        </w:div>
        <w:div w:id="134882736">
          <w:marLeft w:val="0"/>
          <w:marRight w:val="0"/>
          <w:marTop w:val="0"/>
          <w:marBottom w:val="0"/>
          <w:divBdr>
            <w:top w:val="none" w:sz="0" w:space="0" w:color="auto"/>
            <w:left w:val="none" w:sz="0" w:space="0" w:color="auto"/>
            <w:bottom w:val="none" w:sz="0" w:space="0" w:color="auto"/>
            <w:right w:val="none" w:sz="0" w:space="0" w:color="auto"/>
          </w:divBdr>
          <w:divsChild>
            <w:div w:id="536352156">
              <w:marLeft w:val="0"/>
              <w:marRight w:val="0"/>
              <w:marTop w:val="0"/>
              <w:marBottom w:val="0"/>
              <w:divBdr>
                <w:top w:val="none" w:sz="0" w:space="0" w:color="auto"/>
                <w:left w:val="none" w:sz="0" w:space="0" w:color="auto"/>
                <w:bottom w:val="none" w:sz="0" w:space="0" w:color="auto"/>
                <w:right w:val="none" w:sz="0" w:space="0" w:color="auto"/>
              </w:divBdr>
            </w:div>
          </w:divsChild>
        </w:div>
        <w:div w:id="135417837">
          <w:marLeft w:val="0"/>
          <w:marRight w:val="0"/>
          <w:marTop w:val="0"/>
          <w:marBottom w:val="0"/>
          <w:divBdr>
            <w:top w:val="none" w:sz="0" w:space="0" w:color="auto"/>
            <w:left w:val="none" w:sz="0" w:space="0" w:color="auto"/>
            <w:bottom w:val="none" w:sz="0" w:space="0" w:color="auto"/>
            <w:right w:val="none" w:sz="0" w:space="0" w:color="auto"/>
          </w:divBdr>
          <w:divsChild>
            <w:div w:id="246037632">
              <w:marLeft w:val="0"/>
              <w:marRight w:val="0"/>
              <w:marTop w:val="0"/>
              <w:marBottom w:val="0"/>
              <w:divBdr>
                <w:top w:val="none" w:sz="0" w:space="0" w:color="auto"/>
                <w:left w:val="none" w:sz="0" w:space="0" w:color="auto"/>
                <w:bottom w:val="none" w:sz="0" w:space="0" w:color="auto"/>
                <w:right w:val="none" w:sz="0" w:space="0" w:color="auto"/>
              </w:divBdr>
            </w:div>
          </w:divsChild>
        </w:div>
        <w:div w:id="199782802">
          <w:marLeft w:val="0"/>
          <w:marRight w:val="0"/>
          <w:marTop w:val="0"/>
          <w:marBottom w:val="0"/>
          <w:divBdr>
            <w:top w:val="none" w:sz="0" w:space="0" w:color="auto"/>
            <w:left w:val="none" w:sz="0" w:space="0" w:color="auto"/>
            <w:bottom w:val="none" w:sz="0" w:space="0" w:color="auto"/>
            <w:right w:val="none" w:sz="0" w:space="0" w:color="auto"/>
          </w:divBdr>
          <w:divsChild>
            <w:div w:id="817839862">
              <w:marLeft w:val="0"/>
              <w:marRight w:val="0"/>
              <w:marTop w:val="0"/>
              <w:marBottom w:val="0"/>
              <w:divBdr>
                <w:top w:val="none" w:sz="0" w:space="0" w:color="auto"/>
                <w:left w:val="none" w:sz="0" w:space="0" w:color="auto"/>
                <w:bottom w:val="none" w:sz="0" w:space="0" w:color="auto"/>
                <w:right w:val="none" w:sz="0" w:space="0" w:color="auto"/>
              </w:divBdr>
            </w:div>
          </w:divsChild>
        </w:div>
        <w:div w:id="226692156">
          <w:marLeft w:val="0"/>
          <w:marRight w:val="0"/>
          <w:marTop w:val="0"/>
          <w:marBottom w:val="0"/>
          <w:divBdr>
            <w:top w:val="none" w:sz="0" w:space="0" w:color="auto"/>
            <w:left w:val="none" w:sz="0" w:space="0" w:color="auto"/>
            <w:bottom w:val="none" w:sz="0" w:space="0" w:color="auto"/>
            <w:right w:val="none" w:sz="0" w:space="0" w:color="auto"/>
          </w:divBdr>
          <w:divsChild>
            <w:div w:id="1973365313">
              <w:marLeft w:val="0"/>
              <w:marRight w:val="0"/>
              <w:marTop w:val="0"/>
              <w:marBottom w:val="0"/>
              <w:divBdr>
                <w:top w:val="none" w:sz="0" w:space="0" w:color="auto"/>
                <w:left w:val="none" w:sz="0" w:space="0" w:color="auto"/>
                <w:bottom w:val="none" w:sz="0" w:space="0" w:color="auto"/>
                <w:right w:val="none" w:sz="0" w:space="0" w:color="auto"/>
              </w:divBdr>
            </w:div>
          </w:divsChild>
        </w:div>
        <w:div w:id="245774255">
          <w:marLeft w:val="0"/>
          <w:marRight w:val="0"/>
          <w:marTop w:val="0"/>
          <w:marBottom w:val="0"/>
          <w:divBdr>
            <w:top w:val="none" w:sz="0" w:space="0" w:color="auto"/>
            <w:left w:val="none" w:sz="0" w:space="0" w:color="auto"/>
            <w:bottom w:val="none" w:sz="0" w:space="0" w:color="auto"/>
            <w:right w:val="none" w:sz="0" w:space="0" w:color="auto"/>
          </w:divBdr>
          <w:divsChild>
            <w:div w:id="433134050">
              <w:marLeft w:val="0"/>
              <w:marRight w:val="0"/>
              <w:marTop w:val="0"/>
              <w:marBottom w:val="0"/>
              <w:divBdr>
                <w:top w:val="none" w:sz="0" w:space="0" w:color="auto"/>
                <w:left w:val="none" w:sz="0" w:space="0" w:color="auto"/>
                <w:bottom w:val="none" w:sz="0" w:space="0" w:color="auto"/>
                <w:right w:val="none" w:sz="0" w:space="0" w:color="auto"/>
              </w:divBdr>
            </w:div>
          </w:divsChild>
        </w:div>
        <w:div w:id="283343371">
          <w:marLeft w:val="0"/>
          <w:marRight w:val="0"/>
          <w:marTop w:val="0"/>
          <w:marBottom w:val="0"/>
          <w:divBdr>
            <w:top w:val="none" w:sz="0" w:space="0" w:color="auto"/>
            <w:left w:val="none" w:sz="0" w:space="0" w:color="auto"/>
            <w:bottom w:val="none" w:sz="0" w:space="0" w:color="auto"/>
            <w:right w:val="none" w:sz="0" w:space="0" w:color="auto"/>
          </w:divBdr>
          <w:divsChild>
            <w:div w:id="584001412">
              <w:marLeft w:val="0"/>
              <w:marRight w:val="0"/>
              <w:marTop w:val="0"/>
              <w:marBottom w:val="0"/>
              <w:divBdr>
                <w:top w:val="none" w:sz="0" w:space="0" w:color="auto"/>
                <w:left w:val="none" w:sz="0" w:space="0" w:color="auto"/>
                <w:bottom w:val="none" w:sz="0" w:space="0" w:color="auto"/>
                <w:right w:val="none" w:sz="0" w:space="0" w:color="auto"/>
              </w:divBdr>
            </w:div>
          </w:divsChild>
        </w:div>
        <w:div w:id="314381992">
          <w:marLeft w:val="0"/>
          <w:marRight w:val="0"/>
          <w:marTop w:val="0"/>
          <w:marBottom w:val="0"/>
          <w:divBdr>
            <w:top w:val="none" w:sz="0" w:space="0" w:color="auto"/>
            <w:left w:val="none" w:sz="0" w:space="0" w:color="auto"/>
            <w:bottom w:val="none" w:sz="0" w:space="0" w:color="auto"/>
            <w:right w:val="none" w:sz="0" w:space="0" w:color="auto"/>
          </w:divBdr>
          <w:divsChild>
            <w:div w:id="722295334">
              <w:marLeft w:val="0"/>
              <w:marRight w:val="0"/>
              <w:marTop w:val="0"/>
              <w:marBottom w:val="0"/>
              <w:divBdr>
                <w:top w:val="none" w:sz="0" w:space="0" w:color="auto"/>
                <w:left w:val="none" w:sz="0" w:space="0" w:color="auto"/>
                <w:bottom w:val="none" w:sz="0" w:space="0" w:color="auto"/>
                <w:right w:val="none" w:sz="0" w:space="0" w:color="auto"/>
              </w:divBdr>
            </w:div>
          </w:divsChild>
        </w:div>
        <w:div w:id="574970216">
          <w:marLeft w:val="0"/>
          <w:marRight w:val="0"/>
          <w:marTop w:val="0"/>
          <w:marBottom w:val="0"/>
          <w:divBdr>
            <w:top w:val="none" w:sz="0" w:space="0" w:color="auto"/>
            <w:left w:val="none" w:sz="0" w:space="0" w:color="auto"/>
            <w:bottom w:val="none" w:sz="0" w:space="0" w:color="auto"/>
            <w:right w:val="none" w:sz="0" w:space="0" w:color="auto"/>
          </w:divBdr>
          <w:divsChild>
            <w:div w:id="447546219">
              <w:marLeft w:val="0"/>
              <w:marRight w:val="0"/>
              <w:marTop w:val="0"/>
              <w:marBottom w:val="0"/>
              <w:divBdr>
                <w:top w:val="none" w:sz="0" w:space="0" w:color="auto"/>
                <w:left w:val="none" w:sz="0" w:space="0" w:color="auto"/>
                <w:bottom w:val="none" w:sz="0" w:space="0" w:color="auto"/>
                <w:right w:val="none" w:sz="0" w:space="0" w:color="auto"/>
              </w:divBdr>
            </w:div>
          </w:divsChild>
        </w:div>
        <w:div w:id="630132690">
          <w:marLeft w:val="0"/>
          <w:marRight w:val="0"/>
          <w:marTop w:val="0"/>
          <w:marBottom w:val="0"/>
          <w:divBdr>
            <w:top w:val="none" w:sz="0" w:space="0" w:color="auto"/>
            <w:left w:val="none" w:sz="0" w:space="0" w:color="auto"/>
            <w:bottom w:val="none" w:sz="0" w:space="0" w:color="auto"/>
            <w:right w:val="none" w:sz="0" w:space="0" w:color="auto"/>
          </w:divBdr>
          <w:divsChild>
            <w:div w:id="1653099610">
              <w:marLeft w:val="0"/>
              <w:marRight w:val="0"/>
              <w:marTop w:val="0"/>
              <w:marBottom w:val="0"/>
              <w:divBdr>
                <w:top w:val="none" w:sz="0" w:space="0" w:color="auto"/>
                <w:left w:val="none" w:sz="0" w:space="0" w:color="auto"/>
                <w:bottom w:val="none" w:sz="0" w:space="0" w:color="auto"/>
                <w:right w:val="none" w:sz="0" w:space="0" w:color="auto"/>
              </w:divBdr>
            </w:div>
          </w:divsChild>
        </w:div>
        <w:div w:id="649482963">
          <w:marLeft w:val="0"/>
          <w:marRight w:val="0"/>
          <w:marTop w:val="0"/>
          <w:marBottom w:val="0"/>
          <w:divBdr>
            <w:top w:val="none" w:sz="0" w:space="0" w:color="auto"/>
            <w:left w:val="none" w:sz="0" w:space="0" w:color="auto"/>
            <w:bottom w:val="none" w:sz="0" w:space="0" w:color="auto"/>
            <w:right w:val="none" w:sz="0" w:space="0" w:color="auto"/>
          </w:divBdr>
          <w:divsChild>
            <w:div w:id="1354264188">
              <w:marLeft w:val="0"/>
              <w:marRight w:val="0"/>
              <w:marTop w:val="0"/>
              <w:marBottom w:val="0"/>
              <w:divBdr>
                <w:top w:val="none" w:sz="0" w:space="0" w:color="auto"/>
                <w:left w:val="none" w:sz="0" w:space="0" w:color="auto"/>
                <w:bottom w:val="none" w:sz="0" w:space="0" w:color="auto"/>
                <w:right w:val="none" w:sz="0" w:space="0" w:color="auto"/>
              </w:divBdr>
            </w:div>
          </w:divsChild>
        </w:div>
        <w:div w:id="651451109">
          <w:marLeft w:val="0"/>
          <w:marRight w:val="0"/>
          <w:marTop w:val="0"/>
          <w:marBottom w:val="0"/>
          <w:divBdr>
            <w:top w:val="none" w:sz="0" w:space="0" w:color="auto"/>
            <w:left w:val="none" w:sz="0" w:space="0" w:color="auto"/>
            <w:bottom w:val="none" w:sz="0" w:space="0" w:color="auto"/>
            <w:right w:val="none" w:sz="0" w:space="0" w:color="auto"/>
          </w:divBdr>
          <w:divsChild>
            <w:div w:id="764805288">
              <w:marLeft w:val="0"/>
              <w:marRight w:val="0"/>
              <w:marTop w:val="0"/>
              <w:marBottom w:val="0"/>
              <w:divBdr>
                <w:top w:val="none" w:sz="0" w:space="0" w:color="auto"/>
                <w:left w:val="none" w:sz="0" w:space="0" w:color="auto"/>
                <w:bottom w:val="none" w:sz="0" w:space="0" w:color="auto"/>
                <w:right w:val="none" w:sz="0" w:space="0" w:color="auto"/>
              </w:divBdr>
            </w:div>
          </w:divsChild>
        </w:div>
        <w:div w:id="654337504">
          <w:marLeft w:val="0"/>
          <w:marRight w:val="0"/>
          <w:marTop w:val="0"/>
          <w:marBottom w:val="0"/>
          <w:divBdr>
            <w:top w:val="none" w:sz="0" w:space="0" w:color="auto"/>
            <w:left w:val="none" w:sz="0" w:space="0" w:color="auto"/>
            <w:bottom w:val="none" w:sz="0" w:space="0" w:color="auto"/>
            <w:right w:val="none" w:sz="0" w:space="0" w:color="auto"/>
          </w:divBdr>
          <w:divsChild>
            <w:div w:id="51586875">
              <w:marLeft w:val="0"/>
              <w:marRight w:val="0"/>
              <w:marTop w:val="0"/>
              <w:marBottom w:val="0"/>
              <w:divBdr>
                <w:top w:val="none" w:sz="0" w:space="0" w:color="auto"/>
                <w:left w:val="none" w:sz="0" w:space="0" w:color="auto"/>
                <w:bottom w:val="none" w:sz="0" w:space="0" w:color="auto"/>
                <w:right w:val="none" w:sz="0" w:space="0" w:color="auto"/>
              </w:divBdr>
            </w:div>
          </w:divsChild>
        </w:div>
        <w:div w:id="667906673">
          <w:marLeft w:val="0"/>
          <w:marRight w:val="0"/>
          <w:marTop w:val="0"/>
          <w:marBottom w:val="0"/>
          <w:divBdr>
            <w:top w:val="none" w:sz="0" w:space="0" w:color="auto"/>
            <w:left w:val="none" w:sz="0" w:space="0" w:color="auto"/>
            <w:bottom w:val="none" w:sz="0" w:space="0" w:color="auto"/>
            <w:right w:val="none" w:sz="0" w:space="0" w:color="auto"/>
          </w:divBdr>
          <w:divsChild>
            <w:div w:id="1565025605">
              <w:marLeft w:val="0"/>
              <w:marRight w:val="0"/>
              <w:marTop w:val="0"/>
              <w:marBottom w:val="0"/>
              <w:divBdr>
                <w:top w:val="none" w:sz="0" w:space="0" w:color="auto"/>
                <w:left w:val="none" w:sz="0" w:space="0" w:color="auto"/>
                <w:bottom w:val="none" w:sz="0" w:space="0" w:color="auto"/>
                <w:right w:val="none" w:sz="0" w:space="0" w:color="auto"/>
              </w:divBdr>
            </w:div>
          </w:divsChild>
        </w:div>
        <w:div w:id="700671670">
          <w:marLeft w:val="0"/>
          <w:marRight w:val="0"/>
          <w:marTop w:val="0"/>
          <w:marBottom w:val="0"/>
          <w:divBdr>
            <w:top w:val="none" w:sz="0" w:space="0" w:color="auto"/>
            <w:left w:val="none" w:sz="0" w:space="0" w:color="auto"/>
            <w:bottom w:val="none" w:sz="0" w:space="0" w:color="auto"/>
            <w:right w:val="none" w:sz="0" w:space="0" w:color="auto"/>
          </w:divBdr>
          <w:divsChild>
            <w:div w:id="1570267461">
              <w:marLeft w:val="0"/>
              <w:marRight w:val="0"/>
              <w:marTop w:val="0"/>
              <w:marBottom w:val="0"/>
              <w:divBdr>
                <w:top w:val="none" w:sz="0" w:space="0" w:color="auto"/>
                <w:left w:val="none" w:sz="0" w:space="0" w:color="auto"/>
                <w:bottom w:val="none" w:sz="0" w:space="0" w:color="auto"/>
                <w:right w:val="none" w:sz="0" w:space="0" w:color="auto"/>
              </w:divBdr>
            </w:div>
          </w:divsChild>
        </w:div>
        <w:div w:id="731391116">
          <w:marLeft w:val="0"/>
          <w:marRight w:val="0"/>
          <w:marTop w:val="0"/>
          <w:marBottom w:val="0"/>
          <w:divBdr>
            <w:top w:val="none" w:sz="0" w:space="0" w:color="auto"/>
            <w:left w:val="none" w:sz="0" w:space="0" w:color="auto"/>
            <w:bottom w:val="none" w:sz="0" w:space="0" w:color="auto"/>
            <w:right w:val="none" w:sz="0" w:space="0" w:color="auto"/>
          </w:divBdr>
          <w:divsChild>
            <w:div w:id="1052925109">
              <w:marLeft w:val="0"/>
              <w:marRight w:val="0"/>
              <w:marTop w:val="0"/>
              <w:marBottom w:val="0"/>
              <w:divBdr>
                <w:top w:val="none" w:sz="0" w:space="0" w:color="auto"/>
                <w:left w:val="none" w:sz="0" w:space="0" w:color="auto"/>
                <w:bottom w:val="none" w:sz="0" w:space="0" w:color="auto"/>
                <w:right w:val="none" w:sz="0" w:space="0" w:color="auto"/>
              </w:divBdr>
            </w:div>
          </w:divsChild>
        </w:div>
        <w:div w:id="902060522">
          <w:marLeft w:val="0"/>
          <w:marRight w:val="0"/>
          <w:marTop w:val="0"/>
          <w:marBottom w:val="0"/>
          <w:divBdr>
            <w:top w:val="none" w:sz="0" w:space="0" w:color="auto"/>
            <w:left w:val="none" w:sz="0" w:space="0" w:color="auto"/>
            <w:bottom w:val="none" w:sz="0" w:space="0" w:color="auto"/>
            <w:right w:val="none" w:sz="0" w:space="0" w:color="auto"/>
          </w:divBdr>
          <w:divsChild>
            <w:div w:id="1875338051">
              <w:marLeft w:val="0"/>
              <w:marRight w:val="0"/>
              <w:marTop w:val="0"/>
              <w:marBottom w:val="0"/>
              <w:divBdr>
                <w:top w:val="none" w:sz="0" w:space="0" w:color="auto"/>
                <w:left w:val="none" w:sz="0" w:space="0" w:color="auto"/>
                <w:bottom w:val="none" w:sz="0" w:space="0" w:color="auto"/>
                <w:right w:val="none" w:sz="0" w:space="0" w:color="auto"/>
              </w:divBdr>
            </w:div>
          </w:divsChild>
        </w:div>
        <w:div w:id="962421996">
          <w:marLeft w:val="0"/>
          <w:marRight w:val="0"/>
          <w:marTop w:val="0"/>
          <w:marBottom w:val="0"/>
          <w:divBdr>
            <w:top w:val="none" w:sz="0" w:space="0" w:color="auto"/>
            <w:left w:val="none" w:sz="0" w:space="0" w:color="auto"/>
            <w:bottom w:val="none" w:sz="0" w:space="0" w:color="auto"/>
            <w:right w:val="none" w:sz="0" w:space="0" w:color="auto"/>
          </w:divBdr>
          <w:divsChild>
            <w:div w:id="2098137193">
              <w:marLeft w:val="0"/>
              <w:marRight w:val="0"/>
              <w:marTop w:val="0"/>
              <w:marBottom w:val="0"/>
              <w:divBdr>
                <w:top w:val="none" w:sz="0" w:space="0" w:color="auto"/>
                <w:left w:val="none" w:sz="0" w:space="0" w:color="auto"/>
                <w:bottom w:val="none" w:sz="0" w:space="0" w:color="auto"/>
                <w:right w:val="none" w:sz="0" w:space="0" w:color="auto"/>
              </w:divBdr>
            </w:div>
          </w:divsChild>
        </w:div>
        <w:div w:id="976182775">
          <w:marLeft w:val="0"/>
          <w:marRight w:val="0"/>
          <w:marTop w:val="0"/>
          <w:marBottom w:val="0"/>
          <w:divBdr>
            <w:top w:val="none" w:sz="0" w:space="0" w:color="auto"/>
            <w:left w:val="none" w:sz="0" w:space="0" w:color="auto"/>
            <w:bottom w:val="none" w:sz="0" w:space="0" w:color="auto"/>
            <w:right w:val="none" w:sz="0" w:space="0" w:color="auto"/>
          </w:divBdr>
          <w:divsChild>
            <w:div w:id="317922144">
              <w:marLeft w:val="0"/>
              <w:marRight w:val="0"/>
              <w:marTop w:val="0"/>
              <w:marBottom w:val="0"/>
              <w:divBdr>
                <w:top w:val="none" w:sz="0" w:space="0" w:color="auto"/>
                <w:left w:val="none" w:sz="0" w:space="0" w:color="auto"/>
                <w:bottom w:val="none" w:sz="0" w:space="0" w:color="auto"/>
                <w:right w:val="none" w:sz="0" w:space="0" w:color="auto"/>
              </w:divBdr>
            </w:div>
          </w:divsChild>
        </w:div>
        <w:div w:id="1083835050">
          <w:marLeft w:val="0"/>
          <w:marRight w:val="0"/>
          <w:marTop w:val="0"/>
          <w:marBottom w:val="0"/>
          <w:divBdr>
            <w:top w:val="none" w:sz="0" w:space="0" w:color="auto"/>
            <w:left w:val="none" w:sz="0" w:space="0" w:color="auto"/>
            <w:bottom w:val="none" w:sz="0" w:space="0" w:color="auto"/>
            <w:right w:val="none" w:sz="0" w:space="0" w:color="auto"/>
          </w:divBdr>
          <w:divsChild>
            <w:div w:id="1929578024">
              <w:marLeft w:val="0"/>
              <w:marRight w:val="0"/>
              <w:marTop w:val="0"/>
              <w:marBottom w:val="0"/>
              <w:divBdr>
                <w:top w:val="none" w:sz="0" w:space="0" w:color="auto"/>
                <w:left w:val="none" w:sz="0" w:space="0" w:color="auto"/>
                <w:bottom w:val="none" w:sz="0" w:space="0" w:color="auto"/>
                <w:right w:val="none" w:sz="0" w:space="0" w:color="auto"/>
              </w:divBdr>
            </w:div>
          </w:divsChild>
        </w:div>
        <w:div w:id="1184054830">
          <w:marLeft w:val="0"/>
          <w:marRight w:val="0"/>
          <w:marTop w:val="0"/>
          <w:marBottom w:val="0"/>
          <w:divBdr>
            <w:top w:val="none" w:sz="0" w:space="0" w:color="auto"/>
            <w:left w:val="none" w:sz="0" w:space="0" w:color="auto"/>
            <w:bottom w:val="none" w:sz="0" w:space="0" w:color="auto"/>
            <w:right w:val="none" w:sz="0" w:space="0" w:color="auto"/>
          </w:divBdr>
          <w:divsChild>
            <w:div w:id="733822795">
              <w:marLeft w:val="0"/>
              <w:marRight w:val="0"/>
              <w:marTop w:val="0"/>
              <w:marBottom w:val="0"/>
              <w:divBdr>
                <w:top w:val="none" w:sz="0" w:space="0" w:color="auto"/>
                <w:left w:val="none" w:sz="0" w:space="0" w:color="auto"/>
                <w:bottom w:val="none" w:sz="0" w:space="0" w:color="auto"/>
                <w:right w:val="none" w:sz="0" w:space="0" w:color="auto"/>
              </w:divBdr>
            </w:div>
            <w:div w:id="1079058712">
              <w:marLeft w:val="0"/>
              <w:marRight w:val="0"/>
              <w:marTop w:val="0"/>
              <w:marBottom w:val="0"/>
              <w:divBdr>
                <w:top w:val="none" w:sz="0" w:space="0" w:color="auto"/>
                <w:left w:val="none" w:sz="0" w:space="0" w:color="auto"/>
                <w:bottom w:val="none" w:sz="0" w:space="0" w:color="auto"/>
                <w:right w:val="none" w:sz="0" w:space="0" w:color="auto"/>
              </w:divBdr>
            </w:div>
          </w:divsChild>
        </w:div>
        <w:div w:id="1214584748">
          <w:marLeft w:val="0"/>
          <w:marRight w:val="0"/>
          <w:marTop w:val="0"/>
          <w:marBottom w:val="0"/>
          <w:divBdr>
            <w:top w:val="none" w:sz="0" w:space="0" w:color="auto"/>
            <w:left w:val="none" w:sz="0" w:space="0" w:color="auto"/>
            <w:bottom w:val="none" w:sz="0" w:space="0" w:color="auto"/>
            <w:right w:val="none" w:sz="0" w:space="0" w:color="auto"/>
          </w:divBdr>
          <w:divsChild>
            <w:div w:id="890965795">
              <w:marLeft w:val="0"/>
              <w:marRight w:val="0"/>
              <w:marTop w:val="0"/>
              <w:marBottom w:val="0"/>
              <w:divBdr>
                <w:top w:val="none" w:sz="0" w:space="0" w:color="auto"/>
                <w:left w:val="none" w:sz="0" w:space="0" w:color="auto"/>
                <w:bottom w:val="none" w:sz="0" w:space="0" w:color="auto"/>
                <w:right w:val="none" w:sz="0" w:space="0" w:color="auto"/>
              </w:divBdr>
            </w:div>
          </w:divsChild>
        </w:div>
        <w:div w:id="1245452637">
          <w:marLeft w:val="0"/>
          <w:marRight w:val="0"/>
          <w:marTop w:val="0"/>
          <w:marBottom w:val="0"/>
          <w:divBdr>
            <w:top w:val="none" w:sz="0" w:space="0" w:color="auto"/>
            <w:left w:val="none" w:sz="0" w:space="0" w:color="auto"/>
            <w:bottom w:val="none" w:sz="0" w:space="0" w:color="auto"/>
            <w:right w:val="none" w:sz="0" w:space="0" w:color="auto"/>
          </w:divBdr>
          <w:divsChild>
            <w:div w:id="2003315403">
              <w:marLeft w:val="0"/>
              <w:marRight w:val="0"/>
              <w:marTop w:val="0"/>
              <w:marBottom w:val="0"/>
              <w:divBdr>
                <w:top w:val="none" w:sz="0" w:space="0" w:color="auto"/>
                <w:left w:val="none" w:sz="0" w:space="0" w:color="auto"/>
                <w:bottom w:val="none" w:sz="0" w:space="0" w:color="auto"/>
                <w:right w:val="none" w:sz="0" w:space="0" w:color="auto"/>
              </w:divBdr>
            </w:div>
          </w:divsChild>
        </w:div>
        <w:div w:id="1329751582">
          <w:marLeft w:val="0"/>
          <w:marRight w:val="0"/>
          <w:marTop w:val="0"/>
          <w:marBottom w:val="0"/>
          <w:divBdr>
            <w:top w:val="none" w:sz="0" w:space="0" w:color="auto"/>
            <w:left w:val="none" w:sz="0" w:space="0" w:color="auto"/>
            <w:bottom w:val="none" w:sz="0" w:space="0" w:color="auto"/>
            <w:right w:val="none" w:sz="0" w:space="0" w:color="auto"/>
          </w:divBdr>
          <w:divsChild>
            <w:div w:id="855270412">
              <w:marLeft w:val="0"/>
              <w:marRight w:val="0"/>
              <w:marTop w:val="0"/>
              <w:marBottom w:val="0"/>
              <w:divBdr>
                <w:top w:val="none" w:sz="0" w:space="0" w:color="auto"/>
                <w:left w:val="none" w:sz="0" w:space="0" w:color="auto"/>
                <w:bottom w:val="none" w:sz="0" w:space="0" w:color="auto"/>
                <w:right w:val="none" w:sz="0" w:space="0" w:color="auto"/>
              </w:divBdr>
            </w:div>
          </w:divsChild>
        </w:div>
        <w:div w:id="1397050806">
          <w:marLeft w:val="0"/>
          <w:marRight w:val="0"/>
          <w:marTop w:val="0"/>
          <w:marBottom w:val="0"/>
          <w:divBdr>
            <w:top w:val="none" w:sz="0" w:space="0" w:color="auto"/>
            <w:left w:val="none" w:sz="0" w:space="0" w:color="auto"/>
            <w:bottom w:val="none" w:sz="0" w:space="0" w:color="auto"/>
            <w:right w:val="none" w:sz="0" w:space="0" w:color="auto"/>
          </w:divBdr>
          <w:divsChild>
            <w:div w:id="1214923065">
              <w:marLeft w:val="0"/>
              <w:marRight w:val="0"/>
              <w:marTop w:val="0"/>
              <w:marBottom w:val="0"/>
              <w:divBdr>
                <w:top w:val="none" w:sz="0" w:space="0" w:color="auto"/>
                <w:left w:val="none" w:sz="0" w:space="0" w:color="auto"/>
                <w:bottom w:val="none" w:sz="0" w:space="0" w:color="auto"/>
                <w:right w:val="none" w:sz="0" w:space="0" w:color="auto"/>
              </w:divBdr>
            </w:div>
          </w:divsChild>
        </w:div>
        <w:div w:id="1480419638">
          <w:marLeft w:val="0"/>
          <w:marRight w:val="0"/>
          <w:marTop w:val="0"/>
          <w:marBottom w:val="0"/>
          <w:divBdr>
            <w:top w:val="none" w:sz="0" w:space="0" w:color="auto"/>
            <w:left w:val="none" w:sz="0" w:space="0" w:color="auto"/>
            <w:bottom w:val="none" w:sz="0" w:space="0" w:color="auto"/>
            <w:right w:val="none" w:sz="0" w:space="0" w:color="auto"/>
          </w:divBdr>
          <w:divsChild>
            <w:div w:id="1033842964">
              <w:marLeft w:val="0"/>
              <w:marRight w:val="0"/>
              <w:marTop w:val="0"/>
              <w:marBottom w:val="0"/>
              <w:divBdr>
                <w:top w:val="none" w:sz="0" w:space="0" w:color="auto"/>
                <w:left w:val="none" w:sz="0" w:space="0" w:color="auto"/>
                <w:bottom w:val="none" w:sz="0" w:space="0" w:color="auto"/>
                <w:right w:val="none" w:sz="0" w:space="0" w:color="auto"/>
              </w:divBdr>
            </w:div>
          </w:divsChild>
        </w:div>
        <w:div w:id="1487211188">
          <w:marLeft w:val="0"/>
          <w:marRight w:val="0"/>
          <w:marTop w:val="0"/>
          <w:marBottom w:val="0"/>
          <w:divBdr>
            <w:top w:val="none" w:sz="0" w:space="0" w:color="auto"/>
            <w:left w:val="none" w:sz="0" w:space="0" w:color="auto"/>
            <w:bottom w:val="none" w:sz="0" w:space="0" w:color="auto"/>
            <w:right w:val="none" w:sz="0" w:space="0" w:color="auto"/>
          </w:divBdr>
          <w:divsChild>
            <w:div w:id="932011350">
              <w:marLeft w:val="0"/>
              <w:marRight w:val="0"/>
              <w:marTop w:val="0"/>
              <w:marBottom w:val="0"/>
              <w:divBdr>
                <w:top w:val="none" w:sz="0" w:space="0" w:color="auto"/>
                <w:left w:val="none" w:sz="0" w:space="0" w:color="auto"/>
                <w:bottom w:val="none" w:sz="0" w:space="0" w:color="auto"/>
                <w:right w:val="none" w:sz="0" w:space="0" w:color="auto"/>
              </w:divBdr>
            </w:div>
          </w:divsChild>
        </w:div>
        <w:div w:id="1509556884">
          <w:marLeft w:val="0"/>
          <w:marRight w:val="0"/>
          <w:marTop w:val="0"/>
          <w:marBottom w:val="0"/>
          <w:divBdr>
            <w:top w:val="none" w:sz="0" w:space="0" w:color="auto"/>
            <w:left w:val="none" w:sz="0" w:space="0" w:color="auto"/>
            <w:bottom w:val="none" w:sz="0" w:space="0" w:color="auto"/>
            <w:right w:val="none" w:sz="0" w:space="0" w:color="auto"/>
          </w:divBdr>
          <w:divsChild>
            <w:div w:id="1882353971">
              <w:marLeft w:val="0"/>
              <w:marRight w:val="0"/>
              <w:marTop w:val="0"/>
              <w:marBottom w:val="0"/>
              <w:divBdr>
                <w:top w:val="none" w:sz="0" w:space="0" w:color="auto"/>
                <w:left w:val="none" w:sz="0" w:space="0" w:color="auto"/>
                <w:bottom w:val="none" w:sz="0" w:space="0" w:color="auto"/>
                <w:right w:val="none" w:sz="0" w:space="0" w:color="auto"/>
              </w:divBdr>
            </w:div>
          </w:divsChild>
        </w:div>
        <w:div w:id="1530677478">
          <w:marLeft w:val="0"/>
          <w:marRight w:val="0"/>
          <w:marTop w:val="0"/>
          <w:marBottom w:val="0"/>
          <w:divBdr>
            <w:top w:val="none" w:sz="0" w:space="0" w:color="auto"/>
            <w:left w:val="none" w:sz="0" w:space="0" w:color="auto"/>
            <w:bottom w:val="none" w:sz="0" w:space="0" w:color="auto"/>
            <w:right w:val="none" w:sz="0" w:space="0" w:color="auto"/>
          </w:divBdr>
          <w:divsChild>
            <w:div w:id="581525713">
              <w:marLeft w:val="0"/>
              <w:marRight w:val="0"/>
              <w:marTop w:val="0"/>
              <w:marBottom w:val="0"/>
              <w:divBdr>
                <w:top w:val="none" w:sz="0" w:space="0" w:color="auto"/>
                <w:left w:val="none" w:sz="0" w:space="0" w:color="auto"/>
                <w:bottom w:val="none" w:sz="0" w:space="0" w:color="auto"/>
                <w:right w:val="none" w:sz="0" w:space="0" w:color="auto"/>
              </w:divBdr>
            </w:div>
          </w:divsChild>
        </w:div>
        <w:div w:id="1541044938">
          <w:marLeft w:val="0"/>
          <w:marRight w:val="0"/>
          <w:marTop w:val="0"/>
          <w:marBottom w:val="0"/>
          <w:divBdr>
            <w:top w:val="none" w:sz="0" w:space="0" w:color="auto"/>
            <w:left w:val="none" w:sz="0" w:space="0" w:color="auto"/>
            <w:bottom w:val="none" w:sz="0" w:space="0" w:color="auto"/>
            <w:right w:val="none" w:sz="0" w:space="0" w:color="auto"/>
          </w:divBdr>
          <w:divsChild>
            <w:div w:id="330332658">
              <w:marLeft w:val="0"/>
              <w:marRight w:val="0"/>
              <w:marTop w:val="0"/>
              <w:marBottom w:val="0"/>
              <w:divBdr>
                <w:top w:val="none" w:sz="0" w:space="0" w:color="auto"/>
                <w:left w:val="none" w:sz="0" w:space="0" w:color="auto"/>
                <w:bottom w:val="none" w:sz="0" w:space="0" w:color="auto"/>
                <w:right w:val="none" w:sz="0" w:space="0" w:color="auto"/>
              </w:divBdr>
            </w:div>
          </w:divsChild>
        </w:div>
        <w:div w:id="1776055651">
          <w:marLeft w:val="0"/>
          <w:marRight w:val="0"/>
          <w:marTop w:val="0"/>
          <w:marBottom w:val="0"/>
          <w:divBdr>
            <w:top w:val="none" w:sz="0" w:space="0" w:color="auto"/>
            <w:left w:val="none" w:sz="0" w:space="0" w:color="auto"/>
            <w:bottom w:val="none" w:sz="0" w:space="0" w:color="auto"/>
            <w:right w:val="none" w:sz="0" w:space="0" w:color="auto"/>
          </w:divBdr>
          <w:divsChild>
            <w:div w:id="1516848052">
              <w:marLeft w:val="0"/>
              <w:marRight w:val="0"/>
              <w:marTop w:val="0"/>
              <w:marBottom w:val="0"/>
              <w:divBdr>
                <w:top w:val="none" w:sz="0" w:space="0" w:color="auto"/>
                <w:left w:val="none" w:sz="0" w:space="0" w:color="auto"/>
                <w:bottom w:val="none" w:sz="0" w:space="0" w:color="auto"/>
                <w:right w:val="none" w:sz="0" w:space="0" w:color="auto"/>
              </w:divBdr>
            </w:div>
          </w:divsChild>
        </w:div>
        <w:div w:id="1838576499">
          <w:marLeft w:val="0"/>
          <w:marRight w:val="0"/>
          <w:marTop w:val="0"/>
          <w:marBottom w:val="0"/>
          <w:divBdr>
            <w:top w:val="none" w:sz="0" w:space="0" w:color="auto"/>
            <w:left w:val="none" w:sz="0" w:space="0" w:color="auto"/>
            <w:bottom w:val="none" w:sz="0" w:space="0" w:color="auto"/>
            <w:right w:val="none" w:sz="0" w:space="0" w:color="auto"/>
          </w:divBdr>
          <w:divsChild>
            <w:div w:id="1897357014">
              <w:marLeft w:val="0"/>
              <w:marRight w:val="0"/>
              <w:marTop w:val="0"/>
              <w:marBottom w:val="0"/>
              <w:divBdr>
                <w:top w:val="none" w:sz="0" w:space="0" w:color="auto"/>
                <w:left w:val="none" w:sz="0" w:space="0" w:color="auto"/>
                <w:bottom w:val="none" w:sz="0" w:space="0" w:color="auto"/>
                <w:right w:val="none" w:sz="0" w:space="0" w:color="auto"/>
              </w:divBdr>
            </w:div>
          </w:divsChild>
        </w:div>
        <w:div w:id="1866091100">
          <w:marLeft w:val="0"/>
          <w:marRight w:val="0"/>
          <w:marTop w:val="0"/>
          <w:marBottom w:val="0"/>
          <w:divBdr>
            <w:top w:val="none" w:sz="0" w:space="0" w:color="auto"/>
            <w:left w:val="none" w:sz="0" w:space="0" w:color="auto"/>
            <w:bottom w:val="none" w:sz="0" w:space="0" w:color="auto"/>
            <w:right w:val="none" w:sz="0" w:space="0" w:color="auto"/>
          </w:divBdr>
          <w:divsChild>
            <w:div w:id="386950514">
              <w:marLeft w:val="0"/>
              <w:marRight w:val="0"/>
              <w:marTop w:val="0"/>
              <w:marBottom w:val="0"/>
              <w:divBdr>
                <w:top w:val="none" w:sz="0" w:space="0" w:color="auto"/>
                <w:left w:val="none" w:sz="0" w:space="0" w:color="auto"/>
                <w:bottom w:val="none" w:sz="0" w:space="0" w:color="auto"/>
                <w:right w:val="none" w:sz="0" w:space="0" w:color="auto"/>
              </w:divBdr>
            </w:div>
          </w:divsChild>
        </w:div>
        <w:div w:id="1962765986">
          <w:marLeft w:val="0"/>
          <w:marRight w:val="0"/>
          <w:marTop w:val="0"/>
          <w:marBottom w:val="0"/>
          <w:divBdr>
            <w:top w:val="none" w:sz="0" w:space="0" w:color="auto"/>
            <w:left w:val="none" w:sz="0" w:space="0" w:color="auto"/>
            <w:bottom w:val="none" w:sz="0" w:space="0" w:color="auto"/>
            <w:right w:val="none" w:sz="0" w:space="0" w:color="auto"/>
          </w:divBdr>
          <w:divsChild>
            <w:div w:id="1986204950">
              <w:marLeft w:val="0"/>
              <w:marRight w:val="0"/>
              <w:marTop w:val="0"/>
              <w:marBottom w:val="0"/>
              <w:divBdr>
                <w:top w:val="none" w:sz="0" w:space="0" w:color="auto"/>
                <w:left w:val="none" w:sz="0" w:space="0" w:color="auto"/>
                <w:bottom w:val="none" w:sz="0" w:space="0" w:color="auto"/>
                <w:right w:val="none" w:sz="0" w:space="0" w:color="auto"/>
              </w:divBdr>
            </w:div>
          </w:divsChild>
        </w:div>
        <w:div w:id="2066954277">
          <w:marLeft w:val="0"/>
          <w:marRight w:val="0"/>
          <w:marTop w:val="0"/>
          <w:marBottom w:val="0"/>
          <w:divBdr>
            <w:top w:val="none" w:sz="0" w:space="0" w:color="auto"/>
            <w:left w:val="none" w:sz="0" w:space="0" w:color="auto"/>
            <w:bottom w:val="none" w:sz="0" w:space="0" w:color="auto"/>
            <w:right w:val="none" w:sz="0" w:space="0" w:color="auto"/>
          </w:divBdr>
          <w:divsChild>
            <w:div w:id="1522431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500619">
      <w:bodyDiv w:val="1"/>
      <w:marLeft w:val="0"/>
      <w:marRight w:val="0"/>
      <w:marTop w:val="0"/>
      <w:marBottom w:val="0"/>
      <w:divBdr>
        <w:top w:val="none" w:sz="0" w:space="0" w:color="auto"/>
        <w:left w:val="none" w:sz="0" w:space="0" w:color="auto"/>
        <w:bottom w:val="none" w:sz="0" w:space="0" w:color="auto"/>
        <w:right w:val="none" w:sz="0" w:space="0" w:color="auto"/>
      </w:divBdr>
    </w:div>
    <w:div w:id="496918980">
      <w:bodyDiv w:val="1"/>
      <w:marLeft w:val="0"/>
      <w:marRight w:val="0"/>
      <w:marTop w:val="0"/>
      <w:marBottom w:val="0"/>
      <w:divBdr>
        <w:top w:val="none" w:sz="0" w:space="0" w:color="auto"/>
        <w:left w:val="none" w:sz="0" w:space="0" w:color="auto"/>
        <w:bottom w:val="none" w:sz="0" w:space="0" w:color="auto"/>
        <w:right w:val="none" w:sz="0" w:space="0" w:color="auto"/>
      </w:divBdr>
    </w:div>
    <w:div w:id="600723427">
      <w:bodyDiv w:val="1"/>
      <w:marLeft w:val="0"/>
      <w:marRight w:val="0"/>
      <w:marTop w:val="0"/>
      <w:marBottom w:val="0"/>
      <w:divBdr>
        <w:top w:val="none" w:sz="0" w:space="0" w:color="auto"/>
        <w:left w:val="none" w:sz="0" w:space="0" w:color="auto"/>
        <w:bottom w:val="none" w:sz="0" w:space="0" w:color="auto"/>
        <w:right w:val="none" w:sz="0" w:space="0" w:color="auto"/>
      </w:divBdr>
      <w:divsChild>
        <w:div w:id="58333181">
          <w:marLeft w:val="0"/>
          <w:marRight w:val="0"/>
          <w:marTop w:val="0"/>
          <w:marBottom w:val="0"/>
          <w:divBdr>
            <w:top w:val="none" w:sz="0" w:space="0" w:color="auto"/>
            <w:left w:val="none" w:sz="0" w:space="0" w:color="auto"/>
            <w:bottom w:val="none" w:sz="0" w:space="0" w:color="auto"/>
            <w:right w:val="none" w:sz="0" w:space="0" w:color="auto"/>
          </w:divBdr>
          <w:divsChild>
            <w:div w:id="548761951">
              <w:marLeft w:val="0"/>
              <w:marRight w:val="0"/>
              <w:marTop w:val="0"/>
              <w:marBottom w:val="0"/>
              <w:divBdr>
                <w:top w:val="none" w:sz="0" w:space="0" w:color="auto"/>
                <w:left w:val="none" w:sz="0" w:space="0" w:color="auto"/>
                <w:bottom w:val="none" w:sz="0" w:space="0" w:color="auto"/>
                <w:right w:val="none" w:sz="0" w:space="0" w:color="auto"/>
              </w:divBdr>
            </w:div>
          </w:divsChild>
        </w:div>
        <w:div w:id="139806688">
          <w:marLeft w:val="0"/>
          <w:marRight w:val="0"/>
          <w:marTop w:val="0"/>
          <w:marBottom w:val="0"/>
          <w:divBdr>
            <w:top w:val="none" w:sz="0" w:space="0" w:color="auto"/>
            <w:left w:val="none" w:sz="0" w:space="0" w:color="auto"/>
            <w:bottom w:val="none" w:sz="0" w:space="0" w:color="auto"/>
            <w:right w:val="none" w:sz="0" w:space="0" w:color="auto"/>
          </w:divBdr>
          <w:divsChild>
            <w:div w:id="75783565">
              <w:marLeft w:val="0"/>
              <w:marRight w:val="0"/>
              <w:marTop w:val="0"/>
              <w:marBottom w:val="0"/>
              <w:divBdr>
                <w:top w:val="none" w:sz="0" w:space="0" w:color="auto"/>
                <w:left w:val="none" w:sz="0" w:space="0" w:color="auto"/>
                <w:bottom w:val="none" w:sz="0" w:space="0" w:color="auto"/>
                <w:right w:val="none" w:sz="0" w:space="0" w:color="auto"/>
              </w:divBdr>
            </w:div>
          </w:divsChild>
        </w:div>
        <w:div w:id="196361179">
          <w:marLeft w:val="0"/>
          <w:marRight w:val="0"/>
          <w:marTop w:val="0"/>
          <w:marBottom w:val="0"/>
          <w:divBdr>
            <w:top w:val="none" w:sz="0" w:space="0" w:color="auto"/>
            <w:left w:val="none" w:sz="0" w:space="0" w:color="auto"/>
            <w:bottom w:val="none" w:sz="0" w:space="0" w:color="auto"/>
            <w:right w:val="none" w:sz="0" w:space="0" w:color="auto"/>
          </w:divBdr>
          <w:divsChild>
            <w:div w:id="582378380">
              <w:marLeft w:val="0"/>
              <w:marRight w:val="0"/>
              <w:marTop w:val="0"/>
              <w:marBottom w:val="0"/>
              <w:divBdr>
                <w:top w:val="none" w:sz="0" w:space="0" w:color="auto"/>
                <w:left w:val="none" w:sz="0" w:space="0" w:color="auto"/>
                <w:bottom w:val="none" w:sz="0" w:space="0" w:color="auto"/>
                <w:right w:val="none" w:sz="0" w:space="0" w:color="auto"/>
              </w:divBdr>
            </w:div>
          </w:divsChild>
        </w:div>
        <w:div w:id="218631015">
          <w:marLeft w:val="0"/>
          <w:marRight w:val="0"/>
          <w:marTop w:val="0"/>
          <w:marBottom w:val="0"/>
          <w:divBdr>
            <w:top w:val="none" w:sz="0" w:space="0" w:color="auto"/>
            <w:left w:val="none" w:sz="0" w:space="0" w:color="auto"/>
            <w:bottom w:val="none" w:sz="0" w:space="0" w:color="auto"/>
            <w:right w:val="none" w:sz="0" w:space="0" w:color="auto"/>
          </w:divBdr>
          <w:divsChild>
            <w:div w:id="119307840">
              <w:marLeft w:val="0"/>
              <w:marRight w:val="0"/>
              <w:marTop w:val="0"/>
              <w:marBottom w:val="0"/>
              <w:divBdr>
                <w:top w:val="none" w:sz="0" w:space="0" w:color="auto"/>
                <w:left w:val="none" w:sz="0" w:space="0" w:color="auto"/>
                <w:bottom w:val="none" w:sz="0" w:space="0" w:color="auto"/>
                <w:right w:val="none" w:sz="0" w:space="0" w:color="auto"/>
              </w:divBdr>
            </w:div>
          </w:divsChild>
        </w:div>
        <w:div w:id="242960471">
          <w:marLeft w:val="0"/>
          <w:marRight w:val="0"/>
          <w:marTop w:val="0"/>
          <w:marBottom w:val="0"/>
          <w:divBdr>
            <w:top w:val="none" w:sz="0" w:space="0" w:color="auto"/>
            <w:left w:val="none" w:sz="0" w:space="0" w:color="auto"/>
            <w:bottom w:val="none" w:sz="0" w:space="0" w:color="auto"/>
            <w:right w:val="none" w:sz="0" w:space="0" w:color="auto"/>
          </w:divBdr>
          <w:divsChild>
            <w:div w:id="205533558">
              <w:marLeft w:val="0"/>
              <w:marRight w:val="0"/>
              <w:marTop w:val="0"/>
              <w:marBottom w:val="0"/>
              <w:divBdr>
                <w:top w:val="none" w:sz="0" w:space="0" w:color="auto"/>
                <w:left w:val="none" w:sz="0" w:space="0" w:color="auto"/>
                <w:bottom w:val="none" w:sz="0" w:space="0" w:color="auto"/>
                <w:right w:val="none" w:sz="0" w:space="0" w:color="auto"/>
              </w:divBdr>
            </w:div>
          </w:divsChild>
        </w:div>
        <w:div w:id="260576438">
          <w:marLeft w:val="0"/>
          <w:marRight w:val="0"/>
          <w:marTop w:val="0"/>
          <w:marBottom w:val="0"/>
          <w:divBdr>
            <w:top w:val="none" w:sz="0" w:space="0" w:color="auto"/>
            <w:left w:val="none" w:sz="0" w:space="0" w:color="auto"/>
            <w:bottom w:val="none" w:sz="0" w:space="0" w:color="auto"/>
            <w:right w:val="none" w:sz="0" w:space="0" w:color="auto"/>
          </w:divBdr>
          <w:divsChild>
            <w:div w:id="669219949">
              <w:marLeft w:val="0"/>
              <w:marRight w:val="0"/>
              <w:marTop w:val="0"/>
              <w:marBottom w:val="0"/>
              <w:divBdr>
                <w:top w:val="none" w:sz="0" w:space="0" w:color="auto"/>
                <w:left w:val="none" w:sz="0" w:space="0" w:color="auto"/>
                <w:bottom w:val="none" w:sz="0" w:space="0" w:color="auto"/>
                <w:right w:val="none" w:sz="0" w:space="0" w:color="auto"/>
              </w:divBdr>
            </w:div>
          </w:divsChild>
        </w:div>
        <w:div w:id="278730576">
          <w:marLeft w:val="0"/>
          <w:marRight w:val="0"/>
          <w:marTop w:val="0"/>
          <w:marBottom w:val="0"/>
          <w:divBdr>
            <w:top w:val="none" w:sz="0" w:space="0" w:color="auto"/>
            <w:left w:val="none" w:sz="0" w:space="0" w:color="auto"/>
            <w:bottom w:val="none" w:sz="0" w:space="0" w:color="auto"/>
            <w:right w:val="none" w:sz="0" w:space="0" w:color="auto"/>
          </w:divBdr>
          <w:divsChild>
            <w:div w:id="374038075">
              <w:marLeft w:val="0"/>
              <w:marRight w:val="0"/>
              <w:marTop w:val="0"/>
              <w:marBottom w:val="0"/>
              <w:divBdr>
                <w:top w:val="none" w:sz="0" w:space="0" w:color="auto"/>
                <w:left w:val="none" w:sz="0" w:space="0" w:color="auto"/>
                <w:bottom w:val="none" w:sz="0" w:space="0" w:color="auto"/>
                <w:right w:val="none" w:sz="0" w:space="0" w:color="auto"/>
              </w:divBdr>
            </w:div>
          </w:divsChild>
        </w:div>
        <w:div w:id="308435534">
          <w:marLeft w:val="0"/>
          <w:marRight w:val="0"/>
          <w:marTop w:val="0"/>
          <w:marBottom w:val="0"/>
          <w:divBdr>
            <w:top w:val="none" w:sz="0" w:space="0" w:color="auto"/>
            <w:left w:val="none" w:sz="0" w:space="0" w:color="auto"/>
            <w:bottom w:val="none" w:sz="0" w:space="0" w:color="auto"/>
            <w:right w:val="none" w:sz="0" w:space="0" w:color="auto"/>
          </w:divBdr>
          <w:divsChild>
            <w:div w:id="1648049440">
              <w:marLeft w:val="0"/>
              <w:marRight w:val="0"/>
              <w:marTop w:val="0"/>
              <w:marBottom w:val="0"/>
              <w:divBdr>
                <w:top w:val="none" w:sz="0" w:space="0" w:color="auto"/>
                <w:left w:val="none" w:sz="0" w:space="0" w:color="auto"/>
                <w:bottom w:val="none" w:sz="0" w:space="0" w:color="auto"/>
                <w:right w:val="none" w:sz="0" w:space="0" w:color="auto"/>
              </w:divBdr>
            </w:div>
          </w:divsChild>
        </w:div>
        <w:div w:id="428892698">
          <w:marLeft w:val="0"/>
          <w:marRight w:val="0"/>
          <w:marTop w:val="0"/>
          <w:marBottom w:val="0"/>
          <w:divBdr>
            <w:top w:val="none" w:sz="0" w:space="0" w:color="auto"/>
            <w:left w:val="none" w:sz="0" w:space="0" w:color="auto"/>
            <w:bottom w:val="none" w:sz="0" w:space="0" w:color="auto"/>
            <w:right w:val="none" w:sz="0" w:space="0" w:color="auto"/>
          </w:divBdr>
          <w:divsChild>
            <w:div w:id="1486119326">
              <w:marLeft w:val="0"/>
              <w:marRight w:val="0"/>
              <w:marTop w:val="0"/>
              <w:marBottom w:val="0"/>
              <w:divBdr>
                <w:top w:val="none" w:sz="0" w:space="0" w:color="auto"/>
                <w:left w:val="none" w:sz="0" w:space="0" w:color="auto"/>
                <w:bottom w:val="none" w:sz="0" w:space="0" w:color="auto"/>
                <w:right w:val="none" w:sz="0" w:space="0" w:color="auto"/>
              </w:divBdr>
            </w:div>
          </w:divsChild>
        </w:div>
        <w:div w:id="437138269">
          <w:marLeft w:val="0"/>
          <w:marRight w:val="0"/>
          <w:marTop w:val="0"/>
          <w:marBottom w:val="0"/>
          <w:divBdr>
            <w:top w:val="none" w:sz="0" w:space="0" w:color="auto"/>
            <w:left w:val="none" w:sz="0" w:space="0" w:color="auto"/>
            <w:bottom w:val="none" w:sz="0" w:space="0" w:color="auto"/>
            <w:right w:val="none" w:sz="0" w:space="0" w:color="auto"/>
          </w:divBdr>
          <w:divsChild>
            <w:div w:id="1290552242">
              <w:marLeft w:val="0"/>
              <w:marRight w:val="0"/>
              <w:marTop w:val="0"/>
              <w:marBottom w:val="0"/>
              <w:divBdr>
                <w:top w:val="none" w:sz="0" w:space="0" w:color="auto"/>
                <w:left w:val="none" w:sz="0" w:space="0" w:color="auto"/>
                <w:bottom w:val="none" w:sz="0" w:space="0" w:color="auto"/>
                <w:right w:val="none" w:sz="0" w:space="0" w:color="auto"/>
              </w:divBdr>
            </w:div>
          </w:divsChild>
        </w:div>
        <w:div w:id="462116348">
          <w:marLeft w:val="0"/>
          <w:marRight w:val="0"/>
          <w:marTop w:val="0"/>
          <w:marBottom w:val="0"/>
          <w:divBdr>
            <w:top w:val="none" w:sz="0" w:space="0" w:color="auto"/>
            <w:left w:val="none" w:sz="0" w:space="0" w:color="auto"/>
            <w:bottom w:val="none" w:sz="0" w:space="0" w:color="auto"/>
            <w:right w:val="none" w:sz="0" w:space="0" w:color="auto"/>
          </w:divBdr>
          <w:divsChild>
            <w:div w:id="875049278">
              <w:marLeft w:val="0"/>
              <w:marRight w:val="0"/>
              <w:marTop w:val="0"/>
              <w:marBottom w:val="0"/>
              <w:divBdr>
                <w:top w:val="none" w:sz="0" w:space="0" w:color="auto"/>
                <w:left w:val="none" w:sz="0" w:space="0" w:color="auto"/>
                <w:bottom w:val="none" w:sz="0" w:space="0" w:color="auto"/>
                <w:right w:val="none" w:sz="0" w:space="0" w:color="auto"/>
              </w:divBdr>
            </w:div>
          </w:divsChild>
        </w:div>
        <w:div w:id="534655828">
          <w:marLeft w:val="0"/>
          <w:marRight w:val="0"/>
          <w:marTop w:val="0"/>
          <w:marBottom w:val="0"/>
          <w:divBdr>
            <w:top w:val="none" w:sz="0" w:space="0" w:color="auto"/>
            <w:left w:val="none" w:sz="0" w:space="0" w:color="auto"/>
            <w:bottom w:val="none" w:sz="0" w:space="0" w:color="auto"/>
            <w:right w:val="none" w:sz="0" w:space="0" w:color="auto"/>
          </w:divBdr>
          <w:divsChild>
            <w:div w:id="1003777576">
              <w:marLeft w:val="0"/>
              <w:marRight w:val="0"/>
              <w:marTop w:val="0"/>
              <w:marBottom w:val="0"/>
              <w:divBdr>
                <w:top w:val="none" w:sz="0" w:space="0" w:color="auto"/>
                <w:left w:val="none" w:sz="0" w:space="0" w:color="auto"/>
                <w:bottom w:val="none" w:sz="0" w:space="0" w:color="auto"/>
                <w:right w:val="none" w:sz="0" w:space="0" w:color="auto"/>
              </w:divBdr>
            </w:div>
          </w:divsChild>
        </w:div>
        <w:div w:id="592055459">
          <w:marLeft w:val="0"/>
          <w:marRight w:val="0"/>
          <w:marTop w:val="0"/>
          <w:marBottom w:val="0"/>
          <w:divBdr>
            <w:top w:val="none" w:sz="0" w:space="0" w:color="auto"/>
            <w:left w:val="none" w:sz="0" w:space="0" w:color="auto"/>
            <w:bottom w:val="none" w:sz="0" w:space="0" w:color="auto"/>
            <w:right w:val="none" w:sz="0" w:space="0" w:color="auto"/>
          </w:divBdr>
          <w:divsChild>
            <w:div w:id="536313482">
              <w:marLeft w:val="0"/>
              <w:marRight w:val="0"/>
              <w:marTop w:val="0"/>
              <w:marBottom w:val="0"/>
              <w:divBdr>
                <w:top w:val="none" w:sz="0" w:space="0" w:color="auto"/>
                <w:left w:val="none" w:sz="0" w:space="0" w:color="auto"/>
                <w:bottom w:val="none" w:sz="0" w:space="0" w:color="auto"/>
                <w:right w:val="none" w:sz="0" w:space="0" w:color="auto"/>
              </w:divBdr>
            </w:div>
          </w:divsChild>
        </w:div>
        <w:div w:id="672100780">
          <w:marLeft w:val="0"/>
          <w:marRight w:val="0"/>
          <w:marTop w:val="0"/>
          <w:marBottom w:val="0"/>
          <w:divBdr>
            <w:top w:val="none" w:sz="0" w:space="0" w:color="auto"/>
            <w:left w:val="none" w:sz="0" w:space="0" w:color="auto"/>
            <w:bottom w:val="none" w:sz="0" w:space="0" w:color="auto"/>
            <w:right w:val="none" w:sz="0" w:space="0" w:color="auto"/>
          </w:divBdr>
          <w:divsChild>
            <w:div w:id="765419267">
              <w:marLeft w:val="0"/>
              <w:marRight w:val="0"/>
              <w:marTop w:val="0"/>
              <w:marBottom w:val="0"/>
              <w:divBdr>
                <w:top w:val="none" w:sz="0" w:space="0" w:color="auto"/>
                <w:left w:val="none" w:sz="0" w:space="0" w:color="auto"/>
                <w:bottom w:val="none" w:sz="0" w:space="0" w:color="auto"/>
                <w:right w:val="none" w:sz="0" w:space="0" w:color="auto"/>
              </w:divBdr>
            </w:div>
          </w:divsChild>
        </w:div>
        <w:div w:id="792596387">
          <w:marLeft w:val="0"/>
          <w:marRight w:val="0"/>
          <w:marTop w:val="0"/>
          <w:marBottom w:val="0"/>
          <w:divBdr>
            <w:top w:val="none" w:sz="0" w:space="0" w:color="auto"/>
            <w:left w:val="none" w:sz="0" w:space="0" w:color="auto"/>
            <w:bottom w:val="none" w:sz="0" w:space="0" w:color="auto"/>
            <w:right w:val="none" w:sz="0" w:space="0" w:color="auto"/>
          </w:divBdr>
          <w:divsChild>
            <w:div w:id="745961451">
              <w:marLeft w:val="0"/>
              <w:marRight w:val="0"/>
              <w:marTop w:val="0"/>
              <w:marBottom w:val="0"/>
              <w:divBdr>
                <w:top w:val="none" w:sz="0" w:space="0" w:color="auto"/>
                <w:left w:val="none" w:sz="0" w:space="0" w:color="auto"/>
                <w:bottom w:val="none" w:sz="0" w:space="0" w:color="auto"/>
                <w:right w:val="none" w:sz="0" w:space="0" w:color="auto"/>
              </w:divBdr>
            </w:div>
          </w:divsChild>
        </w:div>
        <w:div w:id="872964238">
          <w:marLeft w:val="0"/>
          <w:marRight w:val="0"/>
          <w:marTop w:val="0"/>
          <w:marBottom w:val="0"/>
          <w:divBdr>
            <w:top w:val="none" w:sz="0" w:space="0" w:color="auto"/>
            <w:left w:val="none" w:sz="0" w:space="0" w:color="auto"/>
            <w:bottom w:val="none" w:sz="0" w:space="0" w:color="auto"/>
            <w:right w:val="none" w:sz="0" w:space="0" w:color="auto"/>
          </w:divBdr>
          <w:divsChild>
            <w:div w:id="969019981">
              <w:marLeft w:val="0"/>
              <w:marRight w:val="0"/>
              <w:marTop w:val="0"/>
              <w:marBottom w:val="0"/>
              <w:divBdr>
                <w:top w:val="none" w:sz="0" w:space="0" w:color="auto"/>
                <w:left w:val="none" w:sz="0" w:space="0" w:color="auto"/>
                <w:bottom w:val="none" w:sz="0" w:space="0" w:color="auto"/>
                <w:right w:val="none" w:sz="0" w:space="0" w:color="auto"/>
              </w:divBdr>
            </w:div>
          </w:divsChild>
        </w:div>
        <w:div w:id="898900301">
          <w:marLeft w:val="0"/>
          <w:marRight w:val="0"/>
          <w:marTop w:val="0"/>
          <w:marBottom w:val="0"/>
          <w:divBdr>
            <w:top w:val="none" w:sz="0" w:space="0" w:color="auto"/>
            <w:left w:val="none" w:sz="0" w:space="0" w:color="auto"/>
            <w:bottom w:val="none" w:sz="0" w:space="0" w:color="auto"/>
            <w:right w:val="none" w:sz="0" w:space="0" w:color="auto"/>
          </w:divBdr>
          <w:divsChild>
            <w:div w:id="843517868">
              <w:marLeft w:val="0"/>
              <w:marRight w:val="0"/>
              <w:marTop w:val="0"/>
              <w:marBottom w:val="0"/>
              <w:divBdr>
                <w:top w:val="none" w:sz="0" w:space="0" w:color="auto"/>
                <w:left w:val="none" w:sz="0" w:space="0" w:color="auto"/>
                <w:bottom w:val="none" w:sz="0" w:space="0" w:color="auto"/>
                <w:right w:val="none" w:sz="0" w:space="0" w:color="auto"/>
              </w:divBdr>
            </w:div>
          </w:divsChild>
        </w:div>
        <w:div w:id="939489158">
          <w:marLeft w:val="0"/>
          <w:marRight w:val="0"/>
          <w:marTop w:val="0"/>
          <w:marBottom w:val="0"/>
          <w:divBdr>
            <w:top w:val="none" w:sz="0" w:space="0" w:color="auto"/>
            <w:left w:val="none" w:sz="0" w:space="0" w:color="auto"/>
            <w:bottom w:val="none" w:sz="0" w:space="0" w:color="auto"/>
            <w:right w:val="none" w:sz="0" w:space="0" w:color="auto"/>
          </w:divBdr>
          <w:divsChild>
            <w:div w:id="630748660">
              <w:marLeft w:val="0"/>
              <w:marRight w:val="0"/>
              <w:marTop w:val="0"/>
              <w:marBottom w:val="0"/>
              <w:divBdr>
                <w:top w:val="none" w:sz="0" w:space="0" w:color="auto"/>
                <w:left w:val="none" w:sz="0" w:space="0" w:color="auto"/>
                <w:bottom w:val="none" w:sz="0" w:space="0" w:color="auto"/>
                <w:right w:val="none" w:sz="0" w:space="0" w:color="auto"/>
              </w:divBdr>
            </w:div>
          </w:divsChild>
        </w:div>
        <w:div w:id="985863941">
          <w:marLeft w:val="0"/>
          <w:marRight w:val="0"/>
          <w:marTop w:val="0"/>
          <w:marBottom w:val="0"/>
          <w:divBdr>
            <w:top w:val="none" w:sz="0" w:space="0" w:color="auto"/>
            <w:left w:val="none" w:sz="0" w:space="0" w:color="auto"/>
            <w:bottom w:val="none" w:sz="0" w:space="0" w:color="auto"/>
            <w:right w:val="none" w:sz="0" w:space="0" w:color="auto"/>
          </w:divBdr>
          <w:divsChild>
            <w:div w:id="317342499">
              <w:marLeft w:val="0"/>
              <w:marRight w:val="0"/>
              <w:marTop w:val="0"/>
              <w:marBottom w:val="0"/>
              <w:divBdr>
                <w:top w:val="none" w:sz="0" w:space="0" w:color="auto"/>
                <w:left w:val="none" w:sz="0" w:space="0" w:color="auto"/>
                <w:bottom w:val="none" w:sz="0" w:space="0" w:color="auto"/>
                <w:right w:val="none" w:sz="0" w:space="0" w:color="auto"/>
              </w:divBdr>
            </w:div>
          </w:divsChild>
        </w:div>
        <w:div w:id="1102720801">
          <w:marLeft w:val="0"/>
          <w:marRight w:val="0"/>
          <w:marTop w:val="0"/>
          <w:marBottom w:val="0"/>
          <w:divBdr>
            <w:top w:val="none" w:sz="0" w:space="0" w:color="auto"/>
            <w:left w:val="none" w:sz="0" w:space="0" w:color="auto"/>
            <w:bottom w:val="none" w:sz="0" w:space="0" w:color="auto"/>
            <w:right w:val="none" w:sz="0" w:space="0" w:color="auto"/>
          </w:divBdr>
          <w:divsChild>
            <w:div w:id="227499250">
              <w:marLeft w:val="0"/>
              <w:marRight w:val="0"/>
              <w:marTop w:val="0"/>
              <w:marBottom w:val="0"/>
              <w:divBdr>
                <w:top w:val="none" w:sz="0" w:space="0" w:color="auto"/>
                <w:left w:val="none" w:sz="0" w:space="0" w:color="auto"/>
                <w:bottom w:val="none" w:sz="0" w:space="0" w:color="auto"/>
                <w:right w:val="none" w:sz="0" w:space="0" w:color="auto"/>
              </w:divBdr>
            </w:div>
          </w:divsChild>
        </w:div>
        <w:div w:id="1135682191">
          <w:marLeft w:val="0"/>
          <w:marRight w:val="0"/>
          <w:marTop w:val="0"/>
          <w:marBottom w:val="0"/>
          <w:divBdr>
            <w:top w:val="none" w:sz="0" w:space="0" w:color="auto"/>
            <w:left w:val="none" w:sz="0" w:space="0" w:color="auto"/>
            <w:bottom w:val="none" w:sz="0" w:space="0" w:color="auto"/>
            <w:right w:val="none" w:sz="0" w:space="0" w:color="auto"/>
          </w:divBdr>
          <w:divsChild>
            <w:div w:id="1224372404">
              <w:marLeft w:val="0"/>
              <w:marRight w:val="0"/>
              <w:marTop w:val="0"/>
              <w:marBottom w:val="0"/>
              <w:divBdr>
                <w:top w:val="none" w:sz="0" w:space="0" w:color="auto"/>
                <w:left w:val="none" w:sz="0" w:space="0" w:color="auto"/>
                <w:bottom w:val="none" w:sz="0" w:space="0" w:color="auto"/>
                <w:right w:val="none" w:sz="0" w:space="0" w:color="auto"/>
              </w:divBdr>
            </w:div>
          </w:divsChild>
        </w:div>
        <w:div w:id="1416855512">
          <w:marLeft w:val="0"/>
          <w:marRight w:val="0"/>
          <w:marTop w:val="0"/>
          <w:marBottom w:val="0"/>
          <w:divBdr>
            <w:top w:val="none" w:sz="0" w:space="0" w:color="auto"/>
            <w:left w:val="none" w:sz="0" w:space="0" w:color="auto"/>
            <w:bottom w:val="none" w:sz="0" w:space="0" w:color="auto"/>
            <w:right w:val="none" w:sz="0" w:space="0" w:color="auto"/>
          </w:divBdr>
          <w:divsChild>
            <w:div w:id="225843064">
              <w:marLeft w:val="0"/>
              <w:marRight w:val="0"/>
              <w:marTop w:val="0"/>
              <w:marBottom w:val="0"/>
              <w:divBdr>
                <w:top w:val="none" w:sz="0" w:space="0" w:color="auto"/>
                <w:left w:val="none" w:sz="0" w:space="0" w:color="auto"/>
                <w:bottom w:val="none" w:sz="0" w:space="0" w:color="auto"/>
                <w:right w:val="none" w:sz="0" w:space="0" w:color="auto"/>
              </w:divBdr>
            </w:div>
          </w:divsChild>
        </w:div>
        <w:div w:id="1424255735">
          <w:marLeft w:val="0"/>
          <w:marRight w:val="0"/>
          <w:marTop w:val="0"/>
          <w:marBottom w:val="0"/>
          <w:divBdr>
            <w:top w:val="none" w:sz="0" w:space="0" w:color="auto"/>
            <w:left w:val="none" w:sz="0" w:space="0" w:color="auto"/>
            <w:bottom w:val="none" w:sz="0" w:space="0" w:color="auto"/>
            <w:right w:val="none" w:sz="0" w:space="0" w:color="auto"/>
          </w:divBdr>
          <w:divsChild>
            <w:div w:id="318191759">
              <w:marLeft w:val="0"/>
              <w:marRight w:val="0"/>
              <w:marTop w:val="0"/>
              <w:marBottom w:val="0"/>
              <w:divBdr>
                <w:top w:val="none" w:sz="0" w:space="0" w:color="auto"/>
                <w:left w:val="none" w:sz="0" w:space="0" w:color="auto"/>
                <w:bottom w:val="none" w:sz="0" w:space="0" w:color="auto"/>
                <w:right w:val="none" w:sz="0" w:space="0" w:color="auto"/>
              </w:divBdr>
            </w:div>
          </w:divsChild>
        </w:div>
        <w:div w:id="1483539358">
          <w:marLeft w:val="0"/>
          <w:marRight w:val="0"/>
          <w:marTop w:val="0"/>
          <w:marBottom w:val="0"/>
          <w:divBdr>
            <w:top w:val="none" w:sz="0" w:space="0" w:color="auto"/>
            <w:left w:val="none" w:sz="0" w:space="0" w:color="auto"/>
            <w:bottom w:val="none" w:sz="0" w:space="0" w:color="auto"/>
            <w:right w:val="none" w:sz="0" w:space="0" w:color="auto"/>
          </w:divBdr>
          <w:divsChild>
            <w:div w:id="444542107">
              <w:marLeft w:val="0"/>
              <w:marRight w:val="0"/>
              <w:marTop w:val="0"/>
              <w:marBottom w:val="0"/>
              <w:divBdr>
                <w:top w:val="none" w:sz="0" w:space="0" w:color="auto"/>
                <w:left w:val="none" w:sz="0" w:space="0" w:color="auto"/>
                <w:bottom w:val="none" w:sz="0" w:space="0" w:color="auto"/>
                <w:right w:val="none" w:sz="0" w:space="0" w:color="auto"/>
              </w:divBdr>
            </w:div>
          </w:divsChild>
        </w:div>
        <w:div w:id="1491825673">
          <w:marLeft w:val="0"/>
          <w:marRight w:val="0"/>
          <w:marTop w:val="0"/>
          <w:marBottom w:val="0"/>
          <w:divBdr>
            <w:top w:val="none" w:sz="0" w:space="0" w:color="auto"/>
            <w:left w:val="none" w:sz="0" w:space="0" w:color="auto"/>
            <w:bottom w:val="none" w:sz="0" w:space="0" w:color="auto"/>
            <w:right w:val="none" w:sz="0" w:space="0" w:color="auto"/>
          </w:divBdr>
          <w:divsChild>
            <w:div w:id="2117864251">
              <w:marLeft w:val="0"/>
              <w:marRight w:val="0"/>
              <w:marTop w:val="0"/>
              <w:marBottom w:val="0"/>
              <w:divBdr>
                <w:top w:val="none" w:sz="0" w:space="0" w:color="auto"/>
                <w:left w:val="none" w:sz="0" w:space="0" w:color="auto"/>
                <w:bottom w:val="none" w:sz="0" w:space="0" w:color="auto"/>
                <w:right w:val="none" w:sz="0" w:space="0" w:color="auto"/>
              </w:divBdr>
            </w:div>
          </w:divsChild>
        </w:div>
        <w:div w:id="1533616431">
          <w:marLeft w:val="0"/>
          <w:marRight w:val="0"/>
          <w:marTop w:val="0"/>
          <w:marBottom w:val="0"/>
          <w:divBdr>
            <w:top w:val="none" w:sz="0" w:space="0" w:color="auto"/>
            <w:left w:val="none" w:sz="0" w:space="0" w:color="auto"/>
            <w:bottom w:val="none" w:sz="0" w:space="0" w:color="auto"/>
            <w:right w:val="none" w:sz="0" w:space="0" w:color="auto"/>
          </w:divBdr>
          <w:divsChild>
            <w:div w:id="1377461034">
              <w:marLeft w:val="0"/>
              <w:marRight w:val="0"/>
              <w:marTop w:val="0"/>
              <w:marBottom w:val="0"/>
              <w:divBdr>
                <w:top w:val="none" w:sz="0" w:space="0" w:color="auto"/>
                <w:left w:val="none" w:sz="0" w:space="0" w:color="auto"/>
                <w:bottom w:val="none" w:sz="0" w:space="0" w:color="auto"/>
                <w:right w:val="none" w:sz="0" w:space="0" w:color="auto"/>
              </w:divBdr>
            </w:div>
          </w:divsChild>
        </w:div>
        <w:div w:id="1614704539">
          <w:marLeft w:val="0"/>
          <w:marRight w:val="0"/>
          <w:marTop w:val="0"/>
          <w:marBottom w:val="0"/>
          <w:divBdr>
            <w:top w:val="none" w:sz="0" w:space="0" w:color="auto"/>
            <w:left w:val="none" w:sz="0" w:space="0" w:color="auto"/>
            <w:bottom w:val="none" w:sz="0" w:space="0" w:color="auto"/>
            <w:right w:val="none" w:sz="0" w:space="0" w:color="auto"/>
          </w:divBdr>
          <w:divsChild>
            <w:div w:id="1894923764">
              <w:marLeft w:val="0"/>
              <w:marRight w:val="0"/>
              <w:marTop w:val="0"/>
              <w:marBottom w:val="0"/>
              <w:divBdr>
                <w:top w:val="none" w:sz="0" w:space="0" w:color="auto"/>
                <w:left w:val="none" w:sz="0" w:space="0" w:color="auto"/>
                <w:bottom w:val="none" w:sz="0" w:space="0" w:color="auto"/>
                <w:right w:val="none" w:sz="0" w:space="0" w:color="auto"/>
              </w:divBdr>
            </w:div>
          </w:divsChild>
        </w:div>
        <w:div w:id="1650133720">
          <w:marLeft w:val="0"/>
          <w:marRight w:val="0"/>
          <w:marTop w:val="0"/>
          <w:marBottom w:val="0"/>
          <w:divBdr>
            <w:top w:val="none" w:sz="0" w:space="0" w:color="auto"/>
            <w:left w:val="none" w:sz="0" w:space="0" w:color="auto"/>
            <w:bottom w:val="none" w:sz="0" w:space="0" w:color="auto"/>
            <w:right w:val="none" w:sz="0" w:space="0" w:color="auto"/>
          </w:divBdr>
          <w:divsChild>
            <w:div w:id="1928229161">
              <w:marLeft w:val="0"/>
              <w:marRight w:val="0"/>
              <w:marTop w:val="0"/>
              <w:marBottom w:val="0"/>
              <w:divBdr>
                <w:top w:val="none" w:sz="0" w:space="0" w:color="auto"/>
                <w:left w:val="none" w:sz="0" w:space="0" w:color="auto"/>
                <w:bottom w:val="none" w:sz="0" w:space="0" w:color="auto"/>
                <w:right w:val="none" w:sz="0" w:space="0" w:color="auto"/>
              </w:divBdr>
            </w:div>
          </w:divsChild>
        </w:div>
        <w:div w:id="1680615073">
          <w:marLeft w:val="0"/>
          <w:marRight w:val="0"/>
          <w:marTop w:val="0"/>
          <w:marBottom w:val="0"/>
          <w:divBdr>
            <w:top w:val="none" w:sz="0" w:space="0" w:color="auto"/>
            <w:left w:val="none" w:sz="0" w:space="0" w:color="auto"/>
            <w:bottom w:val="none" w:sz="0" w:space="0" w:color="auto"/>
            <w:right w:val="none" w:sz="0" w:space="0" w:color="auto"/>
          </w:divBdr>
          <w:divsChild>
            <w:div w:id="1956015111">
              <w:marLeft w:val="0"/>
              <w:marRight w:val="0"/>
              <w:marTop w:val="0"/>
              <w:marBottom w:val="0"/>
              <w:divBdr>
                <w:top w:val="none" w:sz="0" w:space="0" w:color="auto"/>
                <w:left w:val="none" w:sz="0" w:space="0" w:color="auto"/>
                <w:bottom w:val="none" w:sz="0" w:space="0" w:color="auto"/>
                <w:right w:val="none" w:sz="0" w:space="0" w:color="auto"/>
              </w:divBdr>
            </w:div>
          </w:divsChild>
        </w:div>
        <w:div w:id="1748112270">
          <w:marLeft w:val="0"/>
          <w:marRight w:val="0"/>
          <w:marTop w:val="0"/>
          <w:marBottom w:val="0"/>
          <w:divBdr>
            <w:top w:val="none" w:sz="0" w:space="0" w:color="auto"/>
            <w:left w:val="none" w:sz="0" w:space="0" w:color="auto"/>
            <w:bottom w:val="none" w:sz="0" w:space="0" w:color="auto"/>
            <w:right w:val="none" w:sz="0" w:space="0" w:color="auto"/>
          </w:divBdr>
          <w:divsChild>
            <w:div w:id="141700645">
              <w:marLeft w:val="0"/>
              <w:marRight w:val="0"/>
              <w:marTop w:val="0"/>
              <w:marBottom w:val="0"/>
              <w:divBdr>
                <w:top w:val="none" w:sz="0" w:space="0" w:color="auto"/>
                <w:left w:val="none" w:sz="0" w:space="0" w:color="auto"/>
                <w:bottom w:val="none" w:sz="0" w:space="0" w:color="auto"/>
                <w:right w:val="none" w:sz="0" w:space="0" w:color="auto"/>
              </w:divBdr>
            </w:div>
          </w:divsChild>
        </w:div>
        <w:div w:id="1868987411">
          <w:marLeft w:val="0"/>
          <w:marRight w:val="0"/>
          <w:marTop w:val="0"/>
          <w:marBottom w:val="0"/>
          <w:divBdr>
            <w:top w:val="none" w:sz="0" w:space="0" w:color="auto"/>
            <w:left w:val="none" w:sz="0" w:space="0" w:color="auto"/>
            <w:bottom w:val="none" w:sz="0" w:space="0" w:color="auto"/>
            <w:right w:val="none" w:sz="0" w:space="0" w:color="auto"/>
          </w:divBdr>
          <w:divsChild>
            <w:div w:id="1008412037">
              <w:marLeft w:val="0"/>
              <w:marRight w:val="0"/>
              <w:marTop w:val="0"/>
              <w:marBottom w:val="0"/>
              <w:divBdr>
                <w:top w:val="none" w:sz="0" w:space="0" w:color="auto"/>
                <w:left w:val="none" w:sz="0" w:space="0" w:color="auto"/>
                <w:bottom w:val="none" w:sz="0" w:space="0" w:color="auto"/>
                <w:right w:val="none" w:sz="0" w:space="0" w:color="auto"/>
              </w:divBdr>
            </w:div>
            <w:div w:id="1461998723">
              <w:marLeft w:val="0"/>
              <w:marRight w:val="0"/>
              <w:marTop w:val="0"/>
              <w:marBottom w:val="0"/>
              <w:divBdr>
                <w:top w:val="none" w:sz="0" w:space="0" w:color="auto"/>
                <w:left w:val="none" w:sz="0" w:space="0" w:color="auto"/>
                <w:bottom w:val="none" w:sz="0" w:space="0" w:color="auto"/>
                <w:right w:val="none" w:sz="0" w:space="0" w:color="auto"/>
              </w:divBdr>
            </w:div>
          </w:divsChild>
        </w:div>
        <w:div w:id="2000578039">
          <w:marLeft w:val="0"/>
          <w:marRight w:val="0"/>
          <w:marTop w:val="0"/>
          <w:marBottom w:val="0"/>
          <w:divBdr>
            <w:top w:val="none" w:sz="0" w:space="0" w:color="auto"/>
            <w:left w:val="none" w:sz="0" w:space="0" w:color="auto"/>
            <w:bottom w:val="none" w:sz="0" w:space="0" w:color="auto"/>
            <w:right w:val="none" w:sz="0" w:space="0" w:color="auto"/>
          </w:divBdr>
          <w:divsChild>
            <w:div w:id="1246763136">
              <w:marLeft w:val="0"/>
              <w:marRight w:val="0"/>
              <w:marTop w:val="0"/>
              <w:marBottom w:val="0"/>
              <w:divBdr>
                <w:top w:val="none" w:sz="0" w:space="0" w:color="auto"/>
                <w:left w:val="none" w:sz="0" w:space="0" w:color="auto"/>
                <w:bottom w:val="none" w:sz="0" w:space="0" w:color="auto"/>
                <w:right w:val="none" w:sz="0" w:space="0" w:color="auto"/>
              </w:divBdr>
            </w:div>
          </w:divsChild>
        </w:div>
        <w:div w:id="2011057952">
          <w:marLeft w:val="0"/>
          <w:marRight w:val="0"/>
          <w:marTop w:val="0"/>
          <w:marBottom w:val="0"/>
          <w:divBdr>
            <w:top w:val="none" w:sz="0" w:space="0" w:color="auto"/>
            <w:left w:val="none" w:sz="0" w:space="0" w:color="auto"/>
            <w:bottom w:val="none" w:sz="0" w:space="0" w:color="auto"/>
            <w:right w:val="none" w:sz="0" w:space="0" w:color="auto"/>
          </w:divBdr>
          <w:divsChild>
            <w:div w:id="1510607088">
              <w:marLeft w:val="0"/>
              <w:marRight w:val="0"/>
              <w:marTop w:val="0"/>
              <w:marBottom w:val="0"/>
              <w:divBdr>
                <w:top w:val="none" w:sz="0" w:space="0" w:color="auto"/>
                <w:left w:val="none" w:sz="0" w:space="0" w:color="auto"/>
                <w:bottom w:val="none" w:sz="0" w:space="0" w:color="auto"/>
                <w:right w:val="none" w:sz="0" w:space="0" w:color="auto"/>
              </w:divBdr>
            </w:div>
          </w:divsChild>
        </w:div>
        <w:div w:id="2027511181">
          <w:marLeft w:val="0"/>
          <w:marRight w:val="0"/>
          <w:marTop w:val="0"/>
          <w:marBottom w:val="0"/>
          <w:divBdr>
            <w:top w:val="none" w:sz="0" w:space="0" w:color="auto"/>
            <w:left w:val="none" w:sz="0" w:space="0" w:color="auto"/>
            <w:bottom w:val="none" w:sz="0" w:space="0" w:color="auto"/>
            <w:right w:val="none" w:sz="0" w:space="0" w:color="auto"/>
          </w:divBdr>
          <w:divsChild>
            <w:div w:id="1779447394">
              <w:marLeft w:val="0"/>
              <w:marRight w:val="0"/>
              <w:marTop w:val="0"/>
              <w:marBottom w:val="0"/>
              <w:divBdr>
                <w:top w:val="none" w:sz="0" w:space="0" w:color="auto"/>
                <w:left w:val="none" w:sz="0" w:space="0" w:color="auto"/>
                <w:bottom w:val="none" w:sz="0" w:space="0" w:color="auto"/>
                <w:right w:val="none" w:sz="0" w:space="0" w:color="auto"/>
              </w:divBdr>
            </w:div>
          </w:divsChild>
        </w:div>
        <w:div w:id="2094349164">
          <w:marLeft w:val="0"/>
          <w:marRight w:val="0"/>
          <w:marTop w:val="0"/>
          <w:marBottom w:val="0"/>
          <w:divBdr>
            <w:top w:val="none" w:sz="0" w:space="0" w:color="auto"/>
            <w:left w:val="none" w:sz="0" w:space="0" w:color="auto"/>
            <w:bottom w:val="none" w:sz="0" w:space="0" w:color="auto"/>
            <w:right w:val="none" w:sz="0" w:space="0" w:color="auto"/>
          </w:divBdr>
          <w:divsChild>
            <w:div w:id="354383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068568">
      <w:bodyDiv w:val="1"/>
      <w:marLeft w:val="0"/>
      <w:marRight w:val="0"/>
      <w:marTop w:val="0"/>
      <w:marBottom w:val="0"/>
      <w:divBdr>
        <w:top w:val="none" w:sz="0" w:space="0" w:color="auto"/>
        <w:left w:val="none" w:sz="0" w:space="0" w:color="auto"/>
        <w:bottom w:val="none" w:sz="0" w:space="0" w:color="auto"/>
        <w:right w:val="none" w:sz="0" w:space="0" w:color="auto"/>
      </w:divBdr>
    </w:div>
    <w:div w:id="633679065">
      <w:bodyDiv w:val="1"/>
      <w:marLeft w:val="0"/>
      <w:marRight w:val="0"/>
      <w:marTop w:val="0"/>
      <w:marBottom w:val="0"/>
      <w:divBdr>
        <w:top w:val="none" w:sz="0" w:space="0" w:color="auto"/>
        <w:left w:val="none" w:sz="0" w:space="0" w:color="auto"/>
        <w:bottom w:val="none" w:sz="0" w:space="0" w:color="auto"/>
        <w:right w:val="none" w:sz="0" w:space="0" w:color="auto"/>
      </w:divBdr>
      <w:divsChild>
        <w:div w:id="208689854">
          <w:marLeft w:val="0"/>
          <w:marRight w:val="0"/>
          <w:marTop w:val="0"/>
          <w:marBottom w:val="0"/>
          <w:divBdr>
            <w:top w:val="none" w:sz="0" w:space="0" w:color="auto"/>
            <w:left w:val="none" w:sz="0" w:space="0" w:color="auto"/>
            <w:bottom w:val="none" w:sz="0" w:space="0" w:color="auto"/>
            <w:right w:val="none" w:sz="0" w:space="0" w:color="auto"/>
          </w:divBdr>
          <w:divsChild>
            <w:div w:id="63990895">
              <w:marLeft w:val="0"/>
              <w:marRight w:val="0"/>
              <w:marTop w:val="0"/>
              <w:marBottom w:val="0"/>
              <w:divBdr>
                <w:top w:val="none" w:sz="0" w:space="0" w:color="auto"/>
                <w:left w:val="none" w:sz="0" w:space="0" w:color="auto"/>
                <w:bottom w:val="none" w:sz="0" w:space="0" w:color="auto"/>
                <w:right w:val="none" w:sz="0" w:space="0" w:color="auto"/>
              </w:divBdr>
            </w:div>
          </w:divsChild>
        </w:div>
        <w:div w:id="870805945">
          <w:marLeft w:val="0"/>
          <w:marRight w:val="0"/>
          <w:marTop w:val="0"/>
          <w:marBottom w:val="0"/>
          <w:divBdr>
            <w:top w:val="none" w:sz="0" w:space="0" w:color="auto"/>
            <w:left w:val="none" w:sz="0" w:space="0" w:color="auto"/>
            <w:bottom w:val="none" w:sz="0" w:space="0" w:color="auto"/>
            <w:right w:val="none" w:sz="0" w:space="0" w:color="auto"/>
          </w:divBdr>
          <w:divsChild>
            <w:div w:id="176235934">
              <w:marLeft w:val="0"/>
              <w:marRight w:val="0"/>
              <w:marTop w:val="0"/>
              <w:marBottom w:val="0"/>
              <w:divBdr>
                <w:top w:val="none" w:sz="0" w:space="0" w:color="auto"/>
                <w:left w:val="none" w:sz="0" w:space="0" w:color="auto"/>
                <w:bottom w:val="none" w:sz="0" w:space="0" w:color="auto"/>
                <w:right w:val="none" w:sz="0" w:space="0" w:color="auto"/>
              </w:divBdr>
            </w:div>
            <w:div w:id="527989423">
              <w:marLeft w:val="0"/>
              <w:marRight w:val="0"/>
              <w:marTop w:val="0"/>
              <w:marBottom w:val="0"/>
              <w:divBdr>
                <w:top w:val="none" w:sz="0" w:space="0" w:color="auto"/>
                <w:left w:val="none" w:sz="0" w:space="0" w:color="auto"/>
                <w:bottom w:val="none" w:sz="0" w:space="0" w:color="auto"/>
                <w:right w:val="none" w:sz="0" w:space="0" w:color="auto"/>
              </w:divBdr>
            </w:div>
            <w:div w:id="1039892406">
              <w:marLeft w:val="0"/>
              <w:marRight w:val="0"/>
              <w:marTop w:val="0"/>
              <w:marBottom w:val="0"/>
              <w:divBdr>
                <w:top w:val="none" w:sz="0" w:space="0" w:color="auto"/>
                <w:left w:val="none" w:sz="0" w:space="0" w:color="auto"/>
                <w:bottom w:val="none" w:sz="0" w:space="0" w:color="auto"/>
                <w:right w:val="none" w:sz="0" w:space="0" w:color="auto"/>
              </w:divBdr>
            </w:div>
            <w:div w:id="1202086554">
              <w:marLeft w:val="0"/>
              <w:marRight w:val="0"/>
              <w:marTop w:val="0"/>
              <w:marBottom w:val="0"/>
              <w:divBdr>
                <w:top w:val="none" w:sz="0" w:space="0" w:color="auto"/>
                <w:left w:val="none" w:sz="0" w:space="0" w:color="auto"/>
                <w:bottom w:val="none" w:sz="0" w:space="0" w:color="auto"/>
                <w:right w:val="none" w:sz="0" w:space="0" w:color="auto"/>
              </w:divBdr>
            </w:div>
            <w:div w:id="1244679588">
              <w:marLeft w:val="0"/>
              <w:marRight w:val="0"/>
              <w:marTop w:val="0"/>
              <w:marBottom w:val="0"/>
              <w:divBdr>
                <w:top w:val="none" w:sz="0" w:space="0" w:color="auto"/>
                <w:left w:val="none" w:sz="0" w:space="0" w:color="auto"/>
                <w:bottom w:val="none" w:sz="0" w:space="0" w:color="auto"/>
                <w:right w:val="none" w:sz="0" w:space="0" w:color="auto"/>
              </w:divBdr>
            </w:div>
          </w:divsChild>
        </w:div>
        <w:div w:id="1690445334">
          <w:marLeft w:val="0"/>
          <w:marRight w:val="0"/>
          <w:marTop w:val="0"/>
          <w:marBottom w:val="0"/>
          <w:divBdr>
            <w:top w:val="none" w:sz="0" w:space="0" w:color="auto"/>
            <w:left w:val="none" w:sz="0" w:space="0" w:color="auto"/>
            <w:bottom w:val="none" w:sz="0" w:space="0" w:color="auto"/>
            <w:right w:val="none" w:sz="0" w:space="0" w:color="auto"/>
          </w:divBdr>
        </w:div>
      </w:divsChild>
    </w:div>
    <w:div w:id="822697034">
      <w:bodyDiv w:val="1"/>
      <w:marLeft w:val="0"/>
      <w:marRight w:val="0"/>
      <w:marTop w:val="0"/>
      <w:marBottom w:val="0"/>
      <w:divBdr>
        <w:top w:val="none" w:sz="0" w:space="0" w:color="auto"/>
        <w:left w:val="none" w:sz="0" w:space="0" w:color="auto"/>
        <w:bottom w:val="none" w:sz="0" w:space="0" w:color="auto"/>
        <w:right w:val="none" w:sz="0" w:space="0" w:color="auto"/>
      </w:divBdr>
      <w:divsChild>
        <w:div w:id="344595626">
          <w:marLeft w:val="0"/>
          <w:marRight w:val="0"/>
          <w:marTop w:val="0"/>
          <w:marBottom w:val="0"/>
          <w:divBdr>
            <w:top w:val="none" w:sz="0" w:space="0" w:color="auto"/>
            <w:left w:val="none" w:sz="0" w:space="0" w:color="auto"/>
            <w:bottom w:val="none" w:sz="0" w:space="0" w:color="auto"/>
            <w:right w:val="none" w:sz="0" w:space="0" w:color="auto"/>
          </w:divBdr>
        </w:div>
        <w:div w:id="618074981">
          <w:marLeft w:val="0"/>
          <w:marRight w:val="0"/>
          <w:marTop w:val="0"/>
          <w:marBottom w:val="0"/>
          <w:divBdr>
            <w:top w:val="none" w:sz="0" w:space="0" w:color="auto"/>
            <w:left w:val="none" w:sz="0" w:space="0" w:color="auto"/>
            <w:bottom w:val="none" w:sz="0" w:space="0" w:color="auto"/>
            <w:right w:val="none" w:sz="0" w:space="0" w:color="auto"/>
          </w:divBdr>
          <w:divsChild>
            <w:div w:id="177159183">
              <w:marLeft w:val="0"/>
              <w:marRight w:val="0"/>
              <w:marTop w:val="0"/>
              <w:marBottom w:val="0"/>
              <w:divBdr>
                <w:top w:val="none" w:sz="0" w:space="0" w:color="auto"/>
                <w:left w:val="none" w:sz="0" w:space="0" w:color="auto"/>
                <w:bottom w:val="none" w:sz="0" w:space="0" w:color="auto"/>
                <w:right w:val="none" w:sz="0" w:space="0" w:color="auto"/>
              </w:divBdr>
            </w:div>
            <w:div w:id="262687678">
              <w:marLeft w:val="0"/>
              <w:marRight w:val="0"/>
              <w:marTop w:val="0"/>
              <w:marBottom w:val="0"/>
              <w:divBdr>
                <w:top w:val="none" w:sz="0" w:space="0" w:color="auto"/>
                <w:left w:val="none" w:sz="0" w:space="0" w:color="auto"/>
                <w:bottom w:val="none" w:sz="0" w:space="0" w:color="auto"/>
                <w:right w:val="none" w:sz="0" w:space="0" w:color="auto"/>
              </w:divBdr>
            </w:div>
            <w:div w:id="292176609">
              <w:marLeft w:val="0"/>
              <w:marRight w:val="0"/>
              <w:marTop w:val="0"/>
              <w:marBottom w:val="0"/>
              <w:divBdr>
                <w:top w:val="none" w:sz="0" w:space="0" w:color="auto"/>
                <w:left w:val="none" w:sz="0" w:space="0" w:color="auto"/>
                <w:bottom w:val="none" w:sz="0" w:space="0" w:color="auto"/>
                <w:right w:val="none" w:sz="0" w:space="0" w:color="auto"/>
              </w:divBdr>
            </w:div>
            <w:div w:id="449209582">
              <w:marLeft w:val="0"/>
              <w:marRight w:val="0"/>
              <w:marTop w:val="0"/>
              <w:marBottom w:val="0"/>
              <w:divBdr>
                <w:top w:val="none" w:sz="0" w:space="0" w:color="auto"/>
                <w:left w:val="none" w:sz="0" w:space="0" w:color="auto"/>
                <w:bottom w:val="none" w:sz="0" w:space="0" w:color="auto"/>
                <w:right w:val="none" w:sz="0" w:space="0" w:color="auto"/>
              </w:divBdr>
            </w:div>
            <w:div w:id="627392253">
              <w:marLeft w:val="0"/>
              <w:marRight w:val="0"/>
              <w:marTop w:val="0"/>
              <w:marBottom w:val="0"/>
              <w:divBdr>
                <w:top w:val="none" w:sz="0" w:space="0" w:color="auto"/>
                <w:left w:val="none" w:sz="0" w:space="0" w:color="auto"/>
                <w:bottom w:val="none" w:sz="0" w:space="0" w:color="auto"/>
                <w:right w:val="none" w:sz="0" w:space="0" w:color="auto"/>
              </w:divBdr>
            </w:div>
            <w:div w:id="637494364">
              <w:marLeft w:val="0"/>
              <w:marRight w:val="0"/>
              <w:marTop w:val="0"/>
              <w:marBottom w:val="0"/>
              <w:divBdr>
                <w:top w:val="none" w:sz="0" w:space="0" w:color="auto"/>
                <w:left w:val="none" w:sz="0" w:space="0" w:color="auto"/>
                <w:bottom w:val="none" w:sz="0" w:space="0" w:color="auto"/>
                <w:right w:val="none" w:sz="0" w:space="0" w:color="auto"/>
              </w:divBdr>
            </w:div>
            <w:div w:id="724137470">
              <w:marLeft w:val="0"/>
              <w:marRight w:val="0"/>
              <w:marTop w:val="0"/>
              <w:marBottom w:val="0"/>
              <w:divBdr>
                <w:top w:val="none" w:sz="0" w:space="0" w:color="auto"/>
                <w:left w:val="none" w:sz="0" w:space="0" w:color="auto"/>
                <w:bottom w:val="none" w:sz="0" w:space="0" w:color="auto"/>
                <w:right w:val="none" w:sz="0" w:space="0" w:color="auto"/>
              </w:divBdr>
            </w:div>
            <w:div w:id="950627021">
              <w:marLeft w:val="0"/>
              <w:marRight w:val="0"/>
              <w:marTop w:val="0"/>
              <w:marBottom w:val="0"/>
              <w:divBdr>
                <w:top w:val="none" w:sz="0" w:space="0" w:color="auto"/>
                <w:left w:val="none" w:sz="0" w:space="0" w:color="auto"/>
                <w:bottom w:val="none" w:sz="0" w:space="0" w:color="auto"/>
                <w:right w:val="none" w:sz="0" w:space="0" w:color="auto"/>
              </w:divBdr>
            </w:div>
            <w:div w:id="983968124">
              <w:marLeft w:val="0"/>
              <w:marRight w:val="0"/>
              <w:marTop w:val="0"/>
              <w:marBottom w:val="0"/>
              <w:divBdr>
                <w:top w:val="none" w:sz="0" w:space="0" w:color="auto"/>
                <w:left w:val="none" w:sz="0" w:space="0" w:color="auto"/>
                <w:bottom w:val="none" w:sz="0" w:space="0" w:color="auto"/>
                <w:right w:val="none" w:sz="0" w:space="0" w:color="auto"/>
              </w:divBdr>
            </w:div>
            <w:div w:id="1043333712">
              <w:marLeft w:val="0"/>
              <w:marRight w:val="0"/>
              <w:marTop w:val="0"/>
              <w:marBottom w:val="0"/>
              <w:divBdr>
                <w:top w:val="none" w:sz="0" w:space="0" w:color="auto"/>
                <w:left w:val="none" w:sz="0" w:space="0" w:color="auto"/>
                <w:bottom w:val="none" w:sz="0" w:space="0" w:color="auto"/>
                <w:right w:val="none" w:sz="0" w:space="0" w:color="auto"/>
              </w:divBdr>
            </w:div>
            <w:div w:id="1098870447">
              <w:marLeft w:val="0"/>
              <w:marRight w:val="0"/>
              <w:marTop w:val="0"/>
              <w:marBottom w:val="0"/>
              <w:divBdr>
                <w:top w:val="none" w:sz="0" w:space="0" w:color="auto"/>
                <w:left w:val="none" w:sz="0" w:space="0" w:color="auto"/>
                <w:bottom w:val="none" w:sz="0" w:space="0" w:color="auto"/>
                <w:right w:val="none" w:sz="0" w:space="0" w:color="auto"/>
              </w:divBdr>
            </w:div>
            <w:div w:id="1116876545">
              <w:marLeft w:val="0"/>
              <w:marRight w:val="0"/>
              <w:marTop w:val="0"/>
              <w:marBottom w:val="0"/>
              <w:divBdr>
                <w:top w:val="none" w:sz="0" w:space="0" w:color="auto"/>
                <w:left w:val="none" w:sz="0" w:space="0" w:color="auto"/>
                <w:bottom w:val="none" w:sz="0" w:space="0" w:color="auto"/>
                <w:right w:val="none" w:sz="0" w:space="0" w:color="auto"/>
              </w:divBdr>
            </w:div>
            <w:div w:id="1201237378">
              <w:marLeft w:val="0"/>
              <w:marRight w:val="0"/>
              <w:marTop w:val="0"/>
              <w:marBottom w:val="0"/>
              <w:divBdr>
                <w:top w:val="none" w:sz="0" w:space="0" w:color="auto"/>
                <w:left w:val="none" w:sz="0" w:space="0" w:color="auto"/>
                <w:bottom w:val="none" w:sz="0" w:space="0" w:color="auto"/>
                <w:right w:val="none" w:sz="0" w:space="0" w:color="auto"/>
              </w:divBdr>
            </w:div>
            <w:div w:id="1231774530">
              <w:marLeft w:val="0"/>
              <w:marRight w:val="0"/>
              <w:marTop w:val="0"/>
              <w:marBottom w:val="0"/>
              <w:divBdr>
                <w:top w:val="none" w:sz="0" w:space="0" w:color="auto"/>
                <w:left w:val="none" w:sz="0" w:space="0" w:color="auto"/>
                <w:bottom w:val="none" w:sz="0" w:space="0" w:color="auto"/>
                <w:right w:val="none" w:sz="0" w:space="0" w:color="auto"/>
              </w:divBdr>
            </w:div>
            <w:div w:id="1664624060">
              <w:marLeft w:val="0"/>
              <w:marRight w:val="0"/>
              <w:marTop w:val="0"/>
              <w:marBottom w:val="0"/>
              <w:divBdr>
                <w:top w:val="none" w:sz="0" w:space="0" w:color="auto"/>
                <w:left w:val="none" w:sz="0" w:space="0" w:color="auto"/>
                <w:bottom w:val="none" w:sz="0" w:space="0" w:color="auto"/>
                <w:right w:val="none" w:sz="0" w:space="0" w:color="auto"/>
              </w:divBdr>
            </w:div>
            <w:div w:id="1667441938">
              <w:marLeft w:val="0"/>
              <w:marRight w:val="0"/>
              <w:marTop w:val="0"/>
              <w:marBottom w:val="0"/>
              <w:divBdr>
                <w:top w:val="none" w:sz="0" w:space="0" w:color="auto"/>
                <w:left w:val="none" w:sz="0" w:space="0" w:color="auto"/>
                <w:bottom w:val="none" w:sz="0" w:space="0" w:color="auto"/>
                <w:right w:val="none" w:sz="0" w:space="0" w:color="auto"/>
              </w:divBdr>
            </w:div>
            <w:div w:id="1678119140">
              <w:marLeft w:val="0"/>
              <w:marRight w:val="0"/>
              <w:marTop w:val="0"/>
              <w:marBottom w:val="0"/>
              <w:divBdr>
                <w:top w:val="none" w:sz="0" w:space="0" w:color="auto"/>
                <w:left w:val="none" w:sz="0" w:space="0" w:color="auto"/>
                <w:bottom w:val="none" w:sz="0" w:space="0" w:color="auto"/>
                <w:right w:val="none" w:sz="0" w:space="0" w:color="auto"/>
              </w:divBdr>
            </w:div>
            <w:div w:id="1919049862">
              <w:marLeft w:val="0"/>
              <w:marRight w:val="0"/>
              <w:marTop w:val="0"/>
              <w:marBottom w:val="0"/>
              <w:divBdr>
                <w:top w:val="none" w:sz="0" w:space="0" w:color="auto"/>
                <w:left w:val="none" w:sz="0" w:space="0" w:color="auto"/>
                <w:bottom w:val="none" w:sz="0" w:space="0" w:color="auto"/>
                <w:right w:val="none" w:sz="0" w:space="0" w:color="auto"/>
              </w:divBdr>
            </w:div>
            <w:div w:id="1977292814">
              <w:marLeft w:val="0"/>
              <w:marRight w:val="0"/>
              <w:marTop w:val="0"/>
              <w:marBottom w:val="0"/>
              <w:divBdr>
                <w:top w:val="none" w:sz="0" w:space="0" w:color="auto"/>
                <w:left w:val="none" w:sz="0" w:space="0" w:color="auto"/>
                <w:bottom w:val="none" w:sz="0" w:space="0" w:color="auto"/>
                <w:right w:val="none" w:sz="0" w:space="0" w:color="auto"/>
              </w:divBdr>
            </w:div>
          </w:divsChild>
        </w:div>
        <w:div w:id="885487948">
          <w:marLeft w:val="0"/>
          <w:marRight w:val="0"/>
          <w:marTop w:val="0"/>
          <w:marBottom w:val="0"/>
          <w:divBdr>
            <w:top w:val="none" w:sz="0" w:space="0" w:color="auto"/>
            <w:left w:val="none" w:sz="0" w:space="0" w:color="auto"/>
            <w:bottom w:val="none" w:sz="0" w:space="0" w:color="auto"/>
            <w:right w:val="none" w:sz="0" w:space="0" w:color="auto"/>
          </w:divBdr>
          <w:divsChild>
            <w:div w:id="559167900">
              <w:marLeft w:val="-75"/>
              <w:marRight w:val="0"/>
              <w:marTop w:val="30"/>
              <w:marBottom w:val="30"/>
              <w:divBdr>
                <w:top w:val="none" w:sz="0" w:space="0" w:color="auto"/>
                <w:left w:val="none" w:sz="0" w:space="0" w:color="auto"/>
                <w:bottom w:val="none" w:sz="0" w:space="0" w:color="auto"/>
                <w:right w:val="none" w:sz="0" w:space="0" w:color="auto"/>
              </w:divBdr>
              <w:divsChild>
                <w:div w:id="580409259">
                  <w:marLeft w:val="0"/>
                  <w:marRight w:val="0"/>
                  <w:marTop w:val="0"/>
                  <w:marBottom w:val="0"/>
                  <w:divBdr>
                    <w:top w:val="none" w:sz="0" w:space="0" w:color="auto"/>
                    <w:left w:val="none" w:sz="0" w:space="0" w:color="auto"/>
                    <w:bottom w:val="none" w:sz="0" w:space="0" w:color="auto"/>
                    <w:right w:val="none" w:sz="0" w:space="0" w:color="auto"/>
                  </w:divBdr>
                  <w:divsChild>
                    <w:div w:id="507986276">
                      <w:marLeft w:val="0"/>
                      <w:marRight w:val="0"/>
                      <w:marTop w:val="0"/>
                      <w:marBottom w:val="0"/>
                      <w:divBdr>
                        <w:top w:val="none" w:sz="0" w:space="0" w:color="auto"/>
                        <w:left w:val="none" w:sz="0" w:space="0" w:color="auto"/>
                        <w:bottom w:val="none" w:sz="0" w:space="0" w:color="auto"/>
                        <w:right w:val="none" w:sz="0" w:space="0" w:color="auto"/>
                      </w:divBdr>
                    </w:div>
                  </w:divsChild>
                </w:div>
                <w:div w:id="771163757">
                  <w:marLeft w:val="0"/>
                  <w:marRight w:val="0"/>
                  <w:marTop w:val="0"/>
                  <w:marBottom w:val="0"/>
                  <w:divBdr>
                    <w:top w:val="none" w:sz="0" w:space="0" w:color="auto"/>
                    <w:left w:val="none" w:sz="0" w:space="0" w:color="auto"/>
                    <w:bottom w:val="none" w:sz="0" w:space="0" w:color="auto"/>
                    <w:right w:val="none" w:sz="0" w:space="0" w:color="auto"/>
                  </w:divBdr>
                  <w:divsChild>
                    <w:div w:id="1674915671">
                      <w:marLeft w:val="0"/>
                      <w:marRight w:val="0"/>
                      <w:marTop w:val="0"/>
                      <w:marBottom w:val="0"/>
                      <w:divBdr>
                        <w:top w:val="none" w:sz="0" w:space="0" w:color="auto"/>
                        <w:left w:val="none" w:sz="0" w:space="0" w:color="auto"/>
                        <w:bottom w:val="none" w:sz="0" w:space="0" w:color="auto"/>
                        <w:right w:val="none" w:sz="0" w:space="0" w:color="auto"/>
                      </w:divBdr>
                    </w:div>
                  </w:divsChild>
                </w:div>
                <w:div w:id="930773182">
                  <w:marLeft w:val="0"/>
                  <w:marRight w:val="0"/>
                  <w:marTop w:val="0"/>
                  <w:marBottom w:val="0"/>
                  <w:divBdr>
                    <w:top w:val="none" w:sz="0" w:space="0" w:color="auto"/>
                    <w:left w:val="none" w:sz="0" w:space="0" w:color="auto"/>
                    <w:bottom w:val="none" w:sz="0" w:space="0" w:color="auto"/>
                    <w:right w:val="none" w:sz="0" w:space="0" w:color="auto"/>
                  </w:divBdr>
                  <w:divsChild>
                    <w:div w:id="577862296">
                      <w:marLeft w:val="0"/>
                      <w:marRight w:val="0"/>
                      <w:marTop w:val="0"/>
                      <w:marBottom w:val="0"/>
                      <w:divBdr>
                        <w:top w:val="none" w:sz="0" w:space="0" w:color="auto"/>
                        <w:left w:val="none" w:sz="0" w:space="0" w:color="auto"/>
                        <w:bottom w:val="none" w:sz="0" w:space="0" w:color="auto"/>
                        <w:right w:val="none" w:sz="0" w:space="0" w:color="auto"/>
                      </w:divBdr>
                    </w:div>
                  </w:divsChild>
                </w:div>
                <w:div w:id="983317650">
                  <w:marLeft w:val="0"/>
                  <w:marRight w:val="0"/>
                  <w:marTop w:val="0"/>
                  <w:marBottom w:val="0"/>
                  <w:divBdr>
                    <w:top w:val="none" w:sz="0" w:space="0" w:color="auto"/>
                    <w:left w:val="none" w:sz="0" w:space="0" w:color="auto"/>
                    <w:bottom w:val="none" w:sz="0" w:space="0" w:color="auto"/>
                    <w:right w:val="none" w:sz="0" w:space="0" w:color="auto"/>
                  </w:divBdr>
                  <w:divsChild>
                    <w:div w:id="1340698099">
                      <w:marLeft w:val="0"/>
                      <w:marRight w:val="0"/>
                      <w:marTop w:val="0"/>
                      <w:marBottom w:val="0"/>
                      <w:divBdr>
                        <w:top w:val="none" w:sz="0" w:space="0" w:color="auto"/>
                        <w:left w:val="none" w:sz="0" w:space="0" w:color="auto"/>
                        <w:bottom w:val="none" w:sz="0" w:space="0" w:color="auto"/>
                        <w:right w:val="none" w:sz="0" w:space="0" w:color="auto"/>
                      </w:divBdr>
                    </w:div>
                  </w:divsChild>
                </w:div>
                <w:div w:id="1216235495">
                  <w:marLeft w:val="0"/>
                  <w:marRight w:val="0"/>
                  <w:marTop w:val="0"/>
                  <w:marBottom w:val="0"/>
                  <w:divBdr>
                    <w:top w:val="none" w:sz="0" w:space="0" w:color="auto"/>
                    <w:left w:val="none" w:sz="0" w:space="0" w:color="auto"/>
                    <w:bottom w:val="none" w:sz="0" w:space="0" w:color="auto"/>
                    <w:right w:val="none" w:sz="0" w:space="0" w:color="auto"/>
                  </w:divBdr>
                  <w:divsChild>
                    <w:div w:id="287900547">
                      <w:marLeft w:val="0"/>
                      <w:marRight w:val="0"/>
                      <w:marTop w:val="0"/>
                      <w:marBottom w:val="0"/>
                      <w:divBdr>
                        <w:top w:val="none" w:sz="0" w:space="0" w:color="auto"/>
                        <w:left w:val="none" w:sz="0" w:space="0" w:color="auto"/>
                        <w:bottom w:val="none" w:sz="0" w:space="0" w:color="auto"/>
                        <w:right w:val="none" w:sz="0" w:space="0" w:color="auto"/>
                      </w:divBdr>
                    </w:div>
                  </w:divsChild>
                </w:div>
                <w:div w:id="1495948122">
                  <w:marLeft w:val="0"/>
                  <w:marRight w:val="0"/>
                  <w:marTop w:val="0"/>
                  <w:marBottom w:val="0"/>
                  <w:divBdr>
                    <w:top w:val="none" w:sz="0" w:space="0" w:color="auto"/>
                    <w:left w:val="none" w:sz="0" w:space="0" w:color="auto"/>
                    <w:bottom w:val="none" w:sz="0" w:space="0" w:color="auto"/>
                    <w:right w:val="none" w:sz="0" w:space="0" w:color="auto"/>
                  </w:divBdr>
                  <w:divsChild>
                    <w:div w:id="1403454273">
                      <w:marLeft w:val="0"/>
                      <w:marRight w:val="0"/>
                      <w:marTop w:val="0"/>
                      <w:marBottom w:val="0"/>
                      <w:divBdr>
                        <w:top w:val="none" w:sz="0" w:space="0" w:color="auto"/>
                        <w:left w:val="none" w:sz="0" w:space="0" w:color="auto"/>
                        <w:bottom w:val="none" w:sz="0" w:space="0" w:color="auto"/>
                        <w:right w:val="none" w:sz="0" w:space="0" w:color="auto"/>
                      </w:divBdr>
                    </w:div>
                  </w:divsChild>
                </w:div>
                <w:div w:id="1812364312">
                  <w:marLeft w:val="0"/>
                  <w:marRight w:val="0"/>
                  <w:marTop w:val="0"/>
                  <w:marBottom w:val="0"/>
                  <w:divBdr>
                    <w:top w:val="none" w:sz="0" w:space="0" w:color="auto"/>
                    <w:left w:val="none" w:sz="0" w:space="0" w:color="auto"/>
                    <w:bottom w:val="none" w:sz="0" w:space="0" w:color="auto"/>
                    <w:right w:val="none" w:sz="0" w:space="0" w:color="auto"/>
                  </w:divBdr>
                  <w:divsChild>
                    <w:div w:id="1067529012">
                      <w:marLeft w:val="0"/>
                      <w:marRight w:val="0"/>
                      <w:marTop w:val="0"/>
                      <w:marBottom w:val="0"/>
                      <w:divBdr>
                        <w:top w:val="none" w:sz="0" w:space="0" w:color="auto"/>
                        <w:left w:val="none" w:sz="0" w:space="0" w:color="auto"/>
                        <w:bottom w:val="none" w:sz="0" w:space="0" w:color="auto"/>
                        <w:right w:val="none" w:sz="0" w:space="0" w:color="auto"/>
                      </w:divBdr>
                    </w:div>
                  </w:divsChild>
                </w:div>
                <w:div w:id="1952737273">
                  <w:marLeft w:val="0"/>
                  <w:marRight w:val="0"/>
                  <w:marTop w:val="0"/>
                  <w:marBottom w:val="0"/>
                  <w:divBdr>
                    <w:top w:val="none" w:sz="0" w:space="0" w:color="auto"/>
                    <w:left w:val="none" w:sz="0" w:space="0" w:color="auto"/>
                    <w:bottom w:val="none" w:sz="0" w:space="0" w:color="auto"/>
                    <w:right w:val="none" w:sz="0" w:space="0" w:color="auto"/>
                  </w:divBdr>
                  <w:divsChild>
                    <w:div w:id="531575354">
                      <w:marLeft w:val="0"/>
                      <w:marRight w:val="0"/>
                      <w:marTop w:val="0"/>
                      <w:marBottom w:val="0"/>
                      <w:divBdr>
                        <w:top w:val="none" w:sz="0" w:space="0" w:color="auto"/>
                        <w:left w:val="none" w:sz="0" w:space="0" w:color="auto"/>
                        <w:bottom w:val="none" w:sz="0" w:space="0" w:color="auto"/>
                        <w:right w:val="none" w:sz="0" w:space="0" w:color="auto"/>
                      </w:divBdr>
                    </w:div>
                  </w:divsChild>
                </w:div>
                <w:div w:id="2107538521">
                  <w:marLeft w:val="0"/>
                  <w:marRight w:val="0"/>
                  <w:marTop w:val="0"/>
                  <w:marBottom w:val="0"/>
                  <w:divBdr>
                    <w:top w:val="none" w:sz="0" w:space="0" w:color="auto"/>
                    <w:left w:val="none" w:sz="0" w:space="0" w:color="auto"/>
                    <w:bottom w:val="none" w:sz="0" w:space="0" w:color="auto"/>
                    <w:right w:val="none" w:sz="0" w:space="0" w:color="auto"/>
                  </w:divBdr>
                  <w:divsChild>
                    <w:div w:id="82846528">
                      <w:marLeft w:val="0"/>
                      <w:marRight w:val="0"/>
                      <w:marTop w:val="0"/>
                      <w:marBottom w:val="0"/>
                      <w:divBdr>
                        <w:top w:val="none" w:sz="0" w:space="0" w:color="auto"/>
                        <w:left w:val="none" w:sz="0" w:space="0" w:color="auto"/>
                        <w:bottom w:val="none" w:sz="0" w:space="0" w:color="auto"/>
                        <w:right w:val="none" w:sz="0" w:space="0" w:color="auto"/>
                      </w:divBdr>
                    </w:div>
                    <w:div w:id="1773546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8809424">
      <w:bodyDiv w:val="1"/>
      <w:marLeft w:val="0"/>
      <w:marRight w:val="0"/>
      <w:marTop w:val="0"/>
      <w:marBottom w:val="0"/>
      <w:divBdr>
        <w:top w:val="none" w:sz="0" w:space="0" w:color="auto"/>
        <w:left w:val="none" w:sz="0" w:space="0" w:color="auto"/>
        <w:bottom w:val="none" w:sz="0" w:space="0" w:color="auto"/>
        <w:right w:val="none" w:sz="0" w:space="0" w:color="auto"/>
      </w:divBdr>
      <w:divsChild>
        <w:div w:id="87048737">
          <w:marLeft w:val="0"/>
          <w:marRight w:val="0"/>
          <w:marTop w:val="0"/>
          <w:marBottom w:val="0"/>
          <w:divBdr>
            <w:top w:val="none" w:sz="0" w:space="0" w:color="auto"/>
            <w:left w:val="none" w:sz="0" w:space="0" w:color="auto"/>
            <w:bottom w:val="none" w:sz="0" w:space="0" w:color="auto"/>
            <w:right w:val="none" w:sz="0" w:space="0" w:color="auto"/>
          </w:divBdr>
          <w:divsChild>
            <w:div w:id="1075319953">
              <w:marLeft w:val="0"/>
              <w:marRight w:val="0"/>
              <w:marTop w:val="0"/>
              <w:marBottom w:val="0"/>
              <w:divBdr>
                <w:top w:val="none" w:sz="0" w:space="0" w:color="auto"/>
                <w:left w:val="none" w:sz="0" w:space="0" w:color="auto"/>
                <w:bottom w:val="none" w:sz="0" w:space="0" w:color="auto"/>
                <w:right w:val="none" w:sz="0" w:space="0" w:color="auto"/>
              </w:divBdr>
            </w:div>
          </w:divsChild>
        </w:div>
        <w:div w:id="107969818">
          <w:marLeft w:val="0"/>
          <w:marRight w:val="0"/>
          <w:marTop w:val="0"/>
          <w:marBottom w:val="0"/>
          <w:divBdr>
            <w:top w:val="none" w:sz="0" w:space="0" w:color="auto"/>
            <w:left w:val="none" w:sz="0" w:space="0" w:color="auto"/>
            <w:bottom w:val="none" w:sz="0" w:space="0" w:color="auto"/>
            <w:right w:val="none" w:sz="0" w:space="0" w:color="auto"/>
          </w:divBdr>
          <w:divsChild>
            <w:div w:id="420026530">
              <w:marLeft w:val="0"/>
              <w:marRight w:val="0"/>
              <w:marTop w:val="0"/>
              <w:marBottom w:val="0"/>
              <w:divBdr>
                <w:top w:val="none" w:sz="0" w:space="0" w:color="auto"/>
                <w:left w:val="none" w:sz="0" w:space="0" w:color="auto"/>
                <w:bottom w:val="none" w:sz="0" w:space="0" w:color="auto"/>
                <w:right w:val="none" w:sz="0" w:space="0" w:color="auto"/>
              </w:divBdr>
            </w:div>
          </w:divsChild>
        </w:div>
        <w:div w:id="108477276">
          <w:marLeft w:val="0"/>
          <w:marRight w:val="0"/>
          <w:marTop w:val="0"/>
          <w:marBottom w:val="0"/>
          <w:divBdr>
            <w:top w:val="none" w:sz="0" w:space="0" w:color="auto"/>
            <w:left w:val="none" w:sz="0" w:space="0" w:color="auto"/>
            <w:bottom w:val="none" w:sz="0" w:space="0" w:color="auto"/>
            <w:right w:val="none" w:sz="0" w:space="0" w:color="auto"/>
          </w:divBdr>
          <w:divsChild>
            <w:div w:id="491456102">
              <w:marLeft w:val="0"/>
              <w:marRight w:val="0"/>
              <w:marTop w:val="0"/>
              <w:marBottom w:val="0"/>
              <w:divBdr>
                <w:top w:val="none" w:sz="0" w:space="0" w:color="auto"/>
                <w:left w:val="none" w:sz="0" w:space="0" w:color="auto"/>
                <w:bottom w:val="none" w:sz="0" w:space="0" w:color="auto"/>
                <w:right w:val="none" w:sz="0" w:space="0" w:color="auto"/>
              </w:divBdr>
            </w:div>
          </w:divsChild>
        </w:div>
        <w:div w:id="112750211">
          <w:marLeft w:val="0"/>
          <w:marRight w:val="0"/>
          <w:marTop w:val="0"/>
          <w:marBottom w:val="0"/>
          <w:divBdr>
            <w:top w:val="none" w:sz="0" w:space="0" w:color="auto"/>
            <w:left w:val="none" w:sz="0" w:space="0" w:color="auto"/>
            <w:bottom w:val="none" w:sz="0" w:space="0" w:color="auto"/>
            <w:right w:val="none" w:sz="0" w:space="0" w:color="auto"/>
          </w:divBdr>
          <w:divsChild>
            <w:div w:id="706682659">
              <w:marLeft w:val="0"/>
              <w:marRight w:val="0"/>
              <w:marTop w:val="0"/>
              <w:marBottom w:val="0"/>
              <w:divBdr>
                <w:top w:val="none" w:sz="0" w:space="0" w:color="auto"/>
                <w:left w:val="none" w:sz="0" w:space="0" w:color="auto"/>
                <w:bottom w:val="none" w:sz="0" w:space="0" w:color="auto"/>
                <w:right w:val="none" w:sz="0" w:space="0" w:color="auto"/>
              </w:divBdr>
            </w:div>
          </w:divsChild>
        </w:div>
        <w:div w:id="125978591">
          <w:marLeft w:val="0"/>
          <w:marRight w:val="0"/>
          <w:marTop w:val="0"/>
          <w:marBottom w:val="0"/>
          <w:divBdr>
            <w:top w:val="none" w:sz="0" w:space="0" w:color="auto"/>
            <w:left w:val="none" w:sz="0" w:space="0" w:color="auto"/>
            <w:bottom w:val="none" w:sz="0" w:space="0" w:color="auto"/>
            <w:right w:val="none" w:sz="0" w:space="0" w:color="auto"/>
          </w:divBdr>
          <w:divsChild>
            <w:div w:id="1987007067">
              <w:marLeft w:val="0"/>
              <w:marRight w:val="0"/>
              <w:marTop w:val="0"/>
              <w:marBottom w:val="0"/>
              <w:divBdr>
                <w:top w:val="none" w:sz="0" w:space="0" w:color="auto"/>
                <w:left w:val="none" w:sz="0" w:space="0" w:color="auto"/>
                <w:bottom w:val="none" w:sz="0" w:space="0" w:color="auto"/>
                <w:right w:val="none" w:sz="0" w:space="0" w:color="auto"/>
              </w:divBdr>
            </w:div>
          </w:divsChild>
        </w:div>
        <w:div w:id="290747403">
          <w:marLeft w:val="0"/>
          <w:marRight w:val="0"/>
          <w:marTop w:val="0"/>
          <w:marBottom w:val="0"/>
          <w:divBdr>
            <w:top w:val="none" w:sz="0" w:space="0" w:color="auto"/>
            <w:left w:val="none" w:sz="0" w:space="0" w:color="auto"/>
            <w:bottom w:val="none" w:sz="0" w:space="0" w:color="auto"/>
            <w:right w:val="none" w:sz="0" w:space="0" w:color="auto"/>
          </w:divBdr>
          <w:divsChild>
            <w:div w:id="277495439">
              <w:marLeft w:val="0"/>
              <w:marRight w:val="0"/>
              <w:marTop w:val="0"/>
              <w:marBottom w:val="0"/>
              <w:divBdr>
                <w:top w:val="none" w:sz="0" w:space="0" w:color="auto"/>
                <w:left w:val="none" w:sz="0" w:space="0" w:color="auto"/>
                <w:bottom w:val="none" w:sz="0" w:space="0" w:color="auto"/>
                <w:right w:val="none" w:sz="0" w:space="0" w:color="auto"/>
              </w:divBdr>
            </w:div>
          </w:divsChild>
        </w:div>
        <w:div w:id="290984464">
          <w:marLeft w:val="0"/>
          <w:marRight w:val="0"/>
          <w:marTop w:val="0"/>
          <w:marBottom w:val="0"/>
          <w:divBdr>
            <w:top w:val="none" w:sz="0" w:space="0" w:color="auto"/>
            <w:left w:val="none" w:sz="0" w:space="0" w:color="auto"/>
            <w:bottom w:val="none" w:sz="0" w:space="0" w:color="auto"/>
            <w:right w:val="none" w:sz="0" w:space="0" w:color="auto"/>
          </w:divBdr>
          <w:divsChild>
            <w:div w:id="1906988168">
              <w:marLeft w:val="0"/>
              <w:marRight w:val="0"/>
              <w:marTop w:val="0"/>
              <w:marBottom w:val="0"/>
              <w:divBdr>
                <w:top w:val="none" w:sz="0" w:space="0" w:color="auto"/>
                <w:left w:val="none" w:sz="0" w:space="0" w:color="auto"/>
                <w:bottom w:val="none" w:sz="0" w:space="0" w:color="auto"/>
                <w:right w:val="none" w:sz="0" w:space="0" w:color="auto"/>
              </w:divBdr>
            </w:div>
          </w:divsChild>
        </w:div>
        <w:div w:id="365789139">
          <w:marLeft w:val="0"/>
          <w:marRight w:val="0"/>
          <w:marTop w:val="0"/>
          <w:marBottom w:val="0"/>
          <w:divBdr>
            <w:top w:val="none" w:sz="0" w:space="0" w:color="auto"/>
            <w:left w:val="none" w:sz="0" w:space="0" w:color="auto"/>
            <w:bottom w:val="none" w:sz="0" w:space="0" w:color="auto"/>
            <w:right w:val="none" w:sz="0" w:space="0" w:color="auto"/>
          </w:divBdr>
          <w:divsChild>
            <w:div w:id="83647605">
              <w:marLeft w:val="0"/>
              <w:marRight w:val="0"/>
              <w:marTop w:val="0"/>
              <w:marBottom w:val="0"/>
              <w:divBdr>
                <w:top w:val="none" w:sz="0" w:space="0" w:color="auto"/>
                <w:left w:val="none" w:sz="0" w:space="0" w:color="auto"/>
                <w:bottom w:val="none" w:sz="0" w:space="0" w:color="auto"/>
                <w:right w:val="none" w:sz="0" w:space="0" w:color="auto"/>
              </w:divBdr>
            </w:div>
          </w:divsChild>
        </w:div>
        <w:div w:id="430512527">
          <w:marLeft w:val="0"/>
          <w:marRight w:val="0"/>
          <w:marTop w:val="0"/>
          <w:marBottom w:val="0"/>
          <w:divBdr>
            <w:top w:val="none" w:sz="0" w:space="0" w:color="auto"/>
            <w:left w:val="none" w:sz="0" w:space="0" w:color="auto"/>
            <w:bottom w:val="none" w:sz="0" w:space="0" w:color="auto"/>
            <w:right w:val="none" w:sz="0" w:space="0" w:color="auto"/>
          </w:divBdr>
          <w:divsChild>
            <w:div w:id="1842112620">
              <w:marLeft w:val="0"/>
              <w:marRight w:val="0"/>
              <w:marTop w:val="0"/>
              <w:marBottom w:val="0"/>
              <w:divBdr>
                <w:top w:val="none" w:sz="0" w:space="0" w:color="auto"/>
                <w:left w:val="none" w:sz="0" w:space="0" w:color="auto"/>
                <w:bottom w:val="none" w:sz="0" w:space="0" w:color="auto"/>
                <w:right w:val="none" w:sz="0" w:space="0" w:color="auto"/>
              </w:divBdr>
            </w:div>
          </w:divsChild>
        </w:div>
        <w:div w:id="464585480">
          <w:marLeft w:val="0"/>
          <w:marRight w:val="0"/>
          <w:marTop w:val="0"/>
          <w:marBottom w:val="0"/>
          <w:divBdr>
            <w:top w:val="none" w:sz="0" w:space="0" w:color="auto"/>
            <w:left w:val="none" w:sz="0" w:space="0" w:color="auto"/>
            <w:bottom w:val="none" w:sz="0" w:space="0" w:color="auto"/>
            <w:right w:val="none" w:sz="0" w:space="0" w:color="auto"/>
          </w:divBdr>
          <w:divsChild>
            <w:div w:id="142165374">
              <w:marLeft w:val="0"/>
              <w:marRight w:val="0"/>
              <w:marTop w:val="0"/>
              <w:marBottom w:val="0"/>
              <w:divBdr>
                <w:top w:val="none" w:sz="0" w:space="0" w:color="auto"/>
                <w:left w:val="none" w:sz="0" w:space="0" w:color="auto"/>
                <w:bottom w:val="none" w:sz="0" w:space="0" w:color="auto"/>
                <w:right w:val="none" w:sz="0" w:space="0" w:color="auto"/>
              </w:divBdr>
            </w:div>
          </w:divsChild>
        </w:div>
        <w:div w:id="523979478">
          <w:marLeft w:val="0"/>
          <w:marRight w:val="0"/>
          <w:marTop w:val="0"/>
          <w:marBottom w:val="0"/>
          <w:divBdr>
            <w:top w:val="none" w:sz="0" w:space="0" w:color="auto"/>
            <w:left w:val="none" w:sz="0" w:space="0" w:color="auto"/>
            <w:bottom w:val="none" w:sz="0" w:space="0" w:color="auto"/>
            <w:right w:val="none" w:sz="0" w:space="0" w:color="auto"/>
          </w:divBdr>
          <w:divsChild>
            <w:div w:id="214660408">
              <w:marLeft w:val="0"/>
              <w:marRight w:val="0"/>
              <w:marTop w:val="0"/>
              <w:marBottom w:val="0"/>
              <w:divBdr>
                <w:top w:val="none" w:sz="0" w:space="0" w:color="auto"/>
                <w:left w:val="none" w:sz="0" w:space="0" w:color="auto"/>
                <w:bottom w:val="none" w:sz="0" w:space="0" w:color="auto"/>
                <w:right w:val="none" w:sz="0" w:space="0" w:color="auto"/>
              </w:divBdr>
            </w:div>
          </w:divsChild>
        </w:div>
        <w:div w:id="585840552">
          <w:marLeft w:val="0"/>
          <w:marRight w:val="0"/>
          <w:marTop w:val="0"/>
          <w:marBottom w:val="0"/>
          <w:divBdr>
            <w:top w:val="none" w:sz="0" w:space="0" w:color="auto"/>
            <w:left w:val="none" w:sz="0" w:space="0" w:color="auto"/>
            <w:bottom w:val="none" w:sz="0" w:space="0" w:color="auto"/>
            <w:right w:val="none" w:sz="0" w:space="0" w:color="auto"/>
          </w:divBdr>
          <w:divsChild>
            <w:div w:id="2003583555">
              <w:marLeft w:val="0"/>
              <w:marRight w:val="0"/>
              <w:marTop w:val="0"/>
              <w:marBottom w:val="0"/>
              <w:divBdr>
                <w:top w:val="none" w:sz="0" w:space="0" w:color="auto"/>
                <w:left w:val="none" w:sz="0" w:space="0" w:color="auto"/>
                <w:bottom w:val="none" w:sz="0" w:space="0" w:color="auto"/>
                <w:right w:val="none" w:sz="0" w:space="0" w:color="auto"/>
              </w:divBdr>
            </w:div>
          </w:divsChild>
        </w:div>
        <w:div w:id="670184091">
          <w:marLeft w:val="0"/>
          <w:marRight w:val="0"/>
          <w:marTop w:val="0"/>
          <w:marBottom w:val="0"/>
          <w:divBdr>
            <w:top w:val="none" w:sz="0" w:space="0" w:color="auto"/>
            <w:left w:val="none" w:sz="0" w:space="0" w:color="auto"/>
            <w:bottom w:val="none" w:sz="0" w:space="0" w:color="auto"/>
            <w:right w:val="none" w:sz="0" w:space="0" w:color="auto"/>
          </w:divBdr>
          <w:divsChild>
            <w:div w:id="1200363105">
              <w:marLeft w:val="0"/>
              <w:marRight w:val="0"/>
              <w:marTop w:val="0"/>
              <w:marBottom w:val="0"/>
              <w:divBdr>
                <w:top w:val="none" w:sz="0" w:space="0" w:color="auto"/>
                <w:left w:val="none" w:sz="0" w:space="0" w:color="auto"/>
                <w:bottom w:val="none" w:sz="0" w:space="0" w:color="auto"/>
                <w:right w:val="none" w:sz="0" w:space="0" w:color="auto"/>
              </w:divBdr>
            </w:div>
          </w:divsChild>
        </w:div>
        <w:div w:id="673266859">
          <w:marLeft w:val="0"/>
          <w:marRight w:val="0"/>
          <w:marTop w:val="0"/>
          <w:marBottom w:val="0"/>
          <w:divBdr>
            <w:top w:val="none" w:sz="0" w:space="0" w:color="auto"/>
            <w:left w:val="none" w:sz="0" w:space="0" w:color="auto"/>
            <w:bottom w:val="none" w:sz="0" w:space="0" w:color="auto"/>
            <w:right w:val="none" w:sz="0" w:space="0" w:color="auto"/>
          </w:divBdr>
          <w:divsChild>
            <w:div w:id="158732897">
              <w:marLeft w:val="0"/>
              <w:marRight w:val="0"/>
              <w:marTop w:val="0"/>
              <w:marBottom w:val="0"/>
              <w:divBdr>
                <w:top w:val="none" w:sz="0" w:space="0" w:color="auto"/>
                <w:left w:val="none" w:sz="0" w:space="0" w:color="auto"/>
                <w:bottom w:val="none" w:sz="0" w:space="0" w:color="auto"/>
                <w:right w:val="none" w:sz="0" w:space="0" w:color="auto"/>
              </w:divBdr>
            </w:div>
          </w:divsChild>
        </w:div>
        <w:div w:id="853614540">
          <w:marLeft w:val="0"/>
          <w:marRight w:val="0"/>
          <w:marTop w:val="0"/>
          <w:marBottom w:val="0"/>
          <w:divBdr>
            <w:top w:val="none" w:sz="0" w:space="0" w:color="auto"/>
            <w:left w:val="none" w:sz="0" w:space="0" w:color="auto"/>
            <w:bottom w:val="none" w:sz="0" w:space="0" w:color="auto"/>
            <w:right w:val="none" w:sz="0" w:space="0" w:color="auto"/>
          </w:divBdr>
          <w:divsChild>
            <w:div w:id="701710098">
              <w:marLeft w:val="0"/>
              <w:marRight w:val="0"/>
              <w:marTop w:val="0"/>
              <w:marBottom w:val="0"/>
              <w:divBdr>
                <w:top w:val="none" w:sz="0" w:space="0" w:color="auto"/>
                <w:left w:val="none" w:sz="0" w:space="0" w:color="auto"/>
                <w:bottom w:val="none" w:sz="0" w:space="0" w:color="auto"/>
                <w:right w:val="none" w:sz="0" w:space="0" w:color="auto"/>
              </w:divBdr>
            </w:div>
          </w:divsChild>
        </w:div>
        <w:div w:id="895045028">
          <w:marLeft w:val="0"/>
          <w:marRight w:val="0"/>
          <w:marTop w:val="0"/>
          <w:marBottom w:val="0"/>
          <w:divBdr>
            <w:top w:val="none" w:sz="0" w:space="0" w:color="auto"/>
            <w:left w:val="none" w:sz="0" w:space="0" w:color="auto"/>
            <w:bottom w:val="none" w:sz="0" w:space="0" w:color="auto"/>
            <w:right w:val="none" w:sz="0" w:space="0" w:color="auto"/>
          </w:divBdr>
          <w:divsChild>
            <w:div w:id="1339231347">
              <w:marLeft w:val="0"/>
              <w:marRight w:val="0"/>
              <w:marTop w:val="0"/>
              <w:marBottom w:val="0"/>
              <w:divBdr>
                <w:top w:val="none" w:sz="0" w:space="0" w:color="auto"/>
                <w:left w:val="none" w:sz="0" w:space="0" w:color="auto"/>
                <w:bottom w:val="none" w:sz="0" w:space="0" w:color="auto"/>
                <w:right w:val="none" w:sz="0" w:space="0" w:color="auto"/>
              </w:divBdr>
            </w:div>
          </w:divsChild>
        </w:div>
        <w:div w:id="939145087">
          <w:marLeft w:val="0"/>
          <w:marRight w:val="0"/>
          <w:marTop w:val="0"/>
          <w:marBottom w:val="0"/>
          <w:divBdr>
            <w:top w:val="none" w:sz="0" w:space="0" w:color="auto"/>
            <w:left w:val="none" w:sz="0" w:space="0" w:color="auto"/>
            <w:bottom w:val="none" w:sz="0" w:space="0" w:color="auto"/>
            <w:right w:val="none" w:sz="0" w:space="0" w:color="auto"/>
          </w:divBdr>
          <w:divsChild>
            <w:div w:id="1883130376">
              <w:marLeft w:val="0"/>
              <w:marRight w:val="0"/>
              <w:marTop w:val="0"/>
              <w:marBottom w:val="0"/>
              <w:divBdr>
                <w:top w:val="none" w:sz="0" w:space="0" w:color="auto"/>
                <w:left w:val="none" w:sz="0" w:space="0" w:color="auto"/>
                <w:bottom w:val="none" w:sz="0" w:space="0" w:color="auto"/>
                <w:right w:val="none" w:sz="0" w:space="0" w:color="auto"/>
              </w:divBdr>
            </w:div>
          </w:divsChild>
        </w:div>
        <w:div w:id="958339652">
          <w:marLeft w:val="0"/>
          <w:marRight w:val="0"/>
          <w:marTop w:val="0"/>
          <w:marBottom w:val="0"/>
          <w:divBdr>
            <w:top w:val="none" w:sz="0" w:space="0" w:color="auto"/>
            <w:left w:val="none" w:sz="0" w:space="0" w:color="auto"/>
            <w:bottom w:val="none" w:sz="0" w:space="0" w:color="auto"/>
            <w:right w:val="none" w:sz="0" w:space="0" w:color="auto"/>
          </w:divBdr>
          <w:divsChild>
            <w:div w:id="125398979">
              <w:marLeft w:val="0"/>
              <w:marRight w:val="0"/>
              <w:marTop w:val="0"/>
              <w:marBottom w:val="0"/>
              <w:divBdr>
                <w:top w:val="none" w:sz="0" w:space="0" w:color="auto"/>
                <w:left w:val="none" w:sz="0" w:space="0" w:color="auto"/>
                <w:bottom w:val="none" w:sz="0" w:space="0" w:color="auto"/>
                <w:right w:val="none" w:sz="0" w:space="0" w:color="auto"/>
              </w:divBdr>
            </w:div>
            <w:div w:id="1968509436">
              <w:marLeft w:val="0"/>
              <w:marRight w:val="0"/>
              <w:marTop w:val="0"/>
              <w:marBottom w:val="0"/>
              <w:divBdr>
                <w:top w:val="none" w:sz="0" w:space="0" w:color="auto"/>
                <w:left w:val="none" w:sz="0" w:space="0" w:color="auto"/>
                <w:bottom w:val="none" w:sz="0" w:space="0" w:color="auto"/>
                <w:right w:val="none" w:sz="0" w:space="0" w:color="auto"/>
              </w:divBdr>
            </w:div>
          </w:divsChild>
        </w:div>
        <w:div w:id="966203976">
          <w:marLeft w:val="0"/>
          <w:marRight w:val="0"/>
          <w:marTop w:val="0"/>
          <w:marBottom w:val="0"/>
          <w:divBdr>
            <w:top w:val="none" w:sz="0" w:space="0" w:color="auto"/>
            <w:left w:val="none" w:sz="0" w:space="0" w:color="auto"/>
            <w:bottom w:val="none" w:sz="0" w:space="0" w:color="auto"/>
            <w:right w:val="none" w:sz="0" w:space="0" w:color="auto"/>
          </w:divBdr>
          <w:divsChild>
            <w:div w:id="899942769">
              <w:marLeft w:val="0"/>
              <w:marRight w:val="0"/>
              <w:marTop w:val="0"/>
              <w:marBottom w:val="0"/>
              <w:divBdr>
                <w:top w:val="none" w:sz="0" w:space="0" w:color="auto"/>
                <w:left w:val="none" w:sz="0" w:space="0" w:color="auto"/>
                <w:bottom w:val="none" w:sz="0" w:space="0" w:color="auto"/>
                <w:right w:val="none" w:sz="0" w:space="0" w:color="auto"/>
              </w:divBdr>
            </w:div>
          </w:divsChild>
        </w:div>
        <w:div w:id="981731775">
          <w:marLeft w:val="0"/>
          <w:marRight w:val="0"/>
          <w:marTop w:val="0"/>
          <w:marBottom w:val="0"/>
          <w:divBdr>
            <w:top w:val="none" w:sz="0" w:space="0" w:color="auto"/>
            <w:left w:val="none" w:sz="0" w:space="0" w:color="auto"/>
            <w:bottom w:val="none" w:sz="0" w:space="0" w:color="auto"/>
            <w:right w:val="none" w:sz="0" w:space="0" w:color="auto"/>
          </w:divBdr>
          <w:divsChild>
            <w:div w:id="420219326">
              <w:marLeft w:val="0"/>
              <w:marRight w:val="0"/>
              <w:marTop w:val="0"/>
              <w:marBottom w:val="0"/>
              <w:divBdr>
                <w:top w:val="none" w:sz="0" w:space="0" w:color="auto"/>
                <w:left w:val="none" w:sz="0" w:space="0" w:color="auto"/>
                <w:bottom w:val="none" w:sz="0" w:space="0" w:color="auto"/>
                <w:right w:val="none" w:sz="0" w:space="0" w:color="auto"/>
              </w:divBdr>
            </w:div>
          </w:divsChild>
        </w:div>
        <w:div w:id="997735875">
          <w:marLeft w:val="0"/>
          <w:marRight w:val="0"/>
          <w:marTop w:val="0"/>
          <w:marBottom w:val="0"/>
          <w:divBdr>
            <w:top w:val="none" w:sz="0" w:space="0" w:color="auto"/>
            <w:left w:val="none" w:sz="0" w:space="0" w:color="auto"/>
            <w:bottom w:val="none" w:sz="0" w:space="0" w:color="auto"/>
            <w:right w:val="none" w:sz="0" w:space="0" w:color="auto"/>
          </w:divBdr>
          <w:divsChild>
            <w:div w:id="180970948">
              <w:marLeft w:val="0"/>
              <w:marRight w:val="0"/>
              <w:marTop w:val="0"/>
              <w:marBottom w:val="0"/>
              <w:divBdr>
                <w:top w:val="none" w:sz="0" w:space="0" w:color="auto"/>
                <w:left w:val="none" w:sz="0" w:space="0" w:color="auto"/>
                <w:bottom w:val="none" w:sz="0" w:space="0" w:color="auto"/>
                <w:right w:val="none" w:sz="0" w:space="0" w:color="auto"/>
              </w:divBdr>
            </w:div>
          </w:divsChild>
        </w:div>
        <w:div w:id="1129788872">
          <w:marLeft w:val="0"/>
          <w:marRight w:val="0"/>
          <w:marTop w:val="0"/>
          <w:marBottom w:val="0"/>
          <w:divBdr>
            <w:top w:val="none" w:sz="0" w:space="0" w:color="auto"/>
            <w:left w:val="none" w:sz="0" w:space="0" w:color="auto"/>
            <w:bottom w:val="none" w:sz="0" w:space="0" w:color="auto"/>
            <w:right w:val="none" w:sz="0" w:space="0" w:color="auto"/>
          </w:divBdr>
          <w:divsChild>
            <w:div w:id="404228972">
              <w:marLeft w:val="0"/>
              <w:marRight w:val="0"/>
              <w:marTop w:val="0"/>
              <w:marBottom w:val="0"/>
              <w:divBdr>
                <w:top w:val="none" w:sz="0" w:space="0" w:color="auto"/>
                <w:left w:val="none" w:sz="0" w:space="0" w:color="auto"/>
                <w:bottom w:val="none" w:sz="0" w:space="0" w:color="auto"/>
                <w:right w:val="none" w:sz="0" w:space="0" w:color="auto"/>
              </w:divBdr>
            </w:div>
          </w:divsChild>
        </w:div>
        <w:div w:id="1176847313">
          <w:marLeft w:val="0"/>
          <w:marRight w:val="0"/>
          <w:marTop w:val="0"/>
          <w:marBottom w:val="0"/>
          <w:divBdr>
            <w:top w:val="none" w:sz="0" w:space="0" w:color="auto"/>
            <w:left w:val="none" w:sz="0" w:space="0" w:color="auto"/>
            <w:bottom w:val="none" w:sz="0" w:space="0" w:color="auto"/>
            <w:right w:val="none" w:sz="0" w:space="0" w:color="auto"/>
          </w:divBdr>
          <w:divsChild>
            <w:div w:id="1413698878">
              <w:marLeft w:val="0"/>
              <w:marRight w:val="0"/>
              <w:marTop w:val="0"/>
              <w:marBottom w:val="0"/>
              <w:divBdr>
                <w:top w:val="none" w:sz="0" w:space="0" w:color="auto"/>
                <w:left w:val="none" w:sz="0" w:space="0" w:color="auto"/>
                <w:bottom w:val="none" w:sz="0" w:space="0" w:color="auto"/>
                <w:right w:val="none" w:sz="0" w:space="0" w:color="auto"/>
              </w:divBdr>
            </w:div>
          </w:divsChild>
        </w:div>
        <w:div w:id="1191452027">
          <w:marLeft w:val="0"/>
          <w:marRight w:val="0"/>
          <w:marTop w:val="0"/>
          <w:marBottom w:val="0"/>
          <w:divBdr>
            <w:top w:val="none" w:sz="0" w:space="0" w:color="auto"/>
            <w:left w:val="none" w:sz="0" w:space="0" w:color="auto"/>
            <w:bottom w:val="none" w:sz="0" w:space="0" w:color="auto"/>
            <w:right w:val="none" w:sz="0" w:space="0" w:color="auto"/>
          </w:divBdr>
          <w:divsChild>
            <w:div w:id="2030133994">
              <w:marLeft w:val="0"/>
              <w:marRight w:val="0"/>
              <w:marTop w:val="0"/>
              <w:marBottom w:val="0"/>
              <w:divBdr>
                <w:top w:val="none" w:sz="0" w:space="0" w:color="auto"/>
                <w:left w:val="none" w:sz="0" w:space="0" w:color="auto"/>
                <w:bottom w:val="none" w:sz="0" w:space="0" w:color="auto"/>
                <w:right w:val="none" w:sz="0" w:space="0" w:color="auto"/>
              </w:divBdr>
            </w:div>
          </w:divsChild>
        </w:div>
        <w:div w:id="1192769584">
          <w:marLeft w:val="0"/>
          <w:marRight w:val="0"/>
          <w:marTop w:val="0"/>
          <w:marBottom w:val="0"/>
          <w:divBdr>
            <w:top w:val="none" w:sz="0" w:space="0" w:color="auto"/>
            <w:left w:val="none" w:sz="0" w:space="0" w:color="auto"/>
            <w:bottom w:val="none" w:sz="0" w:space="0" w:color="auto"/>
            <w:right w:val="none" w:sz="0" w:space="0" w:color="auto"/>
          </w:divBdr>
          <w:divsChild>
            <w:div w:id="1147086612">
              <w:marLeft w:val="0"/>
              <w:marRight w:val="0"/>
              <w:marTop w:val="0"/>
              <w:marBottom w:val="0"/>
              <w:divBdr>
                <w:top w:val="none" w:sz="0" w:space="0" w:color="auto"/>
                <w:left w:val="none" w:sz="0" w:space="0" w:color="auto"/>
                <w:bottom w:val="none" w:sz="0" w:space="0" w:color="auto"/>
                <w:right w:val="none" w:sz="0" w:space="0" w:color="auto"/>
              </w:divBdr>
            </w:div>
          </w:divsChild>
        </w:div>
        <w:div w:id="1193417273">
          <w:marLeft w:val="0"/>
          <w:marRight w:val="0"/>
          <w:marTop w:val="0"/>
          <w:marBottom w:val="0"/>
          <w:divBdr>
            <w:top w:val="none" w:sz="0" w:space="0" w:color="auto"/>
            <w:left w:val="none" w:sz="0" w:space="0" w:color="auto"/>
            <w:bottom w:val="none" w:sz="0" w:space="0" w:color="auto"/>
            <w:right w:val="none" w:sz="0" w:space="0" w:color="auto"/>
          </w:divBdr>
          <w:divsChild>
            <w:div w:id="796752186">
              <w:marLeft w:val="0"/>
              <w:marRight w:val="0"/>
              <w:marTop w:val="0"/>
              <w:marBottom w:val="0"/>
              <w:divBdr>
                <w:top w:val="none" w:sz="0" w:space="0" w:color="auto"/>
                <w:left w:val="none" w:sz="0" w:space="0" w:color="auto"/>
                <w:bottom w:val="none" w:sz="0" w:space="0" w:color="auto"/>
                <w:right w:val="none" w:sz="0" w:space="0" w:color="auto"/>
              </w:divBdr>
            </w:div>
          </w:divsChild>
        </w:div>
        <w:div w:id="1238638551">
          <w:marLeft w:val="0"/>
          <w:marRight w:val="0"/>
          <w:marTop w:val="0"/>
          <w:marBottom w:val="0"/>
          <w:divBdr>
            <w:top w:val="none" w:sz="0" w:space="0" w:color="auto"/>
            <w:left w:val="none" w:sz="0" w:space="0" w:color="auto"/>
            <w:bottom w:val="none" w:sz="0" w:space="0" w:color="auto"/>
            <w:right w:val="none" w:sz="0" w:space="0" w:color="auto"/>
          </w:divBdr>
          <w:divsChild>
            <w:div w:id="2029407659">
              <w:marLeft w:val="0"/>
              <w:marRight w:val="0"/>
              <w:marTop w:val="0"/>
              <w:marBottom w:val="0"/>
              <w:divBdr>
                <w:top w:val="none" w:sz="0" w:space="0" w:color="auto"/>
                <w:left w:val="none" w:sz="0" w:space="0" w:color="auto"/>
                <w:bottom w:val="none" w:sz="0" w:space="0" w:color="auto"/>
                <w:right w:val="none" w:sz="0" w:space="0" w:color="auto"/>
              </w:divBdr>
            </w:div>
          </w:divsChild>
        </w:div>
        <w:div w:id="1268582562">
          <w:marLeft w:val="0"/>
          <w:marRight w:val="0"/>
          <w:marTop w:val="0"/>
          <w:marBottom w:val="0"/>
          <w:divBdr>
            <w:top w:val="none" w:sz="0" w:space="0" w:color="auto"/>
            <w:left w:val="none" w:sz="0" w:space="0" w:color="auto"/>
            <w:bottom w:val="none" w:sz="0" w:space="0" w:color="auto"/>
            <w:right w:val="none" w:sz="0" w:space="0" w:color="auto"/>
          </w:divBdr>
          <w:divsChild>
            <w:div w:id="1935741955">
              <w:marLeft w:val="0"/>
              <w:marRight w:val="0"/>
              <w:marTop w:val="0"/>
              <w:marBottom w:val="0"/>
              <w:divBdr>
                <w:top w:val="none" w:sz="0" w:space="0" w:color="auto"/>
                <w:left w:val="none" w:sz="0" w:space="0" w:color="auto"/>
                <w:bottom w:val="none" w:sz="0" w:space="0" w:color="auto"/>
                <w:right w:val="none" w:sz="0" w:space="0" w:color="auto"/>
              </w:divBdr>
            </w:div>
          </w:divsChild>
        </w:div>
        <w:div w:id="1329483305">
          <w:marLeft w:val="0"/>
          <w:marRight w:val="0"/>
          <w:marTop w:val="0"/>
          <w:marBottom w:val="0"/>
          <w:divBdr>
            <w:top w:val="none" w:sz="0" w:space="0" w:color="auto"/>
            <w:left w:val="none" w:sz="0" w:space="0" w:color="auto"/>
            <w:bottom w:val="none" w:sz="0" w:space="0" w:color="auto"/>
            <w:right w:val="none" w:sz="0" w:space="0" w:color="auto"/>
          </w:divBdr>
          <w:divsChild>
            <w:div w:id="322856068">
              <w:marLeft w:val="0"/>
              <w:marRight w:val="0"/>
              <w:marTop w:val="0"/>
              <w:marBottom w:val="0"/>
              <w:divBdr>
                <w:top w:val="none" w:sz="0" w:space="0" w:color="auto"/>
                <w:left w:val="none" w:sz="0" w:space="0" w:color="auto"/>
                <w:bottom w:val="none" w:sz="0" w:space="0" w:color="auto"/>
                <w:right w:val="none" w:sz="0" w:space="0" w:color="auto"/>
              </w:divBdr>
            </w:div>
          </w:divsChild>
        </w:div>
        <w:div w:id="1421218068">
          <w:marLeft w:val="0"/>
          <w:marRight w:val="0"/>
          <w:marTop w:val="0"/>
          <w:marBottom w:val="0"/>
          <w:divBdr>
            <w:top w:val="none" w:sz="0" w:space="0" w:color="auto"/>
            <w:left w:val="none" w:sz="0" w:space="0" w:color="auto"/>
            <w:bottom w:val="none" w:sz="0" w:space="0" w:color="auto"/>
            <w:right w:val="none" w:sz="0" w:space="0" w:color="auto"/>
          </w:divBdr>
          <w:divsChild>
            <w:div w:id="1314792689">
              <w:marLeft w:val="0"/>
              <w:marRight w:val="0"/>
              <w:marTop w:val="0"/>
              <w:marBottom w:val="0"/>
              <w:divBdr>
                <w:top w:val="none" w:sz="0" w:space="0" w:color="auto"/>
                <w:left w:val="none" w:sz="0" w:space="0" w:color="auto"/>
                <w:bottom w:val="none" w:sz="0" w:space="0" w:color="auto"/>
                <w:right w:val="none" w:sz="0" w:space="0" w:color="auto"/>
              </w:divBdr>
            </w:div>
          </w:divsChild>
        </w:div>
        <w:div w:id="1477408440">
          <w:marLeft w:val="0"/>
          <w:marRight w:val="0"/>
          <w:marTop w:val="0"/>
          <w:marBottom w:val="0"/>
          <w:divBdr>
            <w:top w:val="none" w:sz="0" w:space="0" w:color="auto"/>
            <w:left w:val="none" w:sz="0" w:space="0" w:color="auto"/>
            <w:bottom w:val="none" w:sz="0" w:space="0" w:color="auto"/>
            <w:right w:val="none" w:sz="0" w:space="0" w:color="auto"/>
          </w:divBdr>
          <w:divsChild>
            <w:div w:id="264843770">
              <w:marLeft w:val="0"/>
              <w:marRight w:val="0"/>
              <w:marTop w:val="0"/>
              <w:marBottom w:val="0"/>
              <w:divBdr>
                <w:top w:val="none" w:sz="0" w:space="0" w:color="auto"/>
                <w:left w:val="none" w:sz="0" w:space="0" w:color="auto"/>
                <w:bottom w:val="none" w:sz="0" w:space="0" w:color="auto"/>
                <w:right w:val="none" w:sz="0" w:space="0" w:color="auto"/>
              </w:divBdr>
            </w:div>
          </w:divsChild>
        </w:div>
        <w:div w:id="1607038948">
          <w:marLeft w:val="0"/>
          <w:marRight w:val="0"/>
          <w:marTop w:val="0"/>
          <w:marBottom w:val="0"/>
          <w:divBdr>
            <w:top w:val="none" w:sz="0" w:space="0" w:color="auto"/>
            <w:left w:val="none" w:sz="0" w:space="0" w:color="auto"/>
            <w:bottom w:val="none" w:sz="0" w:space="0" w:color="auto"/>
            <w:right w:val="none" w:sz="0" w:space="0" w:color="auto"/>
          </w:divBdr>
          <w:divsChild>
            <w:div w:id="695228621">
              <w:marLeft w:val="0"/>
              <w:marRight w:val="0"/>
              <w:marTop w:val="0"/>
              <w:marBottom w:val="0"/>
              <w:divBdr>
                <w:top w:val="none" w:sz="0" w:space="0" w:color="auto"/>
                <w:left w:val="none" w:sz="0" w:space="0" w:color="auto"/>
                <w:bottom w:val="none" w:sz="0" w:space="0" w:color="auto"/>
                <w:right w:val="none" w:sz="0" w:space="0" w:color="auto"/>
              </w:divBdr>
            </w:div>
          </w:divsChild>
        </w:div>
        <w:div w:id="2066293175">
          <w:marLeft w:val="0"/>
          <w:marRight w:val="0"/>
          <w:marTop w:val="0"/>
          <w:marBottom w:val="0"/>
          <w:divBdr>
            <w:top w:val="none" w:sz="0" w:space="0" w:color="auto"/>
            <w:left w:val="none" w:sz="0" w:space="0" w:color="auto"/>
            <w:bottom w:val="none" w:sz="0" w:space="0" w:color="auto"/>
            <w:right w:val="none" w:sz="0" w:space="0" w:color="auto"/>
          </w:divBdr>
          <w:divsChild>
            <w:div w:id="276256624">
              <w:marLeft w:val="0"/>
              <w:marRight w:val="0"/>
              <w:marTop w:val="0"/>
              <w:marBottom w:val="0"/>
              <w:divBdr>
                <w:top w:val="none" w:sz="0" w:space="0" w:color="auto"/>
                <w:left w:val="none" w:sz="0" w:space="0" w:color="auto"/>
                <w:bottom w:val="none" w:sz="0" w:space="0" w:color="auto"/>
                <w:right w:val="none" w:sz="0" w:space="0" w:color="auto"/>
              </w:divBdr>
            </w:div>
          </w:divsChild>
        </w:div>
        <w:div w:id="2073189286">
          <w:marLeft w:val="0"/>
          <w:marRight w:val="0"/>
          <w:marTop w:val="0"/>
          <w:marBottom w:val="0"/>
          <w:divBdr>
            <w:top w:val="none" w:sz="0" w:space="0" w:color="auto"/>
            <w:left w:val="none" w:sz="0" w:space="0" w:color="auto"/>
            <w:bottom w:val="none" w:sz="0" w:space="0" w:color="auto"/>
            <w:right w:val="none" w:sz="0" w:space="0" w:color="auto"/>
          </w:divBdr>
          <w:divsChild>
            <w:div w:id="1364943155">
              <w:marLeft w:val="0"/>
              <w:marRight w:val="0"/>
              <w:marTop w:val="0"/>
              <w:marBottom w:val="0"/>
              <w:divBdr>
                <w:top w:val="none" w:sz="0" w:space="0" w:color="auto"/>
                <w:left w:val="none" w:sz="0" w:space="0" w:color="auto"/>
                <w:bottom w:val="none" w:sz="0" w:space="0" w:color="auto"/>
                <w:right w:val="none" w:sz="0" w:space="0" w:color="auto"/>
              </w:divBdr>
            </w:div>
          </w:divsChild>
        </w:div>
        <w:div w:id="2114133994">
          <w:marLeft w:val="0"/>
          <w:marRight w:val="0"/>
          <w:marTop w:val="0"/>
          <w:marBottom w:val="0"/>
          <w:divBdr>
            <w:top w:val="none" w:sz="0" w:space="0" w:color="auto"/>
            <w:left w:val="none" w:sz="0" w:space="0" w:color="auto"/>
            <w:bottom w:val="none" w:sz="0" w:space="0" w:color="auto"/>
            <w:right w:val="none" w:sz="0" w:space="0" w:color="auto"/>
          </w:divBdr>
          <w:divsChild>
            <w:div w:id="514421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050622">
      <w:bodyDiv w:val="1"/>
      <w:marLeft w:val="0"/>
      <w:marRight w:val="0"/>
      <w:marTop w:val="0"/>
      <w:marBottom w:val="0"/>
      <w:divBdr>
        <w:top w:val="none" w:sz="0" w:space="0" w:color="auto"/>
        <w:left w:val="none" w:sz="0" w:space="0" w:color="auto"/>
        <w:bottom w:val="none" w:sz="0" w:space="0" w:color="auto"/>
        <w:right w:val="none" w:sz="0" w:space="0" w:color="auto"/>
      </w:divBdr>
    </w:div>
    <w:div w:id="970986310">
      <w:bodyDiv w:val="1"/>
      <w:marLeft w:val="0"/>
      <w:marRight w:val="0"/>
      <w:marTop w:val="0"/>
      <w:marBottom w:val="0"/>
      <w:divBdr>
        <w:top w:val="none" w:sz="0" w:space="0" w:color="auto"/>
        <w:left w:val="none" w:sz="0" w:space="0" w:color="auto"/>
        <w:bottom w:val="none" w:sz="0" w:space="0" w:color="auto"/>
        <w:right w:val="none" w:sz="0" w:space="0" w:color="auto"/>
      </w:divBdr>
      <w:divsChild>
        <w:div w:id="175845286">
          <w:marLeft w:val="0"/>
          <w:marRight w:val="0"/>
          <w:marTop w:val="0"/>
          <w:marBottom w:val="0"/>
          <w:divBdr>
            <w:top w:val="none" w:sz="0" w:space="0" w:color="auto"/>
            <w:left w:val="none" w:sz="0" w:space="0" w:color="auto"/>
            <w:bottom w:val="none" w:sz="0" w:space="0" w:color="auto"/>
            <w:right w:val="none" w:sz="0" w:space="0" w:color="auto"/>
          </w:divBdr>
          <w:divsChild>
            <w:div w:id="490876711">
              <w:marLeft w:val="0"/>
              <w:marRight w:val="0"/>
              <w:marTop w:val="0"/>
              <w:marBottom w:val="0"/>
              <w:divBdr>
                <w:top w:val="none" w:sz="0" w:space="0" w:color="auto"/>
                <w:left w:val="none" w:sz="0" w:space="0" w:color="auto"/>
                <w:bottom w:val="none" w:sz="0" w:space="0" w:color="auto"/>
                <w:right w:val="none" w:sz="0" w:space="0" w:color="auto"/>
              </w:divBdr>
            </w:div>
          </w:divsChild>
        </w:div>
        <w:div w:id="195774835">
          <w:marLeft w:val="0"/>
          <w:marRight w:val="0"/>
          <w:marTop w:val="0"/>
          <w:marBottom w:val="0"/>
          <w:divBdr>
            <w:top w:val="none" w:sz="0" w:space="0" w:color="auto"/>
            <w:left w:val="none" w:sz="0" w:space="0" w:color="auto"/>
            <w:bottom w:val="none" w:sz="0" w:space="0" w:color="auto"/>
            <w:right w:val="none" w:sz="0" w:space="0" w:color="auto"/>
          </w:divBdr>
          <w:divsChild>
            <w:div w:id="1244530238">
              <w:marLeft w:val="0"/>
              <w:marRight w:val="0"/>
              <w:marTop w:val="0"/>
              <w:marBottom w:val="0"/>
              <w:divBdr>
                <w:top w:val="none" w:sz="0" w:space="0" w:color="auto"/>
                <w:left w:val="none" w:sz="0" w:space="0" w:color="auto"/>
                <w:bottom w:val="none" w:sz="0" w:space="0" w:color="auto"/>
                <w:right w:val="none" w:sz="0" w:space="0" w:color="auto"/>
              </w:divBdr>
            </w:div>
          </w:divsChild>
        </w:div>
        <w:div w:id="442192734">
          <w:marLeft w:val="0"/>
          <w:marRight w:val="0"/>
          <w:marTop w:val="0"/>
          <w:marBottom w:val="0"/>
          <w:divBdr>
            <w:top w:val="none" w:sz="0" w:space="0" w:color="auto"/>
            <w:left w:val="none" w:sz="0" w:space="0" w:color="auto"/>
            <w:bottom w:val="none" w:sz="0" w:space="0" w:color="auto"/>
            <w:right w:val="none" w:sz="0" w:space="0" w:color="auto"/>
          </w:divBdr>
          <w:divsChild>
            <w:div w:id="1381515112">
              <w:marLeft w:val="0"/>
              <w:marRight w:val="0"/>
              <w:marTop w:val="0"/>
              <w:marBottom w:val="0"/>
              <w:divBdr>
                <w:top w:val="none" w:sz="0" w:space="0" w:color="auto"/>
                <w:left w:val="none" w:sz="0" w:space="0" w:color="auto"/>
                <w:bottom w:val="none" w:sz="0" w:space="0" w:color="auto"/>
                <w:right w:val="none" w:sz="0" w:space="0" w:color="auto"/>
              </w:divBdr>
            </w:div>
          </w:divsChild>
        </w:div>
        <w:div w:id="452675090">
          <w:marLeft w:val="0"/>
          <w:marRight w:val="0"/>
          <w:marTop w:val="0"/>
          <w:marBottom w:val="0"/>
          <w:divBdr>
            <w:top w:val="none" w:sz="0" w:space="0" w:color="auto"/>
            <w:left w:val="none" w:sz="0" w:space="0" w:color="auto"/>
            <w:bottom w:val="none" w:sz="0" w:space="0" w:color="auto"/>
            <w:right w:val="none" w:sz="0" w:space="0" w:color="auto"/>
          </w:divBdr>
          <w:divsChild>
            <w:div w:id="1363700911">
              <w:marLeft w:val="0"/>
              <w:marRight w:val="0"/>
              <w:marTop w:val="0"/>
              <w:marBottom w:val="0"/>
              <w:divBdr>
                <w:top w:val="none" w:sz="0" w:space="0" w:color="auto"/>
                <w:left w:val="none" w:sz="0" w:space="0" w:color="auto"/>
                <w:bottom w:val="none" w:sz="0" w:space="0" w:color="auto"/>
                <w:right w:val="none" w:sz="0" w:space="0" w:color="auto"/>
              </w:divBdr>
            </w:div>
          </w:divsChild>
        </w:div>
        <w:div w:id="464666846">
          <w:marLeft w:val="0"/>
          <w:marRight w:val="0"/>
          <w:marTop w:val="0"/>
          <w:marBottom w:val="0"/>
          <w:divBdr>
            <w:top w:val="none" w:sz="0" w:space="0" w:color="auto"/>
            <w:left w:val="none" w:sz="0" w:space="0" w:color="auto"/>
            <w:bottom w:val="none" w:sz="0" w:space="0" w:color="auto"/>
            <w:right w:val="none" w:sz="0" w:space="0" w:color="auto"/>
          </w:divBdr>
          <w:divsChild>
            <w:div w:id="1651665451">
              <w:marLeft w:val="0"/>
              <w:marRight w:val="0"/>
              <w:marTop w:val="0"/>
              <w:marBottom w:val="0"/>
              <w:divBdr>
                <w:top w:val="none" w:sz="0" w:space="0" w:color="auto"/>
                <w:left w:val="none" w:sz="0" w:space="0" w:color="auto"/>
                <w:bottom w:val="none" w:sz="0" w:space="0" w:color="auto"/>
                <w:right w:val="none" w:sz="0" w:space="0" w:color="auto"/>
              </w:divBdr>
            </w:div>
          </w:divsChild>
        </w:div>
        <w:div w:id="496459659">
          <w:marLeft w:val="0"/>
          <w:marRight w:val="0"/>
          <w:marTop w:val="0"/>
          <w:marBottom w:val="0"/>
          <w:divBdr>
            <w:top w:val="none" w:sz="0" w:space="0" w:color="auto"/>
            <w:left w:val="none" w:sz="0" w:space="0" w:color="auto"/>
            <w:bottom w:val="none" w:sz="0" w:space="0" w:color="auto"/>
            <w:right w:val="none" w:sz="0" w:space="0" w:color="auto"/>
          </w:divBdr>
          <w:divsChild>
            <w:div w:id="2053383855">
              <w:marLeft w:val="0"/>
              <w:marRight w:val="0"/>
              <w:marTop w:val="0"/>
              <w:marBottom w:val="0"/>
              <w:divBdr>
                <w:top w:val="none" w:sz="0" w:space="0" w:color="auto"/>
                <w:left w:val="none" w:sz="0" w:space="0" w:color="auto"/>
                <w:bottom w:val="none" w:sz="0" w:space="0" w:color="auto"/>
                <w:right w:val="none" w:sz="0" w:space="0" w:color="auto"/>
              </w:divBdr>
            </w:div>
          </w:divsChild>
        </w:div>
        <w:div w:id="525675042">
          <w:marLeft w:val="0"/>
          <w:marRight w:val="0"/>
          <w:marTop w:val="0"/>
          <w:marBottom w:val="0"/>
          <w:divBdr>
            <w:top w:val="none" w:sz="0" w:space="0" w:color="auto"/>
            <w:left w:val="none" w:sz="0" w:space="0" w:color="auto"/>
            <w:bottom w:val="none" w:sz="0" w:space="0" w:color="auto"/>
            <w:right w:val="none" w:sz="0" w:space="0" w:color="auto"/>
          </w:divBdr>
          <w:divsChild>
            <w:div w:id="1096633020">
              <w:marLeft w:val="0"/>
              <w:marRight w:val="0"/>
              <w:marTop w:val="0"/>
              <w:marBottom w:val="0"/>
              <w:divBdr>
                <w:top w:val="none" w:sz="0" w:space="0" w:color="auto"/>
                <w:left w:val="none" w:sz="0" w:space="0" w:color="auto"/>
                <w:bottom w:val="none" w:sz="0" w:space="0" w:color="auto"/>
                <w:right w:val="none" w:sz="0" w:space="0" w:color="auto"/>
              </w:divBdr>
            </w:div>
          </w:divsChild>
        </w:div>
        <w:div w:id="615984641">
          <w:marLeft w:val="0"/>
          <w:marRight w:val="0"/>
          <w:marTop w:val="0"/>
          <w:marBottom w:val="0"/>
          <w:divBdr>
            <w:top w:val="none" w:sz="0" w:space="0" w:color="auto"/>
            <w:left w:val="none" w:sz="0" w:space="0" w:color="auto"/>
            <w:bottom w:val="none" w:sz="0" w:space="0" w:color="auto"/>
            <w:right w:val="none" w:sz="0" w:space="0" w:color="auto"/>
          </w:divBdr>
          <w:divsChild>
            <w:div w:id="924726273">
              <w:marLeft w:val="0"/>
              <w:marRight w:val="0"/>
              <w:marTop w:val="0"/>
              <w:marBottom w:val="0"/>
              <w:divBdr>
                <w:top w:val="none" w:sz="0" w:space="0" w:color="auto"/>
                <w:left w:val="none" w:sz="0" w:space="0" w:color="auto"/>
                <w:bottom w:val="none" w:sz="0" w:space="0" w:color="auto"/>
                <w:right w:val="none" w:sz="0" w:space="0" w:color="auto"/>
              </w:divBdr>
            </w:div>
            <w:div w:id="1455978472">
              <w:marLeft w:val="0"/>
              <w:marRight w:val="0"/>
              <w:marTop w:val="0"/>
              <w:marBottom w:val="0"/>
              <w:divBdr>
                <w:top w:val="none" w:sz="0" w:space="0" w:color="auto"/>
                <w:left w:val="none" w:sz="0" w:space="0" w:color="auto"/>
                <w:bottom w:val="none" w:sz="0" w:space="0" w:color="auto"/>
                <w:right w:val="none" w:sz="0" w:space="0" w:color="auto"/>
              </w:divBdr>
            </w:div>
          </w:divsChild>
        </w:div>
        <w:div w:id="661086082">
          <w:marLeft w:val="0"/>
          <w:marRight w:val="0"/>
          <w:marTop w:val="0"/>
          <w:marBottom w:val="0"/>
          <w:divBdr>
            <w:top w:val="none" w:sz="0" w:space="0" w:color="auto"/>
            <w:left w:val="none" w:sz="0" w:space="0" w:color="auto"/>
            <w:bottom w:val="none" w:sz="0" w:space="0" w:color="auto"/>
            <w:right w:val="none" w:sz="0" w:space="0" w:color="auto"/>
          </w:divBdr>
          <w:divsChild>
            <w:div w:id="370499141">
              <w:marLeft w:val="0"/>
              <w:marRight w:val="0"/>
              <w:marTop w:val="0"/>
              <w:marBottom w:val="0"/>
              <w:divBdr>
                <w:top w:val="none" w:sz="0" w:space="0" w:color="auto"/>
                <w:left w:val="none" w:sz="0" w:space="0" w:color="auto"/>
                <w:bottom w:val="none" w:sz="0" w:space="0" w:color="auto"/>
                <w:right w:val="none" w:sz="0" w:space="0" w:color="auto"/>
              </w:divBdr>
            </w:div>
          </w:divsChild>
        </w:div>
        <w:div w:id="701515065">
          <w:marLeft w:val="0"/>
          <w:marRight w:val="0"/>
          <w:marTop w:val="0"/>
          <w:marBottom w:val="0"/>
          <w:divBdr>
            <w:top w:val="none" w:sz="0" w:space="0" w:color="auto"/>
            <w:left w:val="none" w:sz="0" w:space="0" w:color="auto"/>
            <w:bottom w:val="none" w:sz="0" w:space="0" w:color="auto"/>
            <w:right w:val="none" w:sz="0" w:space="0" w:color="auto"/>
          </w:divBdr>
          <w:divsChild>
            <w:div w:id="1411199397">
              <w:marLeft w:val="0"/>
              <w:marRight w:val="0"/>
              <w:marTop w:val="0"/>
              <w:marBottom w:val="0"/>
              <w:divBdr>
                <w:top w:val="none" w:sz="0" w:space="0" w:color="auto"/>
                <w:left w:val="none" w:sz="0" w:space="0" w:color="auto"/>
                <w:bottom w:val="none" w:sz="0" w:space="0" w:color="auto"/>
                <w:right w:val="none" w:sz="0" w:space="0" w:color="auto"/>
              </w:divBdr>
            </w:div>
          </w:divsChild>
        </w:div>
        <w:div w:id="788207575">
          <w:marLeft w:val="0"/>
          <w:marRight w:val="0"/>
          <w:marTop w:val="0"/>
          <w:marBottom w:val="0"/>
          <w:divBdr>
            <w:top w:val="none" w:sz="0" w:space="0" w:color="auto"/>
            <w:left w:val="none" w:sz="0" w:space="0" w:color="auto"/>
            <w:bottom w:val="none" w:sz="0" w:space="0" w:color="auto"/>
            <w:right w:val="none" w:sz="0" w:space="0" w:color="auto"/>
          </w:divBdr>
          <w:divsChild>
            <w:div w:id="2127381833">
              <w:marLeft w:val="0"/>
              <w:marRight w:val="0"/>
              <w:marTop w:val="0"/>
              <w:marBottom w:val="0"/>
              <w:divBdr>
                <w:top w:val="none" w:sz="0" w:space="0" w:color="auto"/>
                <w:left w:val="none" w:sz="0" w:space="0" w:color="auto"/>
                <w:bottom w:val="none" w:sz="0" w:space="0" w:color="auto"/>
                <w:right w:val="none" w:sz="0" w:space="0" w:color="auto"/>
              </w:divBdr>
            </w:div>
          </w:divsChild>
        </w:div>
        <w:div w:id="846098106">
          <w:marLeft w:val="0"/>
          <w:marRight w:val="0"/>
          <w:marTop w:val="0"/>
          <w:marBottom w:val="0"/>
          <w:divBdr>
            <w:top w:val="none" w:sz="0" w:space="0" w:color="auto"/>
            <w:left w:val="none" w:sz="0" w:space="0" w:color="auto"/>
            <w:bottom w:val="none" w:sz="0" w:space="0" w:color="auto"/>
            <w:right w:val="none" w:sz="0" w:space="0" w:color="auto"/>
          </w:divBdr>
          <w:divsChild>
            <w:div w:id="1913202218">
              <w:marLeft w:val="0"/>
              <w:marRight w:val="0"/>
              <w:marTop w:val="0"/>
              <w:marBottom w:val="0"/>
              <w:divBdr>
                <w:top w:val="none" w:sz="0" w:space="0" w:color="auto"/>
                <w:left w:val="none" w:sz="0" w:space="0" w:color="auto"/>
                <w:bottom w:val="none" w:sz="0" w:space="0" w:color="auto"/>
                <w:right w:val="none" w:sz="0" w:space="0" w:color="auto"/>
              </w:divBdr>
            </w:div>
          </w:divsChild>
        </w:div>
        <w:div w:id="1018889501">
          <w:marLeft w:val="0"/>
          <w:marRight w:val="0"/>
          <w:marTop w:val="0"/>
          <w:marBottom w:val="0"/>
          <w:divBdr>
            <w:top w:val="none" w:sz="0" w:space="0" w:color="auto"/>
            <w:left w:val="none" w:sz="0" w:space="0" w:color="auto"/>
            <w:bottom w:val="none" w:sz="0" w:space="0" w:color="auto"/>
            <w:right w:val="none" w:sz="0" w:space="0" w:color="auto"/>
          </w:divBdr>
          <w:divsChild>
            <w:div w:id="533080322">
              <w:marLeft w:val="0"/>
              <w:marRight w:val="0"/>
              <w:marTop w:val="0"/>
              <w:marBottom w:val="0"/>
              <w:divBdr>
                <w:top w:val="none" w:sz="0" w:space="0" w:color="auto"/>
                <w:left w:val="none" w:sz="0" w:space="0" w:color="auto"/>
                <w:bottom w:val="none" w:sz="0" w:space="0" w:color="auto"/>
                <w:right w:val="none" w:sz="0" w:space="0" w:color="auto"/>
              </w:divBdr>
            </w:div>
          </w:divsChild>
        </w:div>
        <w:div w:id="1038312293">
          <w:marLeft w:val="0"/>
          <w:marRight w:val="0"/>
          <w:marTop w:val="0"/>
          <w:marBottom w:val="0"/>
          <w:divBdr>
            <w:top w:val="none" w:sz="0" w:space="0" w:color="auto"/>
            <w:left w:val="none" w:sz="0" w:space="0" w:color="auto"/>
            <w:bottom w:val="none" w:sz="0" w:space="0" w:color="auto"/>
            <w:right w:val="none" w:sz="0" w:space="0" w:color="auto"/>
          </w:divBdr>
          <w:divsChild>
            <w:div w:id="1988777738">
              <w:marLeft w:val="0"/>
              <w:marRight w:val="0"/>
              <w:marTop w:val="0"/>
              <w:marBottom w:val="0"/>
              <w:divBdr>
                <w:top w:val="none" w:sz="0" w:space="0" w:color="auto"/>
                <w:left w:val="none" w:sz="0" w:space="0" w:color="auto"/>
                <w:bottom w:val="none" w:sz="0" w:space="0" w:color="auto"/>
                <w:right w:val="none" w:sz="0" w:space="0" w:color="auto"/>
              </w:divBdr>
            </w:div>
          </w:divsChild>
        </w:div>
        <w:div w:id="1063911605">
          <w:marLeft w:val="0"/>
          <w:marRight w:val="0"/>
          <w:marTop w:val="0"/>
          <w:marBottom w:val="0"/>
          <w:divBdr>
            <w:top w:val="none" w:sz="0" w:space="0" w:color="auto"/>
            <w:left w:val="none" w:sz="0" w:space="0" w:color="auto"/>
            <w:bottom w:val="none" w:sz="0" w:space="0" w:color="auto"/>
            <w:right w:val="none" w:sz="0" w:space="0" w:color="auto"/>
          </w:divBdr>
          <w:divsChild>
            <w:div w:id="2011984989">
              <w:marLeft w:val="0"/>
              <w:marRight w:val="0"/>
              <w:marTop w:val="0"/>
              <w:marBottom w:val="0"/>
              <w:divBdr>
                <w:top w:val="none" w:sz="0" w:space="0" w:color="auto"/>
                <w:left w:val="none" w:sz="0" w:space="0" w:color="auto"/>
                <w:bottom w:val="none" w:sz="0" w:space="0" w:color="auto"/>
                <w:right w:val="none" w:sz="0" w:space="0" w:color="auto"/>
              </w:divBdr>
            </w:div>
          </w:divsChild>
        </w:div>
        <w:div w:id="1178470984">
          <w:marLeft w:val="0"/>
          <w:marRight w:val="0"/>
          <w:marTop w:val="0"/>
          <w:marBottom w:val="0"/>
          <w:divBdr>
            <w:top w:val="none" w:sz="0" w:space="0" w:color="auto"/>
            <w:left w:val="none" w:sz="0" w:space="0" w:color="auto"/>
            <w:bottom w:val="none" w:sz="0" w:space="0" w:color="auto"/>
            <w:right w:val="none" w:sz="0" w:space="0" w:color="auto"/>
          </w:divBdr>
          <w:divsChild>
            <w:div w:id="1624967267">
              <w:marLeft w:val="0"/>
              <w:marRight w:val="0"/>
              <w:marTop w:val="0"/>
              <w:marBottom w:val="0"/>
              <w:divBdr>
                <w:top w:val="none" w:sz="0" w:space="0" w:color="auto"/>
                <w:left w:val="none" w:sz="0" w:space="0" w:color="auto"/>
                <w:bottom w:val="none" w:sz="0" w:space="0" w:color="auto"/>
                <w:right w:val="none" w:sz="0" w:space="0" w:color="auto"/>
              </w:divBdr>
            </w:div>
          </w:divsChild>
        </w:div>
        <w:div w:id="1199121420">
          <w:marLeft w:val="0"/>
          <w:marRight w:val="0"/>
          <w:marTop w:val="0"/>
          <w:marBottom w:val="0"/>
          <w:divBdr>
            <w:top w:val="none" w:sz="0" w:space="0" w:color="auto"/>
            <w:left w:val="none" w:sz="0" w:space="0" w:color="auto"/>
            <w:bottom w:val="none" w:sz="0" w:space="0" w:color="auto"/>
            <w:right w:val="none" w:sz="0" w:space="0" w:color="auto"/>
          </w:divBdr>
          <w:divsChild>
            <w:div w:id="1066338209">
              <w:marLeft w:val="0"/>
              <w:marRight w:val="0"/>
              <w:marTop w:val="0"/>
              <w:marBottom w:val="0"/>
              <w:divBdr>
                <w:top w:val="none" w:sz="0" w:space="0" w:color="auto"/>
                <w:left w:val="none" w:sz="0" w:space="0" w:color="auto"/>
                <w:bottom w:val="none" w:sz="0" w:space="0" w:color="auto"/>
                <w:right w:val="none" w:sz="0" w:space="0" w:color="auto"/>
              </w:divBdr>
            </w:div>
          </w:divsChild>
        </w:div>
        <w:div w:id="1200514681">
          <w:marLeft w:val="0"/>
          <w:marRight w:val="0"/>
          <w:marTop w:val="0"/>
          <w:marBottom w:val="0"/>
          <w:divBdr>
            <w:top w:val="none" w:sz="0" w:space="0" w:color="auto"/>
            <w:left w:val="none" w:sz="0" w:space="0" w:color="auto"/>
            <w:bottom w:val="none" w:sz="0" w:space="0" w:color="auto"/>
            <w:right w:val="none" w:sz="0" w:space="0" w:color="auto"/>
          </w:divBdr>
          <w:divsChild>
            <w:div w:id="1158839070">
              <w:marLeft w:val="0"/>
              <w:marRight w:val="0"/>
              <w:marTop w:val="0"/>
              <w:marBottom w:val="0"/>
              <w:divBdr>
                <w:top w:val="none" w:sz="0" w:space="0" w:color="auto"/>
                <w:left w:val="none" w:sz="0" w:space="0" w:color="auto"/>
                <w:bottom w:val="none" w:sz="0" w:space="0" w:color="auto"/>
                <w:right w:val="none" w:sz="0" w:space="0" w:color="auto"/>
              </w:divBdr>
            </w:div>
          </w:divsChild>
        </w:div>
        <w:div w:id="1212111647">
          <w:marLeft w:val="0"/>
          <w:marRight w:val="0"/>
          <w:marTop w:val="0"/>
          <w:marBottom w:val="0"/>
          <w:divBdr>
            <w:top w:val="none" w:sz="0" w:space="0" w:color="auto"/>
            <w:left w:val="none" w:sz="0" w:space="0" w:color="auto"/>
            <w:bottom w:val="none" w:sz="0" w:space="0" w:color="auto"/>
            <w:right w:val="none" w:sz="0" w:space="0" w:color="auto"/>
          </w:divBdr>
          <w:divsChild>
            <w:div w:id="1892959389">
              <w:marLeft w:val="0"/>
              <w:marRight w:val="0"/>
              <w:marTop w:val="0"/>
              <w:marBottom w:val="0"/>
              <w:divBdr>
                <w:top w:val="none" w:sz="0" w:space="0" w:color="auto"/>
                <w:left w:val="none" w:sz="0" w:space="0" w:color="auto"/>
                <w:bottom w:val="none" w:sz="0" w:space="0" w:color="auto"/>
                <w:right w:val="none" w:sz="0" w:space="0" w:color="auto"/>
              </w:divBdr>
            </w:div>
          </w:divsChild>
        </w:div>
        <w:div w:id="1218006430">
          <w:marLeft w:val="0"/>
          <w:marRight w:val="0"/>
          <w:marTop w:val="0"/>
          <w:marBottom w:val="0"/>
          <w:divBdr>
            <w:top w:val="none" w:sz="0" w:space="0" w:color="auto"/>
            <w:left w:val="none" w:sz="0" w:space="0" w:color="auto"/>
            <w:bottom w:val="none" w:sz="0" w:space="0" w:color="auto"/>
            <w:right w:val="none" w:sz="0" w:space="0" w:color="auto"/>
          </w:divBdr>
          <w:divsChild>
            <w:div w:id="108397103">
              <w:marLeft w:val="0"/>
              <w:marRight w:val="0"/>
              <w:marTop w:val="0"/>
              <w:marBottom w:val="0"/>
              <w:divBdr>
                <w:top w:val="none" w:sz="0" w:space="0" w:color="auto"/>
                <w:left w:val="none" w:sz="0" w:space="0" w:color="auto"/>
                <w:bottom w:val="none" w:sz="0" w:space="0" w:color="auto"/>
                <w:right w:val="none" w:sz="0" w:space="0" w:color="auto"/>
              </w:divBdr>
            </w:div>
          </w:divsChild>
        </w:div>
        <w:div w:id="1229266458">
          <w:marLeft w:val="0"/>
          <w:marRight w:val="0"/>
          <w:marTop w:val="0"/>
          <w:marBottom w:val="0"/>
          <w:divBdr>
            <w:top w:val="none" w:sz="0" w:space="0" w:color="auto"/>
            <w:left w:val="none" w:sz="0" w:space="0" w:color="auto"/>
            <w:bottom w:val="none" w:sz="0" w:space="0" w:color="auto"/>
            <w:right w:val="none" w:sz="0" w:space="0" w:color="auto"/>
          </w:divBdr>
          <w:divsChild>
            <w:div w:id="481433370">
              <w:marLeft w:val="0"/>
              <w:marRight w:val="0"/>
              <w:marTop w:val="0"/>
              <w:marBottom w:val="0"/>
              <w:divBdr>
                <w:top w:val="none" w:sz="0" w:space="0" w:color="auto"/>
                <w:left w:val="none" w:sz="0" w:space="0" w:color="auto"/>
                <w:bottom w:val="none" w:sz="0" w:space="0" w:color="auto"/>
                <w:right w:val="none" w:sz="0" w:space="0" w:color="auto"/>
              </w:divBdr>
            </w:div>
          </w:divsChild>
        </w:div>
        <w:div w:id="1286738962">
          <w:marLeft w:val="0"/>
          <w:marRight w:val="0"/>
          <w:marTop w:val="0"/>
          <w:marBottom w:val="0"/>
          <w:divBdr>
            <w:top w:val="none" w:sz="0" w:space="0" w:color="auto"/>
            <w:left w:val="none" w:sz="0" w:space="0" w:color="auto"/>
            <w:bottom w:val="none" w:sz="0" w:space="0" w:color="auto"/>
            <w:right w:val="none" w:sz="0" w:space="0" w:color="auto"/>
          </w:divBdr>
          <w:divsChild>
            <w:div w:id="332102303">
              <w:marLeft w:val="0"/>
              <w:marRight w:val="0"/>
              <w:marTop w:val="0"/>
              <w:marBottom w:val="0"/>
              <w:divBdr>
                <w:top w:val="none" w:sz="0" w:space="0" w:color="auto"/>
                <w:left w:val="none" w:sz="0" w:space="0" w:color="auto"/>
                <w:bottom w:val="none" w:sz="0" w:space="0" w:color="auto"/>
                <w:right w:val="none" w:sz="0" w:space="0" w:color="auto"/>
              </w:divBdr>
            </w:div>
          </w:divsChild>
        </w:div>
        <w:div w:id="1372152577">
          <w:marLeft w:val="0"/>
          <w:marRight w:val="0"/>
          <w:marTop w:val="0"/>
          <w:marBottom w:val="0"/>
          <w:divBdr>
            <w:top w:val="none" w:sz="0" w:space="0" w:color="auto"/>
            <w:left w:val="none" w:sz="0" w:space="0" w:color="auto"/>
            <w:bottom w:val="none" w:sz="0" w:space="0" w:color="auto"/>
            <w:right w:val="none" w:sz="0" w:space="0" w:color="auto"/>
          </w:divBdr>
          <w:divsChild>
            <w:div w:id="1288776709">
              <w:marLeft w:val="0"/>
              <w:marRight w:val="0"/>
              <w:marTop w:val="0"/>
              <w:marBottom w:val="0"/>
              <w:divBdr>
                <w:top w:val="none" w:sz="0" w:space="0" w:color="auto"/>
                <w:left w:val="none" w:sz="0" w:space="0" w:color="auto"/>
                <w:bottom w:val="none" w:sz="0" w:space="0" w:color="auto"/>
                <w:right w:val="none" w:sz="0" w:space="0" w:color="auto"/>
              </w:divBdr>
            </w:div>
          </w:divsChild>
        </w:div>
        <w:div w:id="1496457203">
          <w:marLeft w:val="0"/>
          <w:marRight w:val="0"/>
          <w:marTop w:val="0"/>
          <w:marBottom w:val="0"/>
          <w:divBdr>
            <w:top w:val="none" w:sz="0" w:space="0" w:color="auto"/>
            <w:left w:val="none" w:sz="0" w:space="0" w:color="auto"/>
            <w:bottom w:val="none" w:sz="0" w:space="0" w:color="auto"/>
            <w:right w:val="none" w:sz="0" w:space="0" w:color="auto"/>
          </w:divBdr>
          <w:divsChild>
            <w:div w:id="4792748">
              <w:marLeft w:val="0"/>
              <w:marRight w:val="0"/>
              <w:marTop w:val="0"/>
              <w:marBottom w:val="0"/>
              <w:divBdr>
                <w:top w:val="none" w:sz="0" w:space="0" w:color="auto"/>
                <w:left w:val="none" w:sz="0" w:space="0" w:color="auto"/>
                <w:bottom w:val="none" w:sz="0" w:space="0" w:color="auto"/>
                <w:right w:val="none" w:sz="0" w:space="0" w:color="auto"/>
              </w:divBdr>
            </w:div>
          </w:divsChild>
        </w:div>
        <w:div w:id="1535852547">
          <w:marLeft w:val="0"/>
          <w:marRight w:val="0"/>
          <w:marTop w:val="0"/>
          <w:marBottom w:val="0"/>
          <w:divBdr>
            <w:top w:val="none" w:sz="0" w:space="0" w:color="auto"/>
            <w:left w:val="none" w:sz="0" w:space="0" w:color="auto"/>
            <w:bottom w:val="none" w:sz="0" w:space="0" w:color="auto"/>
            <w:right w:val="none" w:sz="0" w:space="0" w:color="auto"/>
          </w:divBdr>
          <w:divsChild>
            <w:div w:id="1839810657">
              <w:marLeft w:val="0"/>
              <w:marRight w:val="0"/>
              <w:marTop w:val="0"/>
              <w:marBottom w:val="0"/>
              <w:divBdr>
                <w:top w:val="none" w:sz="0" w:space="0" w:color="auto"/>
                <w:left w:val="none" w:sz="0" w:space="0" w:color="auto"/>
                <w:bottom w:val="none" w:sz="0" w:space="0" w:color="auto"/>
                <w:right w:val="none" w:sz="0" w:space="0" w:color="auto"/>
              </w:divBdr>
            </w:div>
          </w:divsChild>
        </w:div>
        <w:div w:id="1540169585">
          <w:marLeft w:val="0"/>
          <w:marRight w:val="0"/>
          <w:marTop w:val="0"/>
          <w:marBottom w:val="0"/>
          <w:divBdr>
            <w:top w:val="none" w:sz="0" w:space="0" w:color="auto"/>
            <w:left w:val="none" w:sz="0" w:space="0" w:color="auto"/>
            <w:bottom w:val="none" w:sz="0" w:space="0" w:color="auto"/>
            <w:right w:val="none" w:sz="0" w:space="0" w:color="auto"/>
          </w:divBdr>
          <w:divsChild>
            <w:div w:id="666371391">
              <w:marLeft w:val="0"/>
              <w:marRight w:val="0"/>
              <w:marTop w:val="0"/>
              <w:marBottom w:val="0"/>
              <w:divBdr>
                <w:top w:val="none" w:sz="0" w:space="0" w:color="auto"/>
                <w:left w:val="none" w:sz="0" w:space="0" w:color="auto"/>
                <w:bottom w:val="none" w:sz="0" w:space="0" w:color="auto"/>
                <w:right w:val="none" w:sz="0" w:space="0" w:color="auto"/>
              </w:divBdr>
            </w:div>
          </w:divsChild>
        </w:div>
        <w:div w:id="1577474842">
          <w:marLeft w:val="0"/>
          <w:marRight w:val="0"/>
          <w:marTop w:val="0"/>
          <w:marBottom w:val="0"/>
          <w:divBdr>
            <w:top w:val="none" w:sz="0" w:space="0" w:color="auto"/>
            <w:left w:val="none" w:sz="0" w:space="0" w:color="auto"/>
            <w:bottom w:val="none" w:sz="0" w:space="0" w:color="auto"/>
            <w:right w:val="none" w:sz="0" w:space="0" w:color="auto"/>
          </w:divBdr>
          <w:divsChild>
            <w:div w:id="1808274819">
              <w:marLeft w:val="0"/>
              <w:marRight w:val="0"/>
              <w:marTop w:val="0"/>
              <w:marBottom w:val="0"/>
              <w:divBdr>
                <w:top w:val="none" w:sz="0" w:space="0" w:color="auto"/>
                <w:left w:val="none" w:sz="0" w:space="0" w:color="auto"/>
                <w:bottom w:val="none" w:sz="0" w:space="0" w:color="auto"/>
                <w:right w:val="none" w:sz="0" w:space="0" w:color="auto"/>
              </w:divBdr>
            </w:div>
          </w:divsChild>
        </w:div>
        <w:div w:id="1588493750">
          <w:marLeft w:val="0"/>
          <w:marRight w:val="0"/>
          <w:marTop w:val="0"/>
          <w:marBottom w:val="0"/>
          <w:divBdr>
            <w:top w:val="none" w:sz="0" w:space="0" w:color="auto"/>
            <w:left w:val="none" w:sz="0" w:space="0" w:color="auto"/>
            <w:bottom w:val="none" w:sz="0" w:space="0" w:color="auto"/>
            <w:right w:val="none" w:sz="0" w:space="0" w:color="auto"/>
          </w:divBdr>
          <w:divsChild>
            <w:div w:id="2056653981">
              <w:marLeft w:val="0"/>
              <w:marRight w:val="0"/>
              <w:marTop w:val="0"/>
              <w:marBottom w:val="0"/>
              <w:divBdr>
                <w:top w:val="none" w:sz="0" w:space="0" w:color="auto"/>
                <w:left w:val="none" w:sz="0" w:space="0" w:color="auto"/>
                <w:bottom w:val="none" w:sz="0" w:space="0" w:color="auto"/>
                <w:right w:val="none" w:sz="0" w:space="0" w:color="auto"/>
              </w:divBdr>
            </w:div>
          </w:divsChild>
        </w:div>
        <w:div w:id="1627471270">
          <w:marLeft w:val="0"/>
          <w:marRight w:val="0"/>
          <w:marTop w:val="0"/>
          <w:marBottom w:val="0"/>
          <w:divBdr>
            <w:top w:val="none" w:sz="0" w:space="0" w:color="auto"/>
            <w:left w:val="none" w:sz="0" w:space="0" w:color="auto"/>
            <w:bottom w:val="none" w:sz="0" w:space="0" w:color="auto"/>
            <w:right w:val="none" w:sz="0" w:space="0" w:color="auto"/>
          </w:divBdr>
          <w:divsChild>
            <w:div w:id="610942726">
              <w:marLeft w:val="0"/>
              <w:marRight w:val="0"/>
              <w:marTop w:val="0"/>
              <w:marBottom w:val="0"/>
              <w:divBdr>
                <w:top w:val="none" w:sz="0" w:space="0" w:color="auto"/>
                <w:left w:val="none" w:sz="0" w:space="0" w:color="auto"/>
                <w:bottom w:val="none" w:sz="0" w:space="0" w:color="auto"/>
                <w:right w:val="none" w:sz="0" w:space="0" w:color="auto"/>
              </w:divBdr>
            </w:div>
          </w:divsChild>
        </w:div>
        <w:div w:id="1856655756">
          <w:marLeft w:val="0"/>
          <w:marRight w:val="0"/>
          <w:marTop w:val="0"/>
          <w:marBottom w:val="0"/>
          <w:divBdr>
            <w:top w:val="none" w:sz="0" w:space="0" w:color="auto"/>
            <w:left w:val="none" w:sz="0" w:space="0" w:color="auto"/>
            <w:bottom w:val="none" w:sz="0" w:space="0" w:color="auto"/>
            <w:right w:val="none" w:sz="0" w:space="0" w:color="auto"/>
          </w:divBdr>
          <w:divsChild>
            <w:div w:id="1086532557">
              <w:marLeft w:val="0"/>
              <w:marRight w:val="0"/>
              <w:marTop w:val="0"/>
              <w:marBottom w:val="0"/>
              <w:divBdr>
                <w:top w:val="none" w:sz="0" w:space="0" w:color="auto"/>
                <w:left w:val="none" w:sz="0" w:space="0" w:color="auto"/>
                <w:bottom w:val="none" w:sz="0" w:space="0" w:color="auto"/>
                <w:right w:val="none" w:sz="0" w:space="0" w:color="auto"/>
              </w:divBdr>
            </w:div>
          </w:divsChild>
        </w:div>
        <w:div w:id="1901749378">
          <w:marLeft w:val="0"/>
          <w:marRight w:val="0"/>
          <w:marTop w:val="0"/>
          <w:marBottom w:val="0"/>
          <w:divBdr>
            <w:top w:val="none" w:sz="0" w:space="0" w:color="auto"/>
            <w:left w:val="none" w:sz="0" w:space="0" w:color="auto"/>
            <w:bottom w:val="none" w:sz="0" w:space="0" w:color="auto"/>
            <w:right w:val="none" w:sz="0" w:space="0" w:color="auto"/>
          </w:divBdr>
          <w:divsChild>
            <w:div w:id="1486437163">
              <w:marLeft w:val="0"/>
              <w:marRight w:val="0"/>
              <w:marTop w:val="0"/>
              <w:marBottom w:val="0"/>
              <w:divBdr>
                <w:top w:val="none" w:sz="0" w:space="0" w:color="auto"/>
                <w:left w:val="none" w:sz="0" w:space="0" w:color="auto"/>
                <w:bottom w:val="none" w:sz="0" w:space="0" w:color="auto"/>
                <w:right w:val="none" w:sz="0" w:space="0" w:color="auto"/>
              </w:divBdr>
            </w:div>
          </w:divsChild>
        </w:div>
        <w:div w:id="1930962855">
          <w:marLeft w:val="0"/>
          <w:marRight w:val="0"/>
          <w:marTop w:val="0"/>
          <w:marBottom w:val="0"/>
          <w:divBdr>
            <w:top w:val="none" w:sz="0" w:space="0" w:color="auto"/>
            <w:left w:val="none" w:sz="0" w:space="0" w:color="auto"/>
            <w:bottom w:val="none" w:sz="0" w:space="0" w:color="auto"/>
            <w:right w:val="none" w:sz="0" w:space="0" w:color="auto"/>
          </w:divBdr>
          <w:divsChild>
            <w:div w:id="239145551">
              <w:marLeft w:val="0"/>
              <w:marRight w:val="0"/>
              <w:marTop w:val="0"/>
              <w:marBottom w:val="0"/>
              <w:divBdr>
                <w:top w:val="none" w:sz="0" w:space="0" w:color="auto"/>
                <w:left w:val="none" w:sz="0" w:space="0" w:color="auto"/>
                <w:bottom w:val="none" w:sz="0" w:space="0" w:color="auto"/>
                <w:right w:val="none" w:sz="0" w:space="0" w:color="auto"/>
              </w:divBdr>
            </w:div>
          </w:divsChild>
        </w:div>
        <w:div w:id="1946108552">
          <w:marLeft w:val="0"/>
          <w:marRight w:val="0"/>
          <w:marTop w:val="0"/>
          <w:marBottom w:val="0"/>
          <w:divBdr>
            <w:top w:val="none" w:sz="0" w:space="0" w:color="auto"/>
            <w:left w:val="none" w:sz="0" w:space="0" w:color="auto"/>
            <w:bottom w:val="none" w:sz="0" w:space="0" w:color="auto"/>
            <w:right w:val="none" w:sz="0" w:space="0" w:color="auto"/>
          </w:divBdr>
          <w:divsChild>
            <w:div w:id="402262266">
              <w:marLeft w:val="0"/>
              <w:marRight w:val="0"/>
              <w:marTop w:val="0"/>
              <w:marBottom w:val="0"/>
              <w:divBdr>
                <w:top w:val="none" w:sz="0" w:space="0" w:color="auto"/>
                <w:left w:val="none" w:sz="0" w:space="0" w:color="auto"/>
                <w:bottom w:val="none" w:sz="0" w:space="0" w:color="auto"/>
                <w:right w:val="none" w:sz="0" w:space="0" w:color="auto"/>
              </w:divBdr>
            </w:div>
          </w:divsChild>
        </w:div>
        <w:div w:id="1978996757">
          <w:marLeft w:val="0"/>
          <w:marRight w:val="0"/>
          <w:marTop w:val="0"/>
          <w:marBottom w:val="0"/>
          <w:divBdr>
            <w:top w:val="none" w:sz="0" w:space="0" w:color="auto"/>
            <w:left w:val="none" w:sz="0" w:space="0" w:color="auto"/>
            <w:bottom w:val="none" w:sz="0" w:space="0" w:color="auto"/>
            <w:right w:val="none" w:sz="0" w:space="0" w:color="auto"/>
          </w:divBdr>
          <w:divsChild>
            <w:div w:id="930310178">
              <w:marLeft w:val="0"/>
              <w:marRight w:val="0"/>
              <w:marTop w:val="0"/>
              <w:marBottom w:val="0"/>
              <w:divBdr>
                <w:top w:val="none" w:sz="0" w:space="0" w:color="auto"/>
                <w:left w:val="none" w:sz="0" w:space="0" w:color="auto"/>
                <w:bottom w:val="none" w:sz="0" w:space="0" w:color="auto"/>
                <w:right w:val="none" w:sz="0" w:space="0" w:color="auto"/>
              </w:divBdr>
            </w:div>
          </w:divsChild>
        </w:div>
        <w:div w:id="2053067188">
          <w:marLeft w:val="0"/>
          <w:marRight w:val="0"/>
          <w:marTop w:val="0"/>
          <w:marBottom w:val="0"/>
          <w:divBdr>
            <w:top w:val="none" w:sz="0" w:space="0" w:color="auto"/>
            <w:left w:val="none" w:sz="0" w:space="0" w:color="auto"/>
            <w:bottom w:val="none" w:sz="0" w:space="0" w:color="auto"/>
            <w:right w:val="none" w:sz="0" w:space="0" w:color="auto"/>
          </w:divBdr>
          <w:divsChild>
            <w:div w:id="900479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3289559">
      <w:bodyDiv w:val="1"/>
      <w:marLeft w:val="0"/>
      <w:marRight w:val="0"/>
      <w:marTop w:val="0"/>
      <w:marBottom w:val="0"/>
      <w:divBdr>
        <w:top w:val="none" w:sz="0" w:space="0" w:color="auto"/>
        <w:left w:val="none" w:sz="0" w:space="0" w:color="auto"/>
        <w:bottom w:val="none" w:sz="0" w:space="0" w:color="auto"/>
        <w:right w:val="none" w:sz="0" w:space="0" w:color="auto"/>
      </w:divBdr>
      <w:divsChild>
        <w:div w:id="404031284">
          <w:marLeft w:val="0"/>
          <w:marRight w:val="0"/>
          <w:marTop w:val="0"/>
          <w:marBottom w:val="0"/>
          <w:divBdr>
            <w:top w:val="none" w:sz="0" w:space="0" w:color="auto"/>
            <w:left w:val="none" w:sz="0" w:space="0" w:color="auto"/>
            <w:bottom w:val="none" w:sz="0" w:space="0" w:color="auto"/>
            <w:right w:val="none" w:sz="0" w:space="0" w:color="auto"/>
          </w:divBdr>
        </w:div>
        <w:div w:id="463499546">
          <w:marLeft w:val="0"/>
          <w:marRight w:val="0"/>
          <w:marTop w:val="0"/>
          <w:marBottom w:val="0"/>
          <w:divBdr>
            <w:top w:val="none" w:sz="0" w:space="0" w:color="auto"/>
            <w:left w:val="none" w:sz="0" w:space="0" w:color="auto"/>
            <w:bottom w:val="none" w:sz="0" w:space="0" w:color="auto"/>
            <w:right w:val="none" w:sz="0" w:space="0" w:color="auto"/>
          </w:divBdr>
        </w:div>
        <w:div w:id="726105061">
          <w:marLeft w:val="0"/>
          <w:marRight w:val="0"/>
          <w:marTop w:val="0"/>
          <w:marBottom w:val="0"/>
          <w:divBdr>
            <w:top w:val="none" w:sz="0" w:space="0" w:color="auto"/>
            <w:left w:val="none" w:sz="0" w:space="0" w:color="auto"/>
            <w:bottom w:val="none" w:sz="0" w:space="0" w:color="auto"/>
            <w:right w:val="none" w:sz="0" w:space="0" w:color="auto"/>
          </w:divBdr>
        </w:div>
        <w:div w:id="846211651">
          <w:marLeft w:val="0"/>
          <w:marRight w:val="0"/>
          <w:marTop w:val="0"/>
          <w:marBottom w:val="0"/>
          <w:divBdr>
            <w:top w:val="none" w:sz="0" w:space="0" w:color="auto"/>
            <w:left w:val="none" w:sz="0" w:space="0" w:color="auto"/>
            <w:bottom w:val="none" w:sz="0" w:space="0" w:color="auto"/>
            <w:right w:val="none" w:sz="0" w:space="0" w:color="auto"/>
          </w:divBdr>
        </w:div>
        <w:div w:id="914051128">
          <w:marLeft w:val="0"/>
          <w:marRight w:val="0"/>
          <w:marTop w:val="0"/>
          <w:marBottom w:val="0"/>
          <w:divBdr>
            <w:top w:val="none" w:sz="0" w:space="0" w:color="auto"/>
            <w:left w:val="none" w:sz="0" w:space="0" w:color="auto"/>
            <w:bottom w:val="none" w:sz="0" w:space="0" w:color="auto"/>
            <w:right w:val="none" w:sz="0" w:space="0" w:color="auto"/>
          </w:divBdr>
        </w:div>
        <w:div w:id="1153374697">
          <w:marLeft w:val="0"/>
          <w:marRight w:val="0"/>
          <w:marTop w:val="0"/>
          <w:marBottom w:val="0"/>
          <w:divBdr>
            <w:top w:val="none" w:sz="0" w:space="0" w:color="auto"/>
            <w:left w:val="none" w:sz="0" w:space="0" w:color="auto"/>
            <w:bottom w:val="none" w:sz="0" w:space="0" w:color="auto"/>
            <w:right w:val="none" w:sz="0" w:space="0" w:color="auto"/>
          </w:divBdr>
        </w:div>
        <w:div w:id="1216627638">
          <w:marLeft w:val="0"/>
          <w:marRight w:val="0"/>
          <w:marTop w:val="0"/>
          <w:marBottom w:val="0"/>
          <w:divBdr>
            <w:top w:val="none" w:sz="0" w:space="0" w:color="auto"/>
            <w:left w:val="none" w:sz="0" w:space="0" w:color="auto"/>
            <w:bottom w:val="none" w:sz="0" w:space="0" w:color="auto"/>
            <w:right w:val="none" w:sz="0" w:space="0" w:color="auto"/>
          </w:divBdr>
        </w:div>
        <w:div w:id="1591960408">
          <w:marLeft w:val="0"/>
          <w:marRight w:val="0"/>
          <w:marTop w:val="0"/>
          <w:marBottom w:val="0"/>
          <w:divBdr>
            <w:top w:val="none" w:sz="0" w:space="0" w:color="auto"/>
            <w:left w:val="none" w:sz="0" w:space="0" w:color="auto"/>
            <w:bottom w:val="none" w:sz="0" w:space="0" w:color="auto"/>
            <w:right w:val="none" w:sz="0" w:space="0" w:color="auto"/>
          </w:divBdr>
        </w:div>
        <w:div w:id="1751463091">
          <w:marLeft w:val="0"/>
          <w:marRight w:val="0"/>
          <w:marTop w:val="0"/>
          <w:marBottom w:val="0"/>
          <w:divBdr>
            <w:top w:val="none" w:sz="0" w:space="0" w:color="auto"/>
            <w:left w:val="none" w:sz="0" w:space="0" w:color="auto"/>
            <w:bottom w:val="none" w:sz="0" w:space="0" w:color="auto"/>
            <w:right w:val="none" w:sz="0" w:space="0" w:color="auto"/>
          </w:divBdr>
        </w:div>
      </w:divsChild>
    </w:div>
    <w:div w:id="977884214">
      <w:bodyDiv w:val="1"/>
      <w:marLeft w:val="0"/>
      <w:marRight w:val="0"/>
      <w:marTop w:val="0"/>
      <w:marBottom w:val="0"/>
      <w:divBdr>
        <w:top w:val="none" w:sz="0" w:space="0" w:color="auto"/>
        <w:left w:val="none" w:sz="0" w:space="0" w:color="auto"/>
        <w:bottom w:val="none" w:sz="0" w:space="0" w:color="auto"/>
        <w:right w:val="none" w:sz="0" w:space="0" w:color="auto"/>
      </w:divBdr>
      <w:divsChild>
        <w:div w:id="468785064">
          <w:marLeft w:val="0"/>
          <w:marRight w:val="0"/>
          <w:marTop w:val="0"/>
          <w:marBottom w:val="0"/>
          <w:divBdr>
            <w:top w:val="none" w:sz="0" w:space="0" w:color="auto"/>
            <w:left w:val="none" w:sz="0" w:space="0" w:color="auto"/>
            <w:bottom w:val="none" w:sz="0" w:space="0" w:color="auto"/>
            <w:right w:val="none" w:sz="0" w:space="0" w:color="auto"/>
          </w:divBdr>
        </w:div>
        <w:div w:id="572617503">
          <w:marLeft w:val="0"/>
          <w:marRight w:val="0"/>
          <w:marTop w:val="0"/>
          <w:marBottom w:val="0"/>
          <w:divBdr>
            <w:top w:val="none" w:sz="0" w:space="0" w:color="auto"/>
            <w:left w:val="none" w:sz="0" w:space="0" w:color="auto"/>
            <w:bottom w:val="none" w:sz="0" w:space="0" w:color="auto"/>
            <w:right w:val="none" w:sz="0" w:space="0" w:color="auto"/>
          </w:divBdr>
        </w:div>
        <w:div w:id="634259074">
          <w:marLeft w:val="0"/>
          <w:marRight w:val="0"/>
          <w:marTop w:val="0"/>
          <w:marBottom w:val="0"/>
          <w:divBdr>
            <w:top w:val="none" w:sz="0" w:space="0" w:color="auto"/>
            <w:left w:val="none" w:sz="0" w:space="0" w:color="auto"/>
            <w:bottom w:val="none" w:sz="0" w:space="0" w:color="auto"/>
            <w:right w:val="none" w:sz="0" w:space="0" w:color="auto"/>
          </w:divBdr>
        </w:div>
        <w:div w:id="1067801339">
          <w:marLeft w:val="0"/>
          <w:marRight w:val="0"/>
          <w:marTop w:val="0"/>
          <w:marBottom w:val="0"/>
          <w:divBdr>
            <w:top w:val="none" w:sz="0" w:space="0" w:color="auto"/>
            <w:left w:val="none" w:sz="0" w:space="0" w:color="auto"/>
            <w:bottom w:val="none" w:sz="0" w:space="0" w:color="auto"/>
            <w:right w:val="none" w:sz="0" w:space="0" w:color="auto"/>
          </w:divBdr>
        </w:div>
        <w:div w:id="1071808282">
          <w:marLeft w:val="0"/>
          <w:marRight w:val="0"/>
          <w:marTop w:val="0"/>
          <w:marBottom w:val="0"/>
          <w:divBdr>
            <w:top w:val="none" w:sz="0" w:space="0" w:color="auto"/>
            <w:left w:val="none" w:sz="0" w:space="0" w:color="auto"/>
            <w:bottom w:val="none" w:sz="0" w:space="0" w:color="auto"/>
            <w:right w:val="none" w:sz="0" w:space="0" w:color="auto"/>
          </w:divBdr>
        </w:div>
        <w:div w:id="1191988137">
          <w:marLeft w:val="0"/>
          <w:marRight w:val="0"/>
          <w:marTop w:val="0"/>
          <w:marBottom w:val="0"/>
          <w:divBdr>
            <w:top w:val="none" w:sz="0" w:space="0" w:color="auto"/>
            <w:left w:val="none" w:sz="0" w:space="0" w:color="auto"/>
            <w:bottom w:val="none" w:sz="0" w:space="0" w:color="auto"/>
            <w:right w:val="none" w:sz="0" w:space="0" w:color="auto"/>
          </w:divBdr>
        </w:div>
        <w:div w:id="1304578161">
          <w:marLeft w:val="0"/>
          <w:marRight w:val="0"/>
          <w:marTop w:val="0"/>
          <w:marBottom w:val="0"/>
          <w:divBdr>
            <w:top w:val="none" w:sz="0" w:space="0" w:color="auto"/>
            <w:left w:val="none" w:sz="0" w:space="0" w:color="auto"/>
            <w:bottom w:val="none" w:sz="0" w:space="0" w:color="auto"/>
            <w:right w:val="none" w:sz="0" w:space="0" w:color="auto"/>
          </w:divBdr>
        </w:div>
        <w:div w:id="1468006466">
          <w:marLeft w:val="0"/>
          <w:marRight w:val="0"/>
          <w:marTop w:val="0"/>
          <w:marBottom w:val="0"/>
          <w:divBdr>
            <w:top w:val="none" w:sz="0" w:space="0" w:color="auto"/>
            <w:left w:val="none" w:sz="0" w:space="0" w:color="auto"/>
            <w:bottom w:val="none" w:sz="0" w:space="0" w:color="auto"/>
            <w:right w:val="none" w:sz="0" w:space="0" w:color="auto"/>
          </w:divBdr>
        </w:div>
        <w:div w:id="1792239467">
          <w:marLeft w:val="0"/>
          <w:marRight w:val="0"/>
          <w:marTop w:val="0"/>
          <w:marBottom w:val="0"/>
          <w:divBdr>
            <w:top w:val="none" w:sz="0" w:space="0" w:color="auto"/>
            <w:left w:val="none" w:sz="0" w:space="0" w:color="auto"/>
            <w:bottom w:val="none" w:sz="0" w:space="0" w:color="auto"/>
            <w:right w:val="none" w:sz="0" w:space="0" w:color="auto"/>
          </w:divBdr>
        </w:div>
      </w:divsChild>
    </w:div>
    <w:div w:id="1019702433">
      <w:bodyDiv w:val="1"/>
      <w:marLeft w:val="0"/>
      <w:marRight w:val="0"/>
      <w:marTop w:val="0"/>
      <w:marBottom w:val="0"/>
      <w:divBdr>
        <w:top w:val="none" w:sz="0" w:space="0" w:color="auto"/>
        <w:left w:val="none" w:sz="0" w:space="0" w:color="auto"/>
        <w:bottom w:val="none" w:sz="0" w:space="0" w:color="auto"/>
        <w:right w:val="none" w:sz="0" w:space="0" w:color="auto"/>
      </w:divBdr>
      <w:divsChild>
        <w:div w:id="33039998">
          <w:marLeft w:val="0"/>
          <w:marRight w:val="0"/>
          <w:marTop w:val="0"/>
          <w:marBottom w:val="0"/>
          <w:divBdr>
            <w:top w:val="none" w:sz="0" w:space="0" w:color="auto"/>
            <w:left w:val="none" w:sz="0" w:space="0" w:color="auto"/>
            <w:bottom w:val="none" w:sz="0" w:space="0" w:color="auto"/>
            <w:right w:val="none" w:sz="0" w:space="0" w:color="auto"/>
          </w:divBdr>
        </w:div>
        <w:div w:id="557861225">
          <w:marLeft w:val="0"/>
          <w:marRight w:val="0"/>
          <w:marTop w:val="0"/>
          <w:marBottom w:val="0"/>
          <w:divBdr>
            <w:top w:val="none" w:sz="0" w:space="0" w:color="auto"/>
            <w:left w:val="none" w:sz="0" w:space="0" w:color="auto"/>
            <w:bottom w:val="none" w:sz="0" w:space="0" w:color="auto"/>
            <w:right w:val="none" w:sz="0" w:space="0" w:color="auto"/>
          </w:divBdr>
        </w:div>
        <w:div w:id="1025986935">
          <w:marLeft w:val="0"/>
          <w:marRight w:val="0"/>
          <w:marTop w:val="0"/>
          <w:marBottom w:val="0"/>
          <w:divBdr>
            <w:top w:val="none" w:sz="0" w:space="0" w:color="auto"/>
            <w:left w:val="none" w:sz="0" w:space="0" w:color="auto"/>
            <w:bottom w:val="none" w:sz="0" w:space="0" w:color="auto"/>
            <w:right w:val="none" w:sz="0" w:space="0" w:color="auto"/>
          </w:divBdr>
        </w:div>
        <w:div w:id="1242788226">
          <w:marLeft w:val="0"/>
          <w:marRight w:val="0"/>
          <w:marTop w:val="0"/>
          <w:marBottom w:val="0"/>
          <w:divBdr>
            <w:top w:val="none" w:sz="0" w:space="0" w:color="auto"/>
            <w:left w:val="none" w:sz="0" w:space="0" w:color="auto"/>
            <w:bottom w:val="none" w:sz="0" w:space="0" w:color="auto"/>
            <w:right w:val="none" w:sz="0" w:space="0" w:color="auto"/>
          </w:divBdr>
        </w:div>
        <w:div w:id="1325357247">
          <w:marLeft w:val="0"/>
          <w:marRight w:val="0"/>
          <w:marTop w:val="0"/>
          <w:marBottom w:val="0"/>
          <w:divBdr>
            <w:top w:val="none" w:sz="0" w:space="0" w:color="auto"/>
            <w:left w:val="none" w:sz="0" w:space="0" w:color="auto"/>
            <w:bottom w:val="none" w:sz="0" w:space="0" w:color="auto"/>
            <w:right w:val="none" w:sz="0" w:space="0" w:color="auto"/>
          </w:divBdr>
        </w:div>
        <w:div w:id="1861891063">
          <w:marLeft w:val="0"/>
          <w:marRight w:val="0"/>
          <w:marTop w:val="0"/>
          <w:marBottom w:val="0"/>
          <w:divBdr>
            <w:top w:val="none" w:sz="0" w:space="0" w:color="auto"/>
            <w:left w:val="none" w:sz="0" w:space="0" w:color="auto"/>
            <w:bottom w:val="none" w:sz="0" w:space="0" w:color="auto"/>
            <w:right w:val="none" w:sz="0" w:space="0" w:color="auto"/>
          </w:divBdr>
        </w:div>
        <w:div w:id="1895041510">
          <w:marLeft w:val="0"/>
          <w:marRight w:val="0"/>
          <w:marTop w:val="0"/>
          <w:marBottom w:val="0"/>
          <w:divBdr>
            <w:top w:val="none" w:sz="0" w:space="0" w:color="auto"/>
            <w:left w:val="none" w:sz="0" w:space="0" w:color="auto"/>
            <w:bottom w:val="none" w:sz="0" w:space="0" w:color="auto"/>
            <w:right w:val="none" w:sz="0" w:space="0" w:color="auto"/>
          </w:divBdr>
        </w:div>
        <w:div w:id="1918707175">
          <w:marLeft w:val="0"/>
          <w:marRight w:val="0"/>
          <w:marTop w:val="0"/>
          <w:marBottom w:val="0"/>
          <w:divBdr>
            <w:top w:val="none" w:sz="0" w:space="0" w:color="auto"/>
            <w:left w:val="none" w:sz="0" w:space="0" w:color="auto"/>
            <w:bottom w:val="none" w:sz="0" w:space="0" w:color="auto"/>
            <w:right w:val="none" w:sz="0" w:space="0" w:color="auto"/>
          </w:divBdr>
        </w:div>
        <w:div w:id="2070493898">
          <w:marLeft w:val="0"/>
          <w:marRight w:val="0"/>
          <w:marTop w:val="0"/>
          <w:marBottom w:val="0"/>
          <w:divBdr>
            <w:top w:val="none" w:sz="0" w:space="0" w:color="auto"/>
            <w:left w:val="none" w:sz="0" w:space="0" w:color="auto"/>
            <w:bottom w:val="none" w:sz="0" w:space="0" w:color="auto"/>
            <w:right w:val="none" w:sz="0" w:space="0" w:color="auto"/>
          </w:divBdr>
        </w:div>
      </w:divsChild>
    </w:div>
    <w:div w:id="1028025223">
      <w:bodyDiv w:val="1"/>
      <w:marLeft w:val="0"/>
      <w:marRight w:val="0"/>
      <w:marTop w:val="0"/>
      <w:marBottom w:val="0"/>
      <w:divBdr>
        <w:top w:val="none" w:sz="0" w:space="0" w:color="auto"/>
        <w:left w:val="none" w:sz="0" w:space="0" w:color="auto"/>
        <w:bottom w:val="none" w:sz="0" w:space="0" w:color="auto"/>
        <w:right w:val="none" w:sz="0" w:space="0" w:color="auto"/>
      </w:divBdr>
    </w:div>
    <w:div w:id="1093744011">
      <w:bodyDiv w:val="1"/>
      <w:marLeft w:val="0"/>
      <w:marRight w:val="0"/>
      <w:marTop w:val="0"/>
      <w:marBottom w:val="0"/>
      <w:divBdr>
        <w:top w:val="none" w:sz="0" w:space="0" w:color="auto"/>
        <w:left w:val="none" w:sz="0" w:space="0" w:color="auto"/>
        <w:bottom w:val="none" w:sz="0" w:space="0" w:color="auto"/>
        <w:right w:val="none" w:sz="0" w:space="0" w:color="auto"/>
      </w:divBdr>
      <w:divsChild>
        <w:div w:id="21367892">
          <w:marLeft w:val="0"/>
          <w:marRight w:val="0"/>
          <w:marTop w:val="0"/>
          <w:marBottom w:val="0"/>
          <w:divBdr>
            <w:top w:val="none" w:sz="0" w:space="0" w:color="auto"/>
            <w:left w:val="none" w:sz="0" w:space="0" w:color="auto"/>
            <w:bottom w:val="none" w:sz="0" w:space="0" w:color="auto"/>
            <w:right w:val="none" w:sz="0" w:space="0" w:color="auto"/>
          </w:divBdr>
        </w:div>
        <w:div w:id="2134320079">
          <w:marLeft w:val="0"/>
          <w:marRight w:val="0"/>
          <w:marTop w:val="0"/>
          <w:marBottom w:val="0"/>
          <w:divBdr>
            <w:top w:val="none" w:sz="0" w:space="0" w:color="auto"/>
            <w:left w:val="none" w:sz="0" w:space="0" w:color="auto"/>
            <w:bottom w:val="none" w:sz="0" w:space="0" w:color="auto"/>
            <w:right w:val="none" w:sz="0" w:space="0" w:color="auto"/>
          </w:divBdr>
        </w:div>
      </w:divsChild>
    </w:div>
    <w:div w:id="1142311641">
      <w:bodyDiv w:val="1"/>
      <w:marLeft w:val="0"/>
      <w:marRight w:val="0"/>
      <w:marTop w:val="0"/>
      <w:marBottom w:val="0"/>
      <w:divBdr>
        <w:top w:val="none" w:sz="0" w:space="0" w:color="auto"/>
        <w:left w:val="none" w:sz="0" w:space="0" w:color="auto"/>
        <w:bottom w:val="none" w:sz="0" w:space="0" w:color="auto"/>
        <w:right w:val="none" w:sz="0" w:space="0" w:color="auto"/>
      </w:divBdr>
    </w:div>
    <w:div w:id="1233584738">
      <w:bodyDiv w:val="1"/>
      <w:marLeft w:val="0"/>
      <w:marRight w:val="0"/>
      <w:marTop w:val="0"/>
      <w:marBottom w:val="0"/>
      <w:divBdr>
        <w:top w:val="none" w:sz="0" w:space="0" w:color="auto"/>
        <w:left w:val="none" w:sz="0" w:space="0" w:color="auto"/>
        <w:bottom w:val="none" w:sz="0" w:space="0" w:color="auto"/>
        <w:right w:val="none" w:sz="0" w:space="0" w:color="auto"/>
      </w:divBdr>
      <w:divsChild>
        <w:div w:id="373043659">
          <w:marLeft w:val="0"/>
          <w:marRight w:val="0"/>
          <w:marTop w:val="0"/>
          <w:marBottom w:val="0"/>
          <w:divBdr>
            <w:top w:val="none" w:sz="0" w:space="0" w:color="auto"/>
            <w:left w:val="none" w:sz="0" w:space="0" w:color="auto"/>
            <w:bottom w:val="none" w:sz="0" w:space="0" w:color="auto"/>
            <w:right w:val="none" w:sz="0" w:space="0" w:color="auto"/>
          </w:divBdr>
        </w:div>
        <w:div w:id="1618565993">
          <w:marLeft w:val="0"/>
          <w:marRight w:val="0"/>
          <w:marTop w:val="0"/>
          <w:marBottom w:val="0"/>
          <w:divBdr>
            <w:top w:val="none" w:sz="0" w:space="0" w:color="auto"/>
            <w:left w:val="none" w:sz="0" w:space="0" w:color="auto"/>
            <w:bottom w:val="none" w:sz="0" w:space="0" w:color="auto"/>
            <w:right w:val="none" w:sz="0" w:space="0" w:color="auto"/>
          </w:divBdr>
        </w:div>
        <w:div w:id="1763137314">
          <w:marLeft w:val="0"/>
          <w:marRight w:val="0"/>
          <w:marTop w:val="0"/>
          <w:marBottom w:val="0"/>
          <w:divBdr>
            <w:top w:val="none" w:sz="0" w:space="0" w:color="auto"/>
            <w:left w:val="none" w:sz="0" w:space="0" w:color="auto"/>
            <w:bottom w:val="none" w:sz="0" w:space="0" w:color="auto"/>
            <w:right w:val="none" w:sz="0" w:space="0" w:color="auto"/>
          </w:divBdr>
        </w:div>
      </w:divsChild>
    </w:div>
    <w:div w:id="1298803394">
      <w:bodyDiv w:val="1"/>
      <w:marLeft w:val="0"/>
      <w:marRight w:val="0"/>
      <w:marTop w:val="0"/>
      <w:marBottom w:val="0"/>
      <w:divBdr>
        <w:top w:val="none" w:sz="0" w:space="0" w:color="auto"/>
        <w:left w:val="none" w:sz="0" w:space="0" w:color="auto"/>
        <w:bottom w:val="none" w:sz="0" w:space="0" w:color="auto"/>
        <w:right w:val="none" w:sz="0" w:space="0" w:color="auto"/>
      </w:divBdr>
    </w:div>
    <w:div w:id="1445539162">
      <w:bodyDiv w:val="1"/>
      <w:marLeft w:val="0"/>
      <w:marRight w:val="0"/>
      <w:marTop w:val="0"/>
      <w:marBottom w:val="0"/>
      <w:divBdr>
        <w:top w:val="none" w:sz="0" w:space="0" w:color="auto"/>
        <w:left w:val="none" w:sz="0" w:space="0" w:color="auto"/>
        <w:bottom w:val="none" w:sz="0" w:space="0" w:color="auto"/>
        <w:right w:val="none" w:sz="0" w:space="0" w:color="auto"/>
      </w:divBdr>
      <w:divsChild>
        <w:div w:id="64449916">
          <w:marLeft w:val="0"/>
          <w:marRight w:val="0"/>
          <w:marTop w:val="0"/>
          <w:marBottom w:val="0"/>
          <w:divBdr>
            <w:top w:val="none" w:sz="0" w:space="0" w:color="auto"/>
            <w:left w:val="none" w:sz="0" w:space="0" w:color="auto"/>
            <w:bottom w:val="none" w:sz="0" w:space="0" w:color="auto"/>
            <w:right w:val="none" w:sz="0" w:space="0" w:color="auto"/>
          </w:divBdr>
          <w:divsChild>
            <w:div w:id="1897888016">
              <w:marLeft w:val="0"/>
              <w:marRight w:val="0"/>
              <w:marTop w:val="0"/>
              <w:marBottom w:val="0"/>
              <w:divBdr>
                <w:top w:val="none" w:sz="0" w:space="0" w:color="auto"/>
                <w:left w:val="none" w:sz="0" w:space="0" w:color="auto"/>
                <w:bottom w:val="none" w:sz="0" w:space="0" w:color="auto"/>
                <w:right w:val="none" w:sz="0" w:space="0" w:color="auto"/>
              </w:divBdr>
            </w:div>
          </w:divsChild>
        </w:div>
        <w:div w:id="68315010">
          <w:marLeft w:val="0"/>
          <w:marRight w:val="0"/>
          <w:marTop w:val="0"/>
          <w:marBottom w:val="0"/>
          <w:divBdr>
            <w:top w:val="none" w:sz="0" w:space="0" w:color="auto"/>
            <w:left w:val="none" w:sz="0" w:space="0" w:color="auto"/>
            <w:bottom w:val="none" w:sz="0" w:space="0" w:color="auto"/>
            <w:right w:val="none" w:sz="0" w:space="0" w:color="auto"/>
          </w:divBdr>
          <w:divsChild>
            <w:div w:id="1415668933">
              <w:marLeft w:val="0"/>
              <w:marRight w:val="0"/>
              <w:marTop w:val="0"/>
              <w:marBottom w:val="0"/>
              <w:divBdr>
                <w:top w:val="none" w:sz="0" w:space="0" w:color="auto"/>
                <w:left w:val="none" w:sz="0" w:space="0" w:color="auto"/>
                <w:bottom w:val="none" w:sz="0" w:space="0" w:color="auto"/>
                <w:right w:val="none" w:sz="0" w:space="0" w:color="auto"/>
              </w:divBdr>
            </w:div>
            <w:div w:id="1858736509">
              <w:marLeft w:val="0"/>
              <w:marRight w:val="0"/>
              <w:marTop w:val="0"/>
              <w:marBottom w:val="0"/>
              <w:divBdr>
                <w:top w:val="none" w:sz="0" w:space="0" w:color="auto"/>
                <w:left w:val="none" w:sz="0" w:space="0" w:color="auto"/>
                <w:bottom w:val="none" w:sz="0" w:space="0" w:color="auto"/>
                <w:right w:val="none" w:sz="0" w:space="0" w:color="auto"/>
              </w:divBdr>
            </w:div>
          </w:divsChild>
        </w:div>
        <w:div w:id="86273142">
          <w:marLeft w:val="0"/>
          <w:marRight w:val="0"/>
          <w:marTop w:val="0"/>
          <w:marBottom w:val="0"/>
          <w:divBdr>
            <w:top w:val="none" w:sz="0" w:space="0" w:color="auto"/>
            <w:left w:val="none" w:sz="0" w:space="0" w:color="auto"/>
            <w:bottom w:val="none" w:sz="0" w:space="0" w:color="auto"/>
            <w:right w:val="none" w:sz="0" w:space="0" w:color="auto"/>
          </w:divBdr>
          <w:divsChild>
            <w:div w:id="1193036592">
              <w:marLeft w:val="0"/>
              <w:marRight w:val="0"/>
              <w:marTop w:val="0"/>
              <w:marBottom w:val="0"/>
              <w:divBdr>
                <w:top w:val="none" w:sz="0" w:space="0" w:color="auto"/>
                <w:left w:val="none" w:sz="0" w:space="0" w:color="auto"/>
                <w:bottom w:val="none" w:sz="0" w:space="0" w:color="auto"/>
                <w:right w:val="none" w:sz="0" w:space="0" w:color="auto"/>
              </w:divBdr>
            </w:div>
          </w:divsChild>
        </w:div>
        <w:div w:id="210768244">
          <w:marLeft w:val="0"/>
          <w:marRight w:val="0"/>
          <w:marTop w:val="0"/>
          <w:marBottom w:val="0"/>
          <w:divBdr>
            <w:top w:val="none" w:sz="0" w:space="0" w:color="auto"/>
            <w:left w:val="none" w:sz="0" w:space="0" w:color="auto"/>
            <w:bottom w:val="none" w:sz="0" w:space="0" w:color="auto"/>
            <w:right w:val="none" w:sz="0" w:space="0" w:color="auto"/>
          </w:divBdr>
          <w:divsChild>
            <w:div w:id="917130432">
              <w:marLeft w:val="0"/>
              <w:marRight w:val="0"/>
              <w:marTop w:val="0"/>
              <w:marBottom w:val="0"/>
              <w:divBdr>
                <w:top w:val="none" w:sz="0" w:space="0" w:color="auto"/>
                <w:left w:val="none" w:sz="0" w:space="0" w:color="auto"/>
                <w:bottom w:val="none" w:sz="0" w:space="0" w:color="auto"/>
                <w:right w:val="none" w:sz="0" w:space="0" w:color="auto"/>
              </w:divBdr>
            </w:div>
          </w:divsChild>
        </w:div>
        <w:div w:id="228468273">
          <w:marLeft w:val="0"/>
          <w:marRight w:val="0"/>
          <w:marTop w:val="0"/>
          <w:marBottom w:val="0"/>
          <w:divBdr>
            <w:top w:val="none" w:sz="0" w:space="0" w:color="auto"/>
            <w:left w:val="none" w:sz="0" w:space="0" w:color="auto"/>
            <w:bottom w:val="none" w:sz="0" w:space="0" w:color="auto"/>
            <w:right w:val="none" w:sz="0" w:space="0" w:color="auto"/>
          </w:divBdr>
          <w:divsChild>
            <w:div w:id="166333611">
              <w:marLeft w:val="0"/>
              <w:marRight w:val="0"/>
              <w:marTop w:val="0"/>
              <w:marBottom w:val="0"/>
              <w:divBdr>
                <w:top w:val="none" w:sz="0" w:space="0" w:color="auto"/>
                <w:left w:val="none" w:sz="0" w:space="0" w:color="auto"/>
                <w:bottom w:val="none" w:sz="0" w:space="0" w:color="auto"/>
                <w:right w:val="none" w:sz="0" w:space="0" w:color="auto"/>
              </w:divBdr>
            </w:div>
          </w:divsChild>
        </w:div>
        <w:div w:id="254439669">
          <w:marLeft w:val="0"/>
          <w:marRight w:val="0"/>
          <w:marTop w:val="0"/>
          <w:marBottom w:val="0"/>
          <w:divBdr>
            <w:top w:val="none" w:sz="0" w:space="0" w:color="auto"/>
            <w:left w:val="none" w:sz="0" w:space="0" w:color="auto"/>
            <w:bottom w:val="none" w:sz="0" w:space="0" w:color="auto"/>
            <w:right w:val="none" w:sz="0" w:space="0" w:color="auto"/>
          </w:divBdr>
          <w:divsChild>
            <w:div w:id="1071852697">
              <w:marLeft w:val="0"/>
              <w:marRight w:val="0"/>
              <w:marTop w:val="0"/>
              <w:marBottom w:val="0"/>
              <w:divBdr>
                <w:top w:val="none" w:sz="0" w:space="0" w:color="auto"/>
                <w:left w:val="none" w:sz="0" w:space="0" w:color="auto"/>
                <w:bottom w:val="none" w:sz="0" w:space="0" w:color="auto"/>
                <w:right w:val="none" w:sz="0" w:space="0" w:color="auto"/>
              </w:divBdr>
            </w:div>
          </w:divsChild>
        </w:div>
        <w:div w:id="365060304">
          <w:marLeft w:val="0"/>
          <w:marRight w:val="0"/>
          <w:marTop w:val="0"/>
          <w:marBottom w:val="0"/>
          <w:divBdr>
            <w:top w:val="none" w:sz="0" w:space="0" w:color="auto"/>
            <w:left w:val="none" w:sz="0" w:space="0" w:color="auto"/>
            <w:bottom w:val="none" w:sz="0" w:space="0" w:color="auto"/>
            <w:right w:val="none" w:sz="0" w:space="0" w:color="auto"/>
          </w:divBdr>
          <w:divsChild>
            <w:div w:id="513345747">
              <w:marLeft w:val="0"/>
              <w:marRight w:val="0"/>
              <w:marTop w:val="0"/>
              <w:marBottom w:val="0"/>
              <w:divBdr>
                <w:top w:val="none" w:sz="0" w:space="0" w:color="auto"/>
                <w:left w:val="none" w:sz="0" w:space="0" w:color="auto"/>
                <w:bottom w:val="none" w:sz="0" w:space="0" w:color="auto"/>
                <w:right w:val="none" w:sz="0" w:space="0" w:color="auto"/>
              </w:divBdr>
            </w:div>
          </w:divsChild>
        </w:div>
        <w:div w:id="460879211">
          <w:marLeft w:val="0"/>
          <w:marRight w:val="0"/>
          <w:marTop w:val="0"/>
          <w:marBottom w:val="0"/>
          <w:divBdr>
            <w:top w:val="none" w:sz="0" w:space="0" w:color="auto"/>
            <w:left w:val="none" w:sz="0" w:space="0" w:color="auto"/>
            <w:bottom w:val="none" w:sz="0" w:space="0" w:color="auto"/>
            <w:right w:val="none" w:sz="0" w:space="0" w:color="auto"/>
          </w:divBdr>
          <w:divsChild>
            <w:div w:id="2006663667">
              <w:marLeft w:val="0"/>
              <w:marRight w:val="0"/>
              <w:marTop w:val="0"/>
              <w:marBottom w:val="0"/>
              <w:divBdr>
                <w:top w:val="none" w:sz="0" w:space="0" w:color="auto"/>
                <w:left w:val="none" w:sz="0" w:space="0" w:color="auto"/>
                <w:bottom w:val="none" w:sz="0" w:space="0" w:color="auto"/>
                <w:right w:val="none" w:sz="0" w:space="0" w:color="auto"/>
              </w:divBdr>
            </w:div>
          </w:divsChild>
        </w:div>
        <w:div w:id="618413346">
          <w:marLeft w:val="0"/>
          <w:marRight w:val="0"/>
          <w:marTop w:val="0"/>
          <w:marBottom w:val="0"/>
          <w:divBdr>
            <w:top w:val="none" w:sz="0" w:space="0" w:color="auto"/>
            <w:left w:val="none" w:sz="0" w:space="0" w:color="auto"/>
            <w:bottom w:val="none" w:sz="0" w:space="0" w:color="auto"/>
            <w:right w:val="none" w:sz="0" w:space="0" w:color="auto"/>
          </w:divBdr>
          <w:divsChild>
            <w:div w:id="1524858016">
              <w:marLeft w:val="0"/>
              <w:marRight w:val="0"/>
              <w:marTop w:val="0"/>
              <w:marBottom w:val="0"/>
              <w:divBdr>
                <w:top w:val="none" w:sz="0" w:space="0" w:color="auto"/>
                <w:left w:val="none" w:sz="0" w:space="0" w:color="auto"/>
                <w:bottom w:val="none" w:sz="0" w:space="0" w:color="auto"/>
                <w:right w:val="none" w:sz="0" w:space="0" w:color="auto"/>
              </w:divBdr>
            </w:div>
          </w:divsChild>
        </w:div>
        <w:div w:id="706755306">
          <w:marLeft w:val="0"/>
          <w:marRight w:val="0"/>
          <w:marTop w:val="0"/>
          <w:marBottom w:val="0"/>
          <w:divBdr>
            <w:top w:val="none" w:sz="0" w:space="0" w:color="auto"/>
            <w:left w:val="none" w:sz="0" w:space="0" w:color="auto"/>
            <w:bottom w:val="none" w:sz="0" w:space="0" w:color="auto"/>
            <w:right w:val="none" w:sz="0" w:space="0" w:color="auto"/>
          </w:divBdr>
          <w:divsChild>
            <w:div w:id="733969131">
              <w:marLeft w:val="0"/>
              <w:marRight w:val="0"/>
              <w:marTop w:val="0"/>
              <w:marBottom w:val="0"/>
              <w:divBdr>
                <w:top w:val="none" w:sz="0" w:space="0" w:color="auto"/>
                <w:left w:val="none" w:sz="0" w:space="0" w:color="auto"/>
                <w:bottom w:val="none" w:sz="0" w:space="0" w:color="auto"/>
                <w:right w:val="none" w:sz="0" w:space="0" w:color="auto"/>
              </w:divBdr>
            </w:div>
          </w:divsChild>
        </w:div>
        <w:div w:id="825903671">
          <w:marLeft w:val="0"/>
          <w:marRight w:val="0"/>
          <w:marTop w:val="0"/>
          <w:marBottom w:val="0"/>
          <w:divBdr>
            <w:top w:val="none" w:sz="0" w:space="0" w:color="auto"/>
            <w:left w:val="none" w:sz="0" w:space="0" w:color="auto"/>
            <w:bottom w:val="none" w:sz="0" w:space="0" w:color="auto"/>
            <w:right w:val="none" w:sz="0" w:space="0" w:color="auto"/>
          </w:divBdr>
          <w:divsChild>
            <w:div w:id="2019192537">
              <w:marLeft w:val="0"/>
              <w:marRight w:val="0"/>
              <w:marTop w:val="0"/>
              <w:marBottom w:val="0"/>
              <w:divBdr>
                <w:top w:val="none" w:sz="0" w:space="0" w:color="auto"/>
                <w:left w:val="none" w:sz="0" w:space="0" w:color="auto"/>
                <w:bottom w:val="none" w:sz="0" w:space="0" w:color="auto"/>
                <w:right w:val="none" w:sz="0" w:space="0" w:color="auto"/>
              </w:divBdr>
            </w:div>
          </w:divsChild>
        </w:div>
        <w:div w:id="906258004">
          <w:marLeft w:val="0"/>
          <w:marRight w:val="0"/>
          <w:marTop w:val="0"/>
          <w:marBottom w:val="0"/>
          <w:divBdr>
            <w:top w:val="none" w:sz="0" w:space="0" w:color="auto"/>
            <w:left w:val="none" w:sz="0" w:space="0" w:color="auto"/>
            <w:bottom w:val="none" w:sz="0" w:space="0" w:color="auto"/>
            <w:right w:val="none" w:sz="0" w:space="0" w:color="auto"/>
          </w:divBdr>
          <w:divsChild>
            <w:div w:id="156658020">
              <w:marLeft w:val="0"/>
              <w:marRight w:val="0"/>
              <w:marTop w:val="0"/>
              <w:marBottom w:val="0"/>
              <w:divBdr>
                <w:top w:val="none" w:sz="0" w:space="0" w:color="auto"/>
                <w:left w:val="none" w:sz="0" w:space="0" w:color="auto"/>
                <w:bottom w:val="none" w:sz="0" w:space="0" w:color="auto"/>
                <w:right w:val="none" w:sz="0" w:space="0" w:color="auto"/>
              </w:divBdr>
            </w:div>
          </w:divsChild>
        </w:div>
        <w:div w:id="995495587">
          <w:marLeft w:val="0"/>
          <w:marRight w:val="0"/>
          <w:marTop w:val="0"/>
          <w:marBottom w:val="0"/>
          <w:divBdr>
            <w:top w:val="none" w:sz="0" w:space="0" w:color="auto"/>
            <w:left w:val="none" w:sz="0" w:space="0" w:color="auto"/>
            <w:bottom w:val="none" w:sz="0" w:space="0" w:color="auto"/>
            <w:right w:val="none" w:sz="0" w:space="0" w:color="auto"/>
          </w:divBdr>
          <w:divsChild>
            <w:div w:id="1955399101">
              <w:marLeft w:val="0"/>
              <w:marRight w:val="0"/>
              <w:marTop w:val="0"/>
              <w:marBottom w:val="0"/>
              <w:divBdr>
                <w:top w:val="none" w:sz="0" w:space="0" w:color="auto"/>
                <w:left w:val="none" w:sz="0" w:space="0" w:color="auto"/>
                <w:bottom w:val="none" w:sz="0" w:space="0" w:color="auto"/>
                <w:right w:val="none" w:sz="0" w:space="0" w:color="auto"/>
              </w:divBdr>
            </w:div>
          </w:divsChild>
        </w:div>
        <w:div w:id="1051467621">
          <w:marLeft w:val="0"/>
          <w:marRight w:val="0"/>
          <w:marTop w:val="0"/>
          <w:marBottom w:val="0"/>
          <w:divBdr>
            <w:top w:val="none" w:sz="0" w:space="0" w:color="auto"/>
            <w:left w:val="none" w:sz="0" w:space="0" w:color="auto"/>
            <w:bottom w:val="none" w:sz="0" w:space="0" w:color="auto"/>
            <w:right w:val="none" w:sz="0" w:space="0" w:color="auto"/>
          </w:divBdr>
          <w:divsChild>
            <w:div w:id="949900959">
              <w:marLeft w:val="0"/>
              <w:marRight w:val="0"/>
              <w:marTop w:val="0"/>
              <w:marBottom w:val="0"/>
              <w:divBdr>
                <w:top w:val="none" w:sz="0" w:space="0" w:color="auto"/>
                <w:left w:val="none" w:sz="0" w:space="0" w:color="auto"/>
                <w:bottom w:val="none" w:sz="0" w:space="0" w:color="auto"/>
                <w:right w:val="none" w:sz="0" w:space="0" w:color="auto"/>
              </w:divBdr>
            </w:div>
          </w:divsChild>
        </w:div>
        <w:div w:id="1151412103">
          <w:marLeft w:val="0"/>
          <w:marRight w:val="0"/>
          <w:marTop w:val="0"/>
          <w:marBottom w:val="0"/>
          <w:divBdr>
            <w:top w:val="none" w:sz="0" w:space="0" w:color="auto"/>
            <w:left w:val="none" w:sz="0" w:space="0" w:color="auto"/>
            <w:bottom w:val="none" w:sz="0" w:space="0" w:color="auto"/>
            <w:right w:val="none" w:sz="0" w:space="0" w:color="auto"/>
          </w:divBdr>
          <w:divsChild>
            <w:div w:id="1471245421">
              <w:marLeft w:val="0"/>
              <w:marRight w:val="0"/>
              <w:marTop w:val="0"/>
              <w:marBottom w:val="0"/>
              <w:divBdr>
                <w:top w:val="none" w:sz="0" w:space="0" w:color="auto"/>
                <w:left w:val="none" w:sz="0" w:space="0" w:color="auto"/>
                <w:bottom w:val="none" w:sz="0" w:space="0" w:color="auto"/>
                <w:right w:val="none" w:sz="0" w:space="0" w:color="auto"/>
              </w:divBdr>
            </w:div>
          </w:divsChild>
        </w:div>
        <w:div w:id="1306743103">
          <w:marLeft w:val="0"/>
          <w:marRight w:val="0"/>
          <w:marTop w:val="0"/>
          <w:marBottom w:val="0"/>
          <w:divBdr>
            <w:top w:val="none" w:sz="0" w:space="0" w:color="auto"/>
            <w:left w:val="none" w:sz="0" w:space="0" w:color="auto"/>
            <w:bottom w:val="none" w:sz="0" w:space="0" w:color="auto"/>
            <w:right w:val="none" w:sz="0" w:space="0" w:color="auto"/>
          </w:divBdr>
          <w:divsChild>
            <w:div w:id="339433170">
              <w:marLeft w:val="0"/>
              <w:marRight w:val="0"/>
              <w:marTop w:val="0"/>
              <w:marBottom w:val="0"/>
              <w:divBdr>
                <w:top w:val="none" w:sz="0" w:space="0" w:color="auto"/>
                <w:left w:val="none" w:sz="0" w:space="0" w:color="auto"/>
                <w:bottom w:val="none" w:sz="0" w:space="0" w:color="auto"/>
                <w:right w:val="none" w:sz="0" w:space="0" w:color="auto"/>
              </w:divBdr>
            </w:div>
          </w:divsChild>
        </w:div>
        <w:div w:id="1415667765">
          <w:marLeft w:val="0"/>
          <w:marRight w:val="0"/>
          <w:marTop w:val="0"/>
          <w:marBottom w:val="0"/>
          <w:divBdr>
            <w:top w:val="none" w:sz="0" w:space="0" w:color="auto"/>
            <w:left w:val="none" w:sz="0" w:space="0" w:color="auto"/>
            <w:bottom w:val="none" w:sz="0" w:space="0" w:color="auto"/>
            <w:right w:val="none" w:sz="0" w:space="0" w:color="auto"/>
          </w:divBdr>
          <w:divsChild>
            <w:div w:id="119031798">
              <w:marLeft w:val="0"/>
              <w:marRight w:val="0"/>
              <w:marTop w:val="0"/>
              <w:marBottom w:val="0"/>
              <w:divBdr>
                <w:top w:val="none" w:sz="0" w:space="0" w:color="auto"/>
                <w:left w:val="none" w:sz="0" w:space="0" w:color="auto"/>
                <w:bottom w:val="none" w:sz="0" w:space="0" w:color="auto"/>
                <w:right w:val="none" w:sz="0" w:space="0" w:color="auto"/>
              </w:divBdr>
            </w:div>
          </w:divsChild>
        </w:div>
        <w:div w:id="1481381728">
          <w:marLeft w:val="0"/>
          <w:marRight w:val="0"/>
          <w:marTop w:val="0"/>
          <w:marBottom w:val="0"/>
          <w:divBdr>
            <w:top w:val="none" w:sz="0" w:space="0" w:color="auto"/>
            <w:left w:val="none" w:sz="0" w:space="0" w:color="auto"/>
            <w:bottom w:val="none" w:sz="0" w:space="0" w:color="auto"/>
            <w:right w:val="none" w:sz="0" w:space="0" w:color="auto"/>
          </w:divBdr>
          <w:divsChild>
            <w:div w:id="1423723144">
              <w:marLeft w:val="0"/>
              <w:marRight w:val="0"/>
              <w:marTop w:val="0"/>
              <w:marBottom w:val="0"/>
              <w:divBdr>
                <w:top w:val="none" w:sz="0" w:space="0" w:color="auto"/>
                <w:left w:val="none" w:sz="0" w:space="0" w:color="auto"/>
                <w:bottom w:val="none" w:sz="0" w:space="0" w:color="auto"/>
                <w:right w:val="none" w:sz="0" w:space="0" w:color="auto"/>
              </w:divBdr>
            </w:div>
          </w:divsChild>
        </w:div>
        <w:div w:id="1603494130">
          <w:marLeft w:val="0"/>
          <w:marRight w:val="0"/>
          <w:marTop w:val="0"/>
          <w:marBottom w:val="0"/>
          <w:divBdr>
            <w:top w:val="none" w:sz="0" w:space="0" w:color="auto"/>
            <w:left w:val="none" w:sz="0" w:space="0" w:color="auto"/>
            <w:bottom w:val="none" w:sz="0" w:space="0" w:color="auto"/>
            <w:right w:val="none" w:sz="0" w:space="0" w:color="auto"/>
          </w:divBdr>
          <w:divsChild>
            <w:div w:id="2095928775">
              <w:marLeft w:val="0"/>
              <w:marRight w:val="0"/>
              <w:marTop w:val="0"/>
              <w:marBottom w:val="0"/>
              <w:divBdr>
                <w:top w:val="none" w:sz="0" w:space="0" w:color="auto"/>
                <w:left w:val="none" w:sz="0" w:space="0" w:color="auto"/>
                <w:bottom w:val="none" w:sz="0" w:space="0" w:color="auto"/>
                <w:right w:val="none" w:sz="0" w:space="0" w:color="auto"/>
              </w:divBdr>
            </w:div>
          </w:divsChild>
        </w:div>
        <w:div w:id="1649506219">
          <w:marLeft w:val="0"/>
          <w:marRight w:val="0"/>
          <w:marTop w:val="0"/>
          <w:marBottom w:val="0"/>
          <w:divBdr>
            <w:top w:val="none" w:sz="0" w:space="0" w:color="auto"/>
            <w:left w:val="none" w:sz="0" w:space="0" w:color="auto"/>
            <w:bottom w:val="none" w:sz="0" w:space="0" w:color="auto"/>
            <w:right w:val="none" w:sz="0" w:space="0" w:color="auto"/>
          </w:divBdr>
          <w:divsChild>
            <w:div w:id="389500953">
              <w:marLeft w:val="0"/>
              <w:marRight w:val="0"/>
              <w:marTop w:val="0"/>
              <w:marBottom w:val="0"/>
              <w:divBdr>
                <w:top w:val="none" w:sz="0" w:space="0" w:color="auto"/>
                <w:left w:val="none" w:sz="0" w:space="0" w:color="auto"/>
                <w:bottom w:val="none" w:sz="0" w:space="0" w:color="auto"/>
                <w:right w:val="none" w:sz="0" w:space="0" w:color="auto"/>
              </w:divBdr>
            </w:div>
          </w:divsChild>
        </w:div>
        <w:div w:id="1684361298">
          <w:marLeft w:val="0"/>
          <w:marRight w:val="0"/>
          <w:marTop w:val="0"/>
          <w:marBottom w:val="0"/>
          <w:divBdr>
            <w:top w:val="none" w:sz="0" w:space="0" w:color="auto"/>
            <w:left w:val="none" w:sz="0" w:space="0" w:color="auto"/>
            <w:bottom w:val="none" w:sz="0" w:space="0" w:color="auto"/>
            <w:right w:val="none" w:sz="0" w:space="0" w:color="auto"/>
          </w:divBdr>
          <w:divsChild>
            <w:div w:id="320278188">
              <w:marLeft w:val="0"/>
              <w:marRight w:val="0"/>
              <w:marTop w:val="0"/>
              <w:marBottom w:val="0"/>
              <w:divBdr>
                <w:top w:val="none" w:sz="0" w:space="0" w:color="auto"/>
                <w:left w:val="none" w:sz="0" w:space="0" w:color="auto"/>
                <w:bottom w:val="none" w:sz="0" w:space="0" w:color="auto"/>
                <w:right w:val="none" w:sz="0" w:space="0" w:color="auto"/>
              </w:divBdr>
            </w:div>
          </w:divsChild>
        </w:div>
        <w:div w:id="1732575727">
          <w:marLeft w:val="0"/>
          <w:marRight w:val="0"/>
          <w:marTop w:val="0"/>
          <w:marBottom w:val="0"/>
          <w:divBdr>
            <w:top w:val="none" w:sz="0" w:space="0" w:color="auto"/>
            <w:left w:val="none" w:sz="0" w:space="0" w:color="auto"/>
            <w:bottom w:val="none" w:sz="0" w:space="0" w:color="auto"/>
            <w:right w:val="none" w:sz="0" w:space="0" w:color="auto"/>
          </w:divBdr>
          <w:divsChild>
            <w:div w:id="1903128046">
              <w:marLeft w:val="0"/>
              <w:marRight w:val="0"/>
              <w:marTop w:val="0"/>
              <w:marBottom w:val="0"/>
              <w:divBdr>
                <w:top w:val="none" w:sz="0" w:space="0" w:color="auto"/>
                <w:left w:val="none" w:sz="0" w:space="0" w:color="auto"/>
                <w:bottom w:val="none" w:sz="0" w:space="0" w:color="auto"/>
                <w:right w:val="none" w:sz="0" w:space="0" w:color="auto"/>
              </w:divBdr>
            </w:div>
          </w:divsChild>
        </w:div>
        <w:div w:id="1801800558">
          <w:marLeft w:val="0"/>
          <w:marRight w:val="0"/>
          <w:marTop w:val="0"/>
          <w:marBottom w:val="0"/>
          <w:divBdr>
            <w:top w:val="none" w:sz="0" w:space="0" w:color="auto"/>
            <w:left w:val="none" w:sz="0" w:space="0" w:color="auto"/>
            <w:bottom w:val="none" w:sz="0" w:space="0" w:color="auto"/>
            <w:right w:val="none" w:sz="0" w:space="0" w:color="auto"/>
          </w:divBdr>
          <w:divsChild>
            <w:div w:id="122776580">
              <w:marLeft w:val="0"/>
              <w:marRight w:val="0"/>
              <w:marTop w:val="0"/>
              <w:marBottom w:val="0"/>
              <w:divBdr>
                <w:top w:val="none" w:sz="0" w:space="0" w:color="auto"/>
                <w:left w:val="none" w:sz="0" w:space="0" w:color="auto"/>
                <w:bottom w:val="none" w:sz="0" w:space="0" w:color="auto"/>
                <w:right w:val="none" w:sz="0" w:space="0" w:color="auto"/>
              </w:divBdr>
            </w:div>
          </w:divsChild>
        </w:div>
        <w:div w:id="1817187428">
          <w:marLeft w:val="0"/>
          <w:marRight w:val="0"/>
          <w:marTop w:val="0"/>
          <w:marBottom w:val="0"/>
          <w:divBdr>
            <w:top w:val="none" w:sz="0" w:space="0" w:color="auto"/>
            <w:left w:val="none" w:sz="0" w:space="0" w:color="auto"/>
            <w:bottom w:val="none" w:sz="0" w:space="0" w:color="auto"/>
            <w:right w:val="none" w:sz="0" w:space="0" w:color="auto"/>
          </w:divBdr>
          <w:divsChild>
            <w:div w:id="1222400116">
              <w:marLeft w:val="0"/>
              <w:marRight w:val="0"/>
              <w:marTop w:val="0"/>
              <w:marBottom w:val="0"/>
              <w:divBdr>
                <w:top w:val="none" w:sz="0" w:space="0" w:color="auto"/>
                <w:left w:val="none" w:sz="0" w:space="0" w:color="auto"/>
                <w:bottom w:val="none" w:sz="0" w:space="0" w:color="auto"/>
                <w:right w:val="none" w:sz="0" w:space="0" w:color="auto"/>
              </w:divBdr>
            </w:div>
          </w:divsChild>
        </w:div>
        <w:div w:id="1817993748">
          <w:marLeft w:val="0"/>
          <w:marRight w:val="0"/>
          <w:marTop w:val="0"/>
          <w:marBottom w:val="0"/>
          <w:divBdr>
            <w:top w:val="none" w:sz="0" w:space="0" w:color="auto"/>
            <w:left w:val="none" w:sz="0" w:space="0" w:color="auto"/>
            <w:bottom w:val="none" w:sz="0" w:space="0" w:color="auto"/>
            <w:right w:val="none" w:sz="0" w:space="0" w:color="auto"/>
          </w:divBdr>
          <w:divsChild>
            <w:div w:id="104078477">
              <w:marLeft w:val="0"/>
              <w:marRight w:val="0"/>
              <w:marTop w:val="0"/>
              <w:marBottom w:val="0"/>
              <w:divBdr>
                <w:top w:val="none" w:sz="0" w:space="0" w:color="auto"/>
                <w:left w:val="none" w:sz="0" w:space="0" w:color="auto"/>
                <w:bottom w:val="none" w:sz="0" w:space="0" w:color="auto"/>
                <w:right w:val="none" w:sz="0" w:space="0" w:color="auto"/>
              </w:divBdr>
            </w:div>
          </w:divsChild>
        </w:div>
        <w:div w:id="1856726482">
          <w:marLeft w:val="0"/>
          <w:marRight w:val="0"/>
          <w:marTop w:val="0"/>
          <w:marBottom w:val="0"/>
          <w:divBdr>
            <w:top w:val="none" w:sz="0" w:space="0" w:color="auto"/>
            <w:left w:val="none" w:sz="0" w:space="0" w:color="auto"/>
            <w:bottom w:val="none" w:sz="0" w:space="0" w:color="auto"/>
            <w:right w:val="none" w:sz="0" w:space="0" w:color="auto"/>
          </w:divBdr>
          <w:divsChild>
            <w:div w:id="180122174">
              <w:marLeft w:val="0"/>
              <w:marRight w:val="0"/>
              <w:marTop w:val="0"/>
              <w:marBottom w:val="0"/>
              <w:divBdr>
                <w:top w:val="none" w:sz="0" w:space="0" w:color="auto"/>
                <w:left w:val="none" w:sz="0" w:space="0" w:color="auto"/>
                <w:bottom w:val="none" w:sz="0" w:space="0" w:color="auto"/>
                <w:right w:val="none" w:sz="0" w:space="0" w:color="auto"/>
              </w:divBdr>
            </w:div>
          </w:divsChild>
        </w:div>
        <w:div w:id="1903562809">
          <w:marLeft w:val="0"/>
          <w:marRight w:val="0"/>
          <w:marTop w:val="0"/>
          <w:marBottom w:val="0"/>
          <w:divBdr>
            <w:top w:val="none" w:sz="0" w:space="0" w:color="auto"/>
            <w:left w:val="none" w:sz="0" w:space="0" w:color="auto"/>
            <w:bottom w:val="none" w:sz="0" w:space="0" w:color="auto"/>
            <w:right w:val="none" w:sz="0" w:space="0" w:color="auto"/>
          </w:divBdr>
          <w:divsChild>
            <w:div w:id="780953633">
              <w:marLeft w:val="0"/>
              <w:marRight w:val="0"/>
              <w:marTop w:val="0"/>
              <w:marBottom w:val="0"/>
              <w:divBdr>
                <w:top w:val="none" w:sz="0" w:space="0" w:color="auto"/>
                <w:left w:val="none" w:sz="0" w:space="0" w:color="auto"/>
                <w:bottom w:val="none" w:sz="0" w:space="0" w:color="auto"/>
                <w:right w:val="none" w:sz="0" w:space="0" w:color="auto"/>
              </w:divBdr>
            </w:div>
          </w:divsChild>
        </w:div>
        <w:div w:id="1913855381">
          <w:marLeft w:val="0"/>
          <w:marRight w:val="0"/>
          <w:marTop w:val="0"/>
          <w:marBottom w:val="0"/>
          <w:divBdr>
            <w:top w:val="none" w:sz="0" w:space="0" w:color="auto"/>
            <w:left w:val="none" w:sz="0" w:space="0" w:color="auto"/>
            <w:bottom w:val="none" w:sz="0" w:space="0" w:color="auto"/>
            <w:right w:val="none" w:sz="0" w:space="0" w:color="auto"/>
          </w:divBdr>
          <w:divsChild>
            <w:div w:id="1272936266">
              <w:marLeft w:val="0"/>
              <w:marRight w:val="0"/>
              <w:marTop w:val="0"/>
              <w:marBottom w:val="0"/>
              <w:divBdr>
                <w:top w:val="none" w:sz="0" w:space="0" w:color="auto"/>
                <w:left w:val="none" w:sz="0" w:space="0" w:color="auto"/>
                <w:bottom w:val="none" w:sz="0" w:space="0" w:color="auto"/>
                <w:right w:val="none" w:sz="0" w:space="0" w:color="auto"/>
              </w:divBdr>
            </w:div>
          </w:divsChild>
        </w:div>
        <w:div w:id="1940286519">
          <w:marLeft w:val="0"/>
          <w:marRight w:val="0"/>
          <w:marTop w:val="0"/>
          <w:marBottom w:val="0"/>
          <w:divBdr>
            <w:top w:val="none" w:sz="0" w:space="0" w:color="auto"/>
            <w:left w:val="none" w:sz="0" w:space="0" w:color="auto"/>
            <w:bottom w:val="none" w:sz="0" w:space="0" w:color="auto"/>
            <w:right w:val="none" w:sz="0" w:space="0" w:color="auto"/>
          </w:divBdr>
          <w:divsChild>
            <w:div w:id="776948287">
              <w:marLeft w:val="0"/>
              <w:marRight w:val="0"/>
              <w:marTop w:val="0"/>
              <w:marBottom w:val="0"/>
              <w:divBdr>
                <w:top w:val="none" w:sz="0" w:space="0" w:color="auto"/>
                <w:left w:val="none" w:sz="0" w:space="0" w:color="auto"/>
                <w:bottom w:val="none" w:sz="0" w:space="0" w:color="auto"/>
                <w:right w:val="none" w:sz="0" w:space="0" w:color="auto"/>
              </w:divBdr>
            </w:div>
          </w:divsChild>
        </w:div>
        <w:div w:id="1956984081">
          <w:marLeft w:val="0"/>
          <w:marRight w:val="0"/>
          <w:marTop w:val="0"/>
          <w:marBottom w:val="0"/>
          <w:divBdr>
            <w:top w:val="none" w:sz="0" w:space="0" w:color="auto"/>
            <w:left w:val="none" w:sz="0" w:space="0" w:color="auto"/>
            <w:bottom w:val="none" w:sz="0" w:space="0" w:color="auto"/>
            <w:right w:val="none" w:sz="0" w:space="0" w:color="auto"/>
          </w:divBdr>
          <w:divsChild>
            <w:div w:id="1355840770">
              <w:marLeft w:val="0"/>
              <w:marRight w:val="0"/>
              <w:marTop w:val="0"/>
              <w:marBottom w:val="0"/>
              <w:divBdr>
                <w:top w:val="none" w:sz="0" w:space="0" w:color="auto"/>
                <w:left w:val="none" w:sz="0" w:space="0" w:color="auto"/>
                <w:bottom w:val="none" w:sz="0" w:space="0" w:color="auto"/>
                <w:right w:val="none" w:sz="0" w:space="0" w:color="auto"/>
              </w:divBdr>
            </w:div>
          </w:divsChild>
        </w:div>
        <w:div w:id="1980306487">
          <w:marLeft w:val="0"/>
          <w:marRight w:val="0"/>
          <w:marTop w:val="0"/>
          <w:marBottom w:val="0"/>
          <w:divBdr>
            <w:top w:val="none" w:sz="0" w:space="0" w:color="auto"/>
            <w:left w:val="none" w:sz="0" w:space="0" w:color="auto"/>
            <w:bottom w:val="none" w:sz="0" w:space="0" w:color="auto"/>
            <w:right w:val="none" w:sz="0" w:space="0" w:color="auto"/>
          </w:divBdr>
          <w:divsChild>
            <w:div w:id="1704667522">
              <w:marLeft w:val="0"/>
              <w:marRight w:val="0"/>
              <w:marTop w:val="0"/>
              <w:marBottom w:val="0"/>
              <w:divBdr>
                <w:top w:val="none" w:sz="0" w:space="0" w:color="auto"/>
                <w:left w:val="none" w:sz="0" w:space="0" w:color="auto"/>
                <w:bottom w:val="none" w:sz="0" w:space="0" w:color="auto"/>
                <w:right w:val="none" w:sz="0" w:space="0" w:color="auto"/>
              </w:divBdr>
            </w:div>
          </w:divsChild>
        </w:div>
        <w:div w:id="1993867740">
          <w:marLeft w:val="0"/>
          <w:marRight w:val="0"/>
          <w:marTop w:val="0"/>
          <w:marBottom w:val="0"/>
          <w:divBdr>
            <w:top w:val="none" w:sz="0" w:space="0" w:color="auto"/>
            <w:left w:val="none" w:sz="0" w:space="0" w:color="auto"/>
            <w:bottom w:val="none" w:sz="0" w:space="0" w:color="auto"/>
            <w:right w:val="none" w:sz="0" w:space="0" w:color="auto"/>
          </w:divBdr>
          <w:divsChild>
            <w:div w:id="1752774683">
              <w:marLeft w:val="0"/>
              <w:marRight w:val="0"/>
              <w:marTop w:val="0"/>
              <w:marBottom w:val="0"/>
              <w:divBdr>
                <w:top w:val="none" w:sz="0" w:space="0" w:color="auto"/>
                <w:left w:val="none" w:sz="0" w:space="0" w:color="auto"/>
                <w:bottom w:val="none" w:sz="0" w:space="0" w:color="auto"/>
                <w:right w:val="none" w:sz="0" w:space="0" w:color="auto"/>
              </w:divBdr>
            </w:div>
          </w:divsChild>
        </w:div>
        <w:div w:id="2024168238">
          <w:marLeft w:val="0"/>
          <w:marRight w:val="0"/>
          <w:marTop w:val="0"/>
          <w:marBottom w:val="0"/>
          <w:divBdr>
            <w:top w:val="none" w:sz="0" w:space="0" w:color="auto"/>
            <w:left w:val="none" w:sz="0" w:space="0" w:color="auto"/>
            <w:bottom w:val="none" w:sz="0" w:space="0" w:color="auto"/>
            <w:right w:val="none" w:sz="0" w:space="0" w:color="auto"/>
          </w:divBdr>
          <w:divsChild>
            <w:div w:id="729770555">
              <w:marLeft w:val="0"/>
              <w:marRight w:val="0"/>
              <w:marTop w:val="0"/>
              <w:marBottom w:val="0"/>
              <w:divBdr>
                <w:top w:val="none" w:sz="0" w:space="0" w:color="auto"/>
                <w:left w:val="none" w:sz="0" w:space="0" w:color="auto"/>
                <w:bottom w:val="none" w:sz="0" w:space="0" w:color="auto"/>
                <w:right w:val="none" w:sz="0" w:space="0" w:color="auto"/>
              </w:divBdr>
            </w:div>
          </w:divsChild>
        </w:div>
        <w:div w:id="2094233312">
          <w:marLeft w:val="0"/>
          <w:marRight w:val="0"/>
          <w:marTop w:val="0"/>
          <w:marBottom w:val="0"/>
          <w:divBdr>
            <w:top w:val="none" w:sz="0" w:space="0" w:color="auto"/>
            <w:left w:val="none" w:sz="0" w:space="0" w:color="auto"/>
            <w:bottom w:val="none" w:sz="0" w:space="0" w:color="auto"/>
            <w:right w:val="none" w:sz="0" w:space="0" w:color="auto"/>
          </w:divBdr>
          <w:divsChild>
            <w:div w:id="843084211">
              <w:marLeft w:val="0"/>
              <w:marRight w:val="0"/>
              <w:marTop w:val="0"/>
              <w:marBottom w:val="0"/>
              <w:divBdr>
                <w:top w:val="none" w:sz="0" w:space="0" w:color="auto"/>
                <w:left w:val="none" w:sz="0" w:space="0" w:color="auto"/>
                <w:bottom w:val="none" w:sz="0" w:space="0" w:color="auto"/>
                <w:right w:val="none" w:sz="0" w:space="0" w:color="auto"/>
              </w:divBdr>
            </w:div>
          </w:divsChild>
        </w:div>
        <w:div w:id="2133621815">
          <w:marLeft w:val="0"/>
          <w:marRight w:val="0"/>
          <w:marTop w:val="0"/>
          <w:marBottom w:val="0"/>
          <w:divBdr>
            <w:top w:val="none" w:sz="0" w:space="0" w:color="auto"/>
            <w:left w:val="none" w:sz="0" w:space="0" w:color="auto"/>
            <w:bottom w:val="none" w:sz="0" w:space="0" w:color="auto"/>
            <w:right w:val="none" w:sz="0" w:space="0" w:color="auto"/>
          </w:divBdr>
          <w:divsChild>
            <w:div w:id="1613824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356804">
      <w:bodyDiv w:val="1"/>
      <w:marLeft w:val="0"/>
      <w:marRight w:val="0"/>
      <w:marTop w:val="0"/>
      <w:marBottom w:val="0"/>
      <w:divBdr>
        <w:top w:val="none" w:sz="0" w:space="0" w:color="auto"/>
        <w:left w:val="none" w:sz="0" w:space="0" w:color="auto"/>
        <w:bottom w:val="none" w:sz="0" w:space="0" w:color="auto"/>
        <w:right w:val="none" w:sz="0" w:space="0" w:color="auto"/>
      </w:divBdr>
      <w:divsChild>
        <w:div w:id="710030943">
          <w:marLeft w:val="0"/>
          <w:marRight w:val="0"/>
          <w:marTop w:val="0"/>
          <w:marBottom w:val="0"/>
          <w:divBdr>
            <w:top w:val="none" w:sz="0" w:space="0" w:color="auto"/>
            <w:left w:val="none" w:sz="0" w:space="0" w:color="auto"/>
            <w:bottom w:val="none" w:sz="0" w:space="0" w:color="auto"/>
            <w:right w:val="none" w:sz="0" w:space="0" w:color="auto"/>
          </w:divBdr>
        </w:div>
        <w:div w:id="2040621563">
          <w:marLeft w:val="0"/>
          <w:marRight w:val="0"/>
          <w:marTop w:val="0"/>
          <w:marBottom w:val="0"/>
          <w:divBdr>
            <w:top w:val="none" w:sz="0" w:space="0" w:color="auto"/>
            <w:left w:val="none" w:sz="0" w:space="0" w:color="auto"/>
            <w:bottom w:val="none" w:sz="0" w:space="0" w:color="auto"/>
            <w:right w:val="none" w:sz="0" w:space="0" w:color="auto"/>
          </w:divBdr>
        </w:div>
      </w:divsChild>
    </w:div>
    <w:div w:id="1622958300">
      <w:bodyDiv w:val="1"/>
      <w:marLeft w:val="0"/>
      <w:marRight w:val="0"/>
      <w:marTop w:val="0"/>
      <w:marBottom w:val="0"/>
      <w:divBdr>
        <w:top w:val="none" w:sz="0" w:space="0" w:color="auto"/>
        <w:left w:val="none" w:sz="0" w:space="0" w:color="auto"/>
        <w:bottom w:val="none" w:sz="0" w:space="0" w:color="auto"/>
        <w:right w:val="none" w:sz="0" w:space="0" w:color="auto"/>
      </w:divBdr>
    </w:div>
    <w:div w:id="1702970456">
      <w:bodyDiv w:val="1"/>
      <w:marLeft w:val="0"/>
      <w:marRight w:val="0"/>
      <w:marTop w:val="0"/>
      <w:marBottom w:val="0"/>
      <w:divBdr>
        <w:top w:val="none" w:sz="0" w:space="0" w:color="auto"/>
        <w:left w:val="none" w:sz="0" w:space="0" w:color="auto"/>
        <w:bottom w:val="none" w:sz="0" w:space="0" w:color="auto"/>
        <w:right w:val="none" w:sz="0" w:space="0" w:color="auto"/>
      </w:divBdr>
    </w:div>
    <w:div w:id="1763842256">
      <w:bodyDiv w:val="1"/>
      <w:marLeft w:val="0"/>
      <w:marRight w:val="0"/>
      <w:marTop w:val="0"/>
      <w:marBottom w:val="0"/>
      <w:divBdr>
        <w:top w:val="none" w:sz="0" w:space="0" w:color="auto"/>
        <w:left w:val="none" w:sz="0" w:space="0" w:color="auto"/>
        <w:bottom w:val="none" w:sz="0" w:space="0" w:color="auto"/>
        <w:right w:val="none" w:sz="0" w:space="0" w:color="auto"/>
      </w:divBdr>
    </w:div>
    <w:div w:id="1870332828">
      <w:bodyDiv w:val="1"/>
      <w:marLeft w:val="0"/>
      <w:marRight w:val="0"/>
      <w:marTop w:val="0"/>
      <w:marBottom w:val="0"/>
      <w:divBdr>
        <w:top w:val="none" w:sz="0" w:space="0" w:color="auto"/>
        <w:left w:val="none" w:sz="0" w:space="0" w:color="auto"/>
        <w:bottom w:val="none" w:sz="0" w:space="0" w:color="auto"/>
        <w:right w:val="none" w:sz="0" w:space="0" w:color="auto"/>
      </w:divBdr>
    </w:div>
    <w:div w:id="1947351058">
      <w:bodyDiv w:val="1"/>
      <w:marLeft w:val="0"/>
      <w:marRight w:val="0"/>
      <w:marTop w:val="0"/>
      <w:marBottom w:val="0"/>
      <w:divBdr>
        <w:top w:val="none" w:sz="0" w:space="0" w:color="auto"/>
        <w:left w:val="none" w:sz="0" w:space="0" w:color="auto"/>
        <w:bottom w:val="none" w:sz="0" w:space="0" w:color="auto"/>
        <w:right w:val="none" w:sz="0" w:space="0" w:color="auto"/>
      </w:divBdr>
    </w:div>
    <w:div w:id="2074354242">
      <w:bodyDiv w:val="1"/>
      <w:marLeft w:val="0"/>
      <w:marRight w:val="0"/>
      <w:marTop w:val="0"/>
      <w:marBottom w:val="0"/>
      <w:divBdr>
        <w:top w:val="none" w:sz="0" w:space="0" w:color="auto"/>
        <w:left w:val="none" w:sz="0" w:space="0" w:color="auto"/>
        <w:bottom w:val="none" w:sz="0" w:space="0" w:color="auto"/>
        <w:right w:val="none" w:sz="0" w:space="0" w:color="auto"/>
      </w:divBdr>
    </w:div>
    <w:div w:id="2114785063">
      <w:bodyDiv w:val="1"/>
      <w:marLeft w:val="0"/>
      <w:marRight w:val="0"/>
      <w:marTop w:val="0"/>
      <w:marBottom w:val="0"/>
      <w:divBdr>
        <w:top w:val="none" w:sz="0" w:space="0" w:color="auto"/>
        <w:left w:val="none" w:sz="0" w:space="0" w:color="auto"/>
        <w:bottom w:val="none" w:sz="0" w:space="0" w:color="auto"/>
        <w:right w:val="none" w:sz="0" w:space="0" w:color="auto"/>
      </w:divBdr>
      <w:divsChild>
        <w:div w:id="1720395705">
          <w:marLeft w:val="0"/>
          <w:marRight w:val="0"/>
          <w:marTop w:val="0"/>
          <w:marBottom w:val="0"/>
          <w:divBdr>
            <w:top w:val="none" w:sz="0" w:space="0" w:color="auto"/>
            <w:left w:val="none" w:sz="0" w:space="0" w:color="auto"/>
            <w:bottom w:val="none" w:sz="0" w:space="0" w:color="auto"/>
            <w:right w:val="none" w:sz="0" w:space="0" w:color="auto"/>
          </w:divBdr>
        </w:div>
        <w:div w:id="176229324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&#65279;<?xml version="1.0" encoding="utf-8"?><Relationships xmlns="http://schemas.openxmlformats.org/package/2006/relationships"><Relationship Type="http://schemas.openxmlformats.org/officeDocument/2006/relationships/footer" Target="footer9.xml" Id="rId26" /><Relationship Type="http://schemas.openxmlformats.org/officeDocument/2006/relationships/header" Target="header6.xml" Id="rId21" /><Relationship Type="http://schemas.openxmlformats.org/officeDocument/2006/relationships/footer" Target="footer13.xml" Id="rId34" /><Relationship Type="http://schemas.openxmlformats.org/officeDocument/2006/relationships/footer" Target="footer17.xml" Id="rId42" /><Relationship Type="http://schemas.openxmlformats.org/officeDocument/2006/relationships/footer" Target="footer19.xml" Id="rId47" /><Relationship Type="http://schemas.openxmlformats.org/officeDocument/2006/relationships/footer" Target="footer20.xml" Id="rId50" /><Relationship Type="http://schemas.openxmlformats.org/officeDocument/2006/relationships/footer" Target="footer22.xml" Id="rId55" /><Relationship Type="http://schemas.openxmlformats.org/officeDocument/2006/relationships/theme" Target="theme/theme1.xml" Id="rId63" /><Relationship Type="http://schemas.openxmlformats.org/officeDocument/2006/relationships/footnotes" Target="footnotes.xml" Id="rId7" /><Relationship Type="http://schemas.openxmlformats.org/officeDocument/2006/relationships/header" Target="header5.xml" Id="rId16" /><Relationship Type="http://schemas.openxmlformats.org/officeDocument/2006/relationships/header" Target="header10.xml" Id="rId29" /><Relationship Type="http://schemas.openxmlformats.org/officeDocument/2006/relationships/footer" Target="footer1.xml" Id="rId11" /><Relationship Type="http://schemas.openxmlformats.org/officeDocument/2006/relationships/footer" Target="footer8.xml" Id="rId24" /><Relationship Type="http://schemas.openxmlformats.org/officeDocument/2006/relationships/footer" Target="footer12.xml" Id="rId32" /><Relationship Type="http://schemas.openxmlformats.org/officeDocument/2006/relationships/header" Target="header14.xml" Id="rId37" /><Relationship Type="http://schemas.openxmlformats.org/officeDocument/2006/relationships/footer" Target="footer16.xml" Id="rId40" /><Relationship Type="http://schemas.openxmlformats.org/officeDocument/2006/relationships/footer" Target="footer18.xml" Id="rId45" /><Relationship Type="http://schemas.openxmlformats.org/officeDocument/2006/relationships/footer" Target="footer21.xml" Id="rId53" /><Relationship Type="http://schemas.openxmlformats.org/officeDocument/2006/relationships/header" Target="header25.xml" Id="rId58" /><Relationship Type="http://schemas.openxmlformats.org/officeDocument/2006/relationships/settings" Target="settings.xml" Id="rId5" /><Relationship Type="http://schemas.openxmlformats.org/officeDocument/2006/relationships/footer" Target="footer25.xml" Id="rId61" /><Relationship Type="http://schemas.openxmlformats.org/officeDocument/2006/relationships/footer" Target="footer6.xml" Id="rId19" /><Relationship Type="http://schemas.openxmlformats.org/officeDocument/2006/relationships/footer" Target="footer3.xml" Id="rId14" /><Relationship Type="http://schemas.openxmlformats.org/officeDocument/2006/relationships/footer" Target="footer7.xml" Id="rId22" /><Relationship Type="http://schemas.openxmlformats.org/officeDocument/2006/relationships/header" Target="header9.xml" Id="rId27" /><Relationship Type="http://schemas.openxmlformats.org/officeDocument/2006/relationships/footer" Target="footer11.xml" Id="rId30" /><Relationship Type="http://schemas.openxmlformats.org/officeDocument/2006/relationships/header" Target="header13.xml" Id="rId35" /><Relationship Type="http://schemas.openxmlformats.org/officeDocument/2006/relationships/hyperlink" Target="mailto:G2GPCERG@southernco.com" TargetMode="External" Id="rId43" /><Relationship Type="http://schemas.openxmlformats.org/officeDocument/2006/relationships/header" Target="header19.xml" Id="rId48" /><Relationship Type="http://schemas.openxmlformats.org/officeDocument/2006/relationships/header" Target="header24.xml" Id="rId56" /><Relationship Type="http://schemas.openxmlformats.org/officeDocument/2006/relationships/endnotes" Target="endnotes.xml" Id="rId8" /><Relationship Type="http://schemas.openxmlformats.org/officeDocument/2006/relationships/header" Target="header21.xml" Id="rId51" /><Relationship Type="http://schemas.openxmlformats.org/officeDocument/2006/relationships/numbering" Target="numbering.xml" Id="rId3" /><Relationship Type="http://schemas.openxmlformats.org/officeDocument/2006/relationships/footer" Target="footer2.xml" Id="rId12" /><Relationship Type="http://schemas.openxmlformats.org/officeDocument/2006/relationships/footer" Target="footer4.xml" Id="rId17" /><Relationship Type="http://schemas.openxmlformats.org/officeDocument/2006/relationships/header" Target="header8.xml" Id="rId25" /><Relationship Type="http://schemas.openxmlformats.org/officeDocument/2006/relationships/header" Target="header12.xml" Id="rId33" /><Relationship Type="http://schemas.openxmlformats.org/officeDocument/2006/relationships/footer" Target="footer15.xml" Id="rId38" /><Relationship Type="http://schemas.openxmlformats.org/officeDocument/2006/relationships/header" Target="header18.xml" Id="rId46" /><Relationship Type="http://schemas.openxmlformats.org/officeDocument/2006/relationships/footer" Target="footer24.xml" Id="rId59" /><Relationship Type="http://schemas.openxmlformats.org/officeDocument/2006/relationships/hyperlink" Target="https://www.oasis.oati.com/SOCO" TargetMode="External" Id="rId20" /><Relationship Type="http://schemas.openxmlformats.org/officeDocument/2006/relationships/header" Target="header16.xml" Id="rId41" /><Relationship Type="http://schemas.openxmlformats.org/officeDocument/2006/relationships/header" Target="header23.xml" Id="rId54" /><Relationship Type="http://schemas.openxmlformats.org/officeDocument/2006/relationships/fontTable" Target="fontTable.xml" Id="rId62" /><Relationship Type="http://schemas.microsoft.com/office/2006/relationships/keyMapCustomizations" Target="customizations.xml" Id="rId1" /><Relationship Type="http://schemas.openxmlformats.org/officeDocument/2006/relationships/webSettings" Target="webSettings.xml" Id="rId6" /><Relationship Type="http://schemas.openxmlformats.org/officeDocument/2006/relationships/header" Target="header4.xml" Id="rId15" /><Relationship Type="http://schemas.openxmlformats.org/officeDocument/2006/relationships/header" Target="header7.xml" Id="rId23" /><Relationship Type="http://schemas.openxmlformats.org/officeDocument/2006/relationships/footer" Target="footer10.xml" Id="rId28" /><Relationship Type="http://schemas.openxmlformats.org/officeDocument/2006/relationships/footer" Target="footer14.xml" Id="rId36" /><Relationship Type="http://schemas.openxmlformats.org/officeDocument/2006/relationships/header" Target="header20.xml" Id="rId49" /><Relationship Type="http://schemas.openxmlformats.org/officeDocument/2006/relationships/footer" Target="footer23.xml" Id="rId57" /><Relationship Type="http://schemas.openxmlformats.org/officeDocument/2006/relationships/header" Target="header2.xml" Id="rId10" /><Relationship Type="http://schemas.openxmlformats.org/officeDocument/2006/relationships/header" Target="header11.xml" Id="rId31" /><Relationship Type="http://schemas.openxmlformats.org/officeDocument/2006/relationships/header" Target="header17.xml" Id="rId44" /><Relationship Type="http://schemas.openxmlformats.org/officeDocument/2006/relationships/header" Target="header22.xml" Id="rId52" /><Relationship Type="http://schemas.openxmlformats.org/officeDocument/2006/relationships/header" Target="header26.xml" Id="rId60" /><Relationship Type="http://schemas.openxmlformats.org/officeDocument/2006/relationships/styles" Target="styles.xml" Id="rId4" /><Relationship Type="http://schemas.openxmlformats.org/officeDocument/2006/relationships/header" Target="header1.xml" Id="rId9" /><Relationship Type="http://schemas.openxmlformats.org/officeDocument/2006/relationships/header" Target="header3.xml" Id="rId13" /><Relationship Type="http://schemas.openxmlformats.org/officeDocument/2006/relationships/footer" Target="footer5.xml" Id="rId18" /><Relationship Type="http://schemas.openxmlformats.org/officeDocument/2006/relationships/header" Target="header15.xml" Id="rId39"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vt="http://schemas.openxmlformats.org/officeDocument/2006/docPropsVTypes" xmlns:ap="http://schemas.openxmlformats.org/officeDocument/2006/extended-properties">
  <ap:HLinks>
    <vt:vector baseType="variant" size="936">
      <vt:variant>
        <vt:i4>4325428</vt:i4>
      </vt:variant>
      <vt:variant>
        <vt:i4>927</vt:i4>
      </vt:variant>
      <vt:variant>
        <vt:i4>0</vt:i4>
      </vt:variant>
      <vt:variant>
        <vt:i4>5</vt:i4>
      </vt:variant>
      <vt:variant>
        <vt:lpwstr>mailto:G2GPCERG@southernco.com</vt:lpwstr>
      </vt:variant>
      <vt:variant>
        <vt:lpwstr/>
      </vt:variant>
      <vt:variant>
        <vt:i4>7864373</vt:i4>
      </vt:variant>
      <vt:variant>
        <vt:i4>915</vt:i4>
      </vt:variant>
      <vt:variant>
        <vt:i4>0</vt:i4>
      </vt:variant>
      <vt:variant>
        <vt:i4>5</vt:i4>
      </vt:variant>
      <vt:variant>
        <vt:lpwstr>https://www.oasis.oati.com/SOCO</vt:lpwstr>
      </vt:variant>
      <vt:variant>
        <vt:lpwstr/>
      </vt:variant>
      <vt:variant>
        <vt:i4>1900601</vt:i4>
      </vt:variant>
      <vt:variant>
        <vt:i4>908</vt:i4>
      </vt:variant>
      <vt:variant>
        <vt:i4>0</vt:i4>
      </vt:variant>
      <vt:variant>
        <vt:i4>5</vt:i4>
      </vt:variant>
      <vt:variant>
        <vt:lpwstr/>
      </vt:variant>
      <vt:variant>
        <vt:lpwstr>_Toc227840800</vt:lpwstr>
      </vt:variant>
      <vt:variant>
        <vt:i4>1310774</vt:i4>
      </vt:variant>
      <vt:variant>
        <vt:i4>902</vt:i4>
      </vt:variant>
      <vt:variant>
        <vt:i4>0</vt:i4>
      </vt:variant>
      <vt:variant>
        <vt:i4>5</vt:i4>
      </vt:variant>
      <vt:variant>
        <vt:lpwstr/>
      </vt:variant>
      <vt:variant>
        <vt:lpwstr>_Toc227840799</vt:lpwstr>
      </vt:variant>
      <vt:variant>
        <vt:i4>1310774</vt:i4>
      </vt:variant>
      <vt:variant>
        <vt:i4>896</vt:i4>
      </vt:variant>
      <vt:variant>
        <vt:i4>0</vt:i4>
      </vt:variant>
      <vt:variant>
        <vt:i4>5</vt:i4>
      </vt:variant>
      <vt:variant>
        <vt:lpwstr/>
      </vt:variant>
      <vt:variant>
        <vt:lpwstr>_Toc227840798</vt:lpwstr>
      </vt:variant>
      <vt:variant>
        <vt:i4>1310774</vt:i4>
      </vt:variant>
      <vt:variant>
        <vt:i4>890</vt:i4>
      </vt:variant>
      <vt:variant>
        <vt:i4>0</vt:i4>
      </vt:variant>
      <vt:variant>
        <vt:i4>5</vt:i4>
      </vt:variant>
      <vt:variant>
        <vt:lpwstr/>
      </vt:variant>
      <vt:variant>
        <vt:lpwstr>_Toc227840797</vt:lpwstr>
      </vt:variant>
      <vt:variant>
        <vt:i4>1310774</vt:i4>
      </vt:variant>
      <vt:variant>
        <vt:i4>884</vt:i4>
      </vt:variant>
      <vt:variant>
        <vt:i4>0</vt:i4>
      </vt:variant>
      <vt:variant>
        <vt:i4>5</vt:i4>
      </vt:variant>
      <vt:variant>
        <vt:lpwstr/>
      </vt:variant>
      <vt:variant>
        <vt:lpwstr>_Toc227840796</vt:lpwstr>
      </vt:variant>
      <vt:variant>
        <vt:i4>1310774</vt:i4>
      </vt:variant>
      <vt:variant>
        <vt:i4>878</vt:i4>
      </vt:variant>
      <vt:variant>
        <vt:i4>0</vt:i4>
      </vt:variant>
      <vt:variant>
        <vt:i4>5</vt:i4>
      </vt:variant>
      <vt:variant>
        <vt:lpwstr/>
      </vt:variant>
      <vt:variant>
        <vt:lpwstr>_Toc227840795</vt:lpwstr>
      </vt:variant>
      <vt:variant>
        <vt:i4>1310774</vt:i4>
      </vt:variant>
      <vt:variant>
        <vt:i4>872</vt:i4>
      </vt:variant>
      <vt:variant>
        <vt:i4>0</vt:i4>
      </vt:variant>
      <vt:variant>
        <vt:i4>5</vt:i4>
      </vt:variant>
      <vt:variant>
        <vt:lpwstr/>
      </vt:variant>
      <vt:variant>
        <vt:lpwstr>_Toc227840794</vt:lpwstr>
      </vt:variant>
      <vt:variant>
        <vt:i4>1310774</vt:i4>
      </vt:variant>
      <vt:variant>
        <vt:i4>866</vt:i4>
      </vt:variant>
      <vt:variant>
        <vt:i4>0</vt:i4>
      </vt:variant>
      <vt:variant>
        <vt:i4>5</vt:i4>
      </vt:variant>
      <vt:variant>
        <vt:lpwstr/>
      </vt:variant>
      <vt:variant>
        <vt:lpwstr>_Toc227840793</vt:lpwstr>
      </vt:variant>
      <vt:variant>
        <vt:i4>1310774</vt:i4>
      </vt:variant>
      <vt:variant>
        <vt:i4>860</vt:i4>
      </vt:variant>
      <vt:variant>
        <vt:i4>0</vt:i4>
      </vt:variant>
      <vt:variant>
        <vt:i4>5</vt:i4>
      </vt:variant>
      <vt:variant>
        <vt:lpwstr/>
      </vt:variant>
      <vt:variant>
        <vt:lpwstr>_Toc227840792</vt:lpwstr>
      </vt:variant>
      <vt:variant>
        <vt:i4>1310774</vt:i4>
      </vt:variant>
      <vt:variant>
        <vt:i4>854</vt:i4>
      </vt:variant>
      <vt:variant>
        <vt:i4>0</vt:i4>
      </vt:variant>
      <vt:variant>
        <vt:i4>5</vt:i4>
      </vt:variant>
      <vt:variant>
        <vt:lpwstr/>
      </vt:variant>
      <vt:variant>
        <vt:lpwstr>_Toc227840791</vt:lpwstr>
      </vt:variant>
      <vt:variant>
        <vt:i4>1310774</vt:i4>
      </vt:variant>
      <vt:variant>
        <vt:i4>848</vt:i4>
      </vt:variant>
      <vt:variant>
        <vt:i4>0</vt:i4>
      </vt:variant>
      <vt:variant>
        <vt:i4>5</vt:i4>
      </vt:variant>
      <vt:variant>
        <vt:lpwstr/>
      </vt:variant>
      <vt:variant>
        <vt:lpwstr>_Toc227840790</vt:lpwstr>
      </vt:variant>
      <vt:variant>
        <vt:i4>1376310</vt:i4>
      </vt:variant>
      <vt:variant>
        <vt:i4>842</vt:i4>
      </vt:variant>
      <vt:variant>
        <vt:i4>0</vt:i4>
      </vt:variant>
      <vt:variant>
        <vt:i4>5</vt:i4>
      </vt:variant>
      <vt:variant>
        <vt:lpwstr/>
      </vt:variant>
      <vt:variant>
        <vt:lpwstr>_Toc227840789</vt:lpwstr>
      </vt:variant>
      <vt:variant>
        <vt:i4>1376310</vt:i4>
      </vt:variant>
      <vt:variant>
        <vt:i4>836</vt:i4>
      </vt:variant>
      <vt:variant>
        <vt:i4>0</vt:i4>
      </vt:variant>
      <vt:variant>
        <vt:i4>5</vt:i4>
      </vt:variant>
      <vt:variant>
        <vt:lpwstr/>
      </vt:variant>
      <vt:variant>
        <vt:lpwstr>_Toc227840788</vt:lpwstr>
      </vt:variant>
      <vt:variant>
        <vt:i4>1376310</vt:i4>
      </vt:variant>
      <vt:variant>
        <vt:i4>830</vt:i4>
      </vt:variant>
      <vt:variant>
        <vt:i4>0</vt:i4>
      </vt:variant>
      <vt:variant>
        <vt:i4>5</vt:i4>
      </vt:variant>
      <vt:variant>
        <vt:lpwstr/>
      </vt:variant>
      <vt:variant>
        <vt:lpwstr>_Toc227840787</vt:lpwstr>
      </vt:variant>
      <vt:variant>
        <vt:i4>1376310</vt:i4>
      </vt:variant>
      <vt:variant>
        <vt:i4>824</vt:i4>
      </vt:variant>
      <vt:variant>
        <vt:i4>0</vt:i4>
      </vt:variant>
      <vt:variant>
        <vt:i4>5</vt:i4>
      </vt:variant>
      <vt:variant>
        <vt:lpwstr/>
      </vt:variant>
      <vt:variant>
        <vt:lpwstr>_Toc227840786</vt:lpwstr>
      </vt:variant>
      <vt:variant>
        <vt:i4>1376310</vt:i4>
      </vt:variant>
      <vt:variant>
        <vt:i4>818</vt:i4>
      </vt:variant>
      <vt:variant>
        <vt:i4>0</vt:i4>
      </vt:variant>
      <vt:variant>
        <vt:i4>5</vt:i4>
      </vt:variant>
      <vt:variant>
        <vt:lpwstr/>
      </vt:variant>
      <vt:variant>
        <vt:lpwstr>_Toc227840785</vt:lpwstr>
      </vt:variant>
      <vt:variant>
        <vt:i4>1376310</vt:i4>
      </vt:variant>
      <vt:variant>
        <vt:i4>812</vt:i4>
      </vt:variant>
      <vt:variant>
        <vt:i4>0</vt:i4>
      </vt:variant>
      <vt:variant>
        <vt:i4>5</vt:i4>
      </vt:variant>
      <vt:variant>
        <vt:lpwstr/>
      </vt:variant>
      <vt:variant>
        <vt:lpwstr>_Toc227840784</vt:lpwstr>
      </vt:variant>
      <vt:variant>
        <vt:i4>1376310</vt:i4>
      </vt:variant>
      <vt:variant>
        <vt:i4>806</vt:i4>
      </vt:variant>
      <vt:variant>
        <vt:i4>0</vt:i4>
      </vt:variant>
      <vt:variant>
        <vt:i4>5</vt:i4>
      </vt:variant>
      <vt:variant>
        <vt:lpwstr/>
      </vt:variant>
      <vt:variant>
        <vt:lpwstr>_Toc227840783</vt:lpwstr>
      </vt:variant>
      <vt:variant>
        <vt:i4>1376310</vt:i4>
      </vt:variant>
      <vt:variant>
        <vt:i4>800</vt:i4>
      </vt:variant>
      <vt:variant>
        <vt:i4>0</vt:i4>
      </vt:variant>
      <vt:variant>
        <vt:i4>5</vt:i4>
      </vt:variant>
      <vt:variant>
        <vt:lpwstr/>
      </vt:variant>
      <vt:variant>
        <vt:lpwstr>_Toc227840782</vt:lpwstr>
      </vt:variant>
      <vt:variant>
        <vt:i4>1376310</vt:i4>
      </vt:variant>
      <vt:variant>
        <vt:i4>794</vt:i4>
      </vt:variant>
      <vt:variant>
        <vt:i4>0</vt:i4>
      </vt:variant>
      <vt:variant>
        <vt:i4>5</vt:i4>
      </vt:variant>
      <vt:variant>
        <vt:lpwstr/>
      </vt:variant>
      <vt:variant>
        <vt:lpwstr>_Toc227840781</vt:lpwstr>
      </vt:variant>
      <vt:variant>
        <vt:i4>1376310</vt:i4>
      </vt:variant>
      <vt:variant>
        <vt:i4>788</vt:i4>
      </vt:variant>
      <vt:variant>
        <vt:i4>0</vt:i4>
      </vt:variant>
      <vt:variant>
        <vt:i4>5</vt:i4>
      </vt:variant>
      <vt:variant>
        <vt:lpwstr/>
      </vt:variant>
      <vt:variant>
        <vt:lpwstr>_Toc227840780</vt:lpwstr>
      </vt:variant>
      <vt:variant>
        <vt:i4>1703990</vt:i4>
      </vt:variant>
      <vt:variant>
        <vt:i4>782</vt:i4>
      </vt:variant>
      <vt:variant>
        <vt:i4>0</vt:i4>
      </vt:variant>
      <vt:variant>
        <vt:i4>5</vt:i4>
      </vt:variant>
      <vt:variant>
        <vt:lpwstr/>
      </vt:variant>
      <vt:variant>
        <vt:lpwstr>_Toc227840779</vt:lpwstr>
      </vt:variant>
      <vt:variant>
        <vt:i4>1703990</vt:i4>
      </vt:variant>
      <vt:variant>
        <vt:i4>776</vt:i4>
      </vt:variant>
      <vt:variant>
        <vt:i4>0</vt:i4>
      </vt:variant>
      <vt:variant>
        <vt:i4>5</vt:i4>
      </vt:variant>
      <vt:variant>
        <vt:lpwstr/>
      </vt:variant>
      <vt:variant>
        <vt:lpwstr>_Toc227840778</vt:lpwstr>
      </vt:variant>
      <vt:variant>
        <vt:i4>1703990</vt:i4>
      </vt:variant>
      <vt:variant>
        <vt:i4>770</vt:i4>
      </vt:variant>
      <vt:variant>
        <vt:i4>0</vt:i4>
      </vt:variant>
      <vt:variant>
        <vt:i4>5</vt:i4>
      </vt:variant>
      <vt:variant>
        <vt:lpwstr/>
      </vt:variant>
      <vt:variant>
        <vt:lpwstr>_Toc227840777</vt:lpwstr>
      </vt:variant>
      <vt:variant>
        <vt:i4>1703990</vt:i4>
      </vt:variant>
      <vt:variant>
        <vt:i4>764</vt:i4>
      </vt:variant>
      <vt:variant>
        <vt:i4>0</vt:i4>
      </vt:variant>
      <vt:variant>
        <vt:i4>5</vt:i4>
      </vt:variant>
      <vt:variant>
        <vt:lpwstr/>
      </vt:variant>
      <vt:variant>
        <vt:lpwstr>_Toc227840776</vt:lpwstr>
      </vt:variant>
      <vt:variant>
        <vt:i4>1703990</vt:i4>
      </vt:variant>
      <vt:variant>
        <vt:i4>758</vt:i4>
      </vt:variant>
      <vt:variant>
        <vt:i4>0</vt:i4>
      </vt:variant>
      <vt:variant>
        <vt:i4>5</vt:i4>
      </vt:variant>
      <vt:variant>
        <vt:lpwstr/>
      </vt:variant>
      <vt:variant>
        <vt:lpwstr>_Toc227840775</vt:lpwstr>
      </vt:variant>
      <vt:variant>
        <vt:i4>1703990</vt:i4>
      </vt:variant>
      <vt:variant>
        <vt:i4>752</vt:i4>
      </vt:variant>
      <vt:variant>
        <vt:i4>0</vt:i4>
      </vt:variant>
      <vt:variant>
        <vt:i4>5</vt:i4>
      </vt:variant>
      <vt:variant>
        <vt:lpwstr/>
      </vt:variant>
      <vt:variant>
        <vt:lpwstr>_Toc227840774</vt:lpwstr>
      </vt:variant>
      <vt:variant>
        <vt:i4>1703990</vt:i4>
      </vt:variant>
      <vt:variant>
        <vt:i4>746</vt:i4>
      </vt:variant>
      <vt:variant>
        <vt:i4>0</vt:i4>
      </vt:variant>
      <vt:variant>
        <vt:i4>5</vt:i4>
      </vt:variant>
      <vt:variant>
        <vt:lpwstr/>
      </vt:variant>
      <vt:variant>
        <vt:lpwstr>_Toc227840773</vt:lpwstr>
      </vt:variant>
      <vt:variant>
        <vt:i4>1703990</vt:i4>
      </vt:variant>
      <vt:variant>
        <vt:i4>740</vt:i4>
      </vt:variant>
      <vt:variant>
        <vt:i4>0</vt:i4>
      </vt:variant>
      <vt:variant>
        <vt:i4>5</vt:i4>
      </vt:variant>
      <vt:variant>
        <vt:lpwstr/>
      </vt:variant>
      <vt:variant>
        <vt:lpwstr>_Toc227840772</vt:lpwstr>
      </vt:variant>
      <vt:variant>
        <vt:i4>1703990</vt:i4>
      </vt:variant>
      <vt:variant>
        <vt:i4>734</vt:i4>
      </vt:variant>
      <vt:variant>
        <vt:i4>0</vt:i4>
      </vt:variant>
      <vt:variant>
        <vt:i4>5</vt:i4>
      </vt:variant>
      <vt:variant>
        <vt:lpwstr/>
      </vt:variant>
      <vt:variant>
        <vt:lpwstr>_Toc227840771</vt:lpwstr>
      </vt:variant>
      <vt:variant>
        <vt:i4>1703990</vt:i4>
      </vt:variant>
      <vt:variant>
        <vt:i4>728</vt:i4>
      </vt:variant>
      <vt:variant>
        <vt:i4>0</vt:i4>
      </vt:variant>
      <vt:variant>
        <vt:i4>5</vt:i4>
      </vt:variant>
      <vt:variant>
        <vt:lpwstr/>
      </vt:variant>
      <vt:variant>
        <vt:lpwstr>_Toc227840770</vt:lpwstr>
      </vt:variant>
      <vt:variant>
        <vt:i4>1769526</vt:i4>
      </vt:variant>
      <vt:variant>
        <vt:i4>722</vt:i4>
      </vt:variant>
      <vt:variant>
        <vt:i4>0</vt:i4>
      </vt:variant>
      <vt:variant>
        <vt:i4>5</vt:i4>
      </vt:variant>
      <vt:variant>
        <vt:lpwstr/>
      </vt:variant>
      <vt:variant>
        <vt:lpwstr>_Toc227840769</vt:lpwstr>
      </vt:variant>
      <vt:variant>
        <vt:i4>1769526</vt:i4>
      </vt:variant>
      <vt:variant>
        <vt:i4>716</vt:i4>
      </vt:variant>
      <vt:variant>
        <vt:i4>0</vt:i4>
      </vt:variant>
      <vt:variant>
        <vt:i4>5</vt:i4>
      </vt:variant>
      <vt:variant>
        <vt:lpwstr/>
      </vt:variant>
      <vt:variant>
        <vt:lpwstr>_Toc227840766</vt:lpwstr>
      </vt:variant>
      <vt:variant>
        <vt:i4>1769526</vt:i4>
      </vt:variant>
      <vt:variant>
        <vt:i4>710</vt:i4>
      </vt:variant>
      <vt:variant>
        <vt:i4>0</vt:i4>
      </vt:variant>
      <vt:variant>
        <vt:i4>5</vt:i4>
      </vt:variant>
      <vt:variant>
        <vt:lpwstr/>
      </vt:variant>
      <vt:variant>
        <vt:lpwstr>_Toc227840765</vt:lpwstr>
      </vt:variant>
      <vt:variant>
        <vt:i4>1769526</vt:i4>
      </vt:variant>
      <vt:variant>
        <vt:i4>704</vt:i4>
      </vt:variant>
      <vt:variant>
        <vt:i4>0</vt:i4>
      </vt:variant>
      <vt:variant>
        <vt:i4>5</vt:i4>
      </vt:variant>
      <vt:variant>
        <vt:lpwstr/>
      </vt:variant>
      <vt:variant>
        <vt:lpwstr>_Toc227840764</vt:lpwstr>
      </vt:variant>
      <vt:variant>
        <vt:i4>1769526</vt:i4>
      </vt:variant>
      <vt:variant>
        <vt:i4>698</vt:i4>
      </vt:variant>
      <vt:variant>
        <vt:i4>0</vt:i4>
      </vt:variant>
      <vt:variant>
        <vt:i4>5</vt:i4>
      </vt:variant>
      <vt:variant>
        <vt:lpwstr/>
      </vt:variant>
      <vt:variant>
        <vt:lpwstr>_Toc227840763</vt:lpwstr>
      </vt:variant>
      <vt:variant>
        <vt:i4>1769526</vt:i4>
      </vt:variant>
      <vt:variant>
        <vt:i4>692</vt:i4>
      </vt:variant>
      <vt:variant>
        <vt:i4>0</vt:i4>
      </vt:variant>
      <vt:variant>
        <vt:i4>5</vt:i4>
      </vt:variant>
      <vt:variant>
        <vt:lpwstr/>
      </vt:variant>
      <vt:variant>
        <vt:lpwstr>_Toc227840762</vt:lpwstr>
      </vt:variant>
      <vt:variant>
        <vt:i4>1769526</vt:i4>
      </vt:variant>
      <vt:variant>
        <vt:i4>686</vt:i4>
      </vt:variant>
      <vt:variant>
        <vt:i4>0</vt:i4>
      </vt:variant>
      <vt:variant>
        <vt:i4>5</vt:i4>
      </vt:variant>
      <vt:variant>
        <vt:lpwstr/>
      </vt:variant>
      <vt:variant>
        <vt:lpwstr>_Toc227840761</vt:lpwstr>
      </vt:variant>
      <vt:variant>
        <vt:i4>1769526</vt:i4>
      </vt:variant>
      <vt:variant>
        <vt:i4>680</vt:i4>
      </vt:variant>
      <vt:variant>
        <vt:i4>0</vt:i4>
      </vt:variant>
      <vt:variant>
        <vt:i4>5</vt:i4>
      </vt:variant>
      <vt:variant>
        <vt:lpwstr/>
      </vt:variant>
      <vt:variant>
        <vt:lpwstr>_Toc227840760</vt:lpwstr>
      </vt:variant>
      <vt:variant>
        <vt:i4>1572918</vt:i4>
      </vt:variant>
      <vt:variant>
        <vt:i4>674</vt:i4>
      </vt:variant>
      <vt:variant>
        <vt:i4>0</vt:i4>
      </vt:variant>
      <vt:variant>
        <vt:i4>5</vt:i4>
      </vt:variant>
      <vt:variant>
        <vt:lpwstr/>
      </vt:variant>
      <vt:variant>
        <vt:lpwstr>_Toc227840759</vt:lpwstr>
      </vt:variant>
      <vt:variant>
        <vt:i4>1572918</vt:i4>
      </vt:variant>
      <vt:variant>
        <vt:i4>668</vt:i4>
      </vt:variant>
      <vt:variant>
        <vt:i4>0</vt:i4>
      </vt:variant>
      <vt:variant>
        <vt:i4>5</vt:i4>
      </vt:variant>
      <vt:variant>
        <vt:lpwstr/>
      </vt:variant>
      <vt:variant>
        <vt:lpwstr>_Toc227840758</vt:lpwstr>
      </vt:variant>
      <vt:variant>
        <vt:i4>1572918</vt:i4>
      </vt:variant>
      <vt:variant>
        <vt:i4>662</vt:i4>
      </vt:variant>
      <vt:variant>
        <vt:i4>0</vt:i4>
      </vt:variant>
      <vt:variant>
        <vt:i4>5</vt:i4>
      </vt:variant>
      <vt:variant>
        <vt:lpwstr/>
      </vt:variant>
      <vt:variant>
        <vt:lpwstr>_Toc227840757</vt:lpwstr>
      </vt:variant>
      <vt:variant>
        <vt:i4>1572918</vt:i4>
      </vt:variant>
      <vt:variant>
        <vt:i4>656</vt:i4>
      </vt:variant>
      <vt:variant>
        <vt:i4>0</vt:i4>
      </vt:variant>
      <vt:variant>
        <vt:i4>5</vt:i4>
      </vt:variant>
      <vt:variant>
        <vt:lpwstr/>
      </vt:variant>
      <vt:variant>
        <vt:lpwstr>_Toc227840756</vt:lpwstr>
      </vt:variant>
      <vt:variant>
        <vt:i4>1572918</vt:i4>
      </vt:variant>
      <vt:variant>
        <vt:i4>650</vt:i4>
      </vt:variant>
      <vt:variant>
        <vt:i4>0</vt:i4>
      </vt:variant>
      <vt:variant>
        <vt:i4>5</vt:i4>
      </vt:variant>
      <vt:variant>
        <vt:lpwstr/>
      </vt:variant>
      <vt:variant>
        <vt:lpwstr>_Toc227840755</vt:lpwstr>
      </vt:variant>
      <vt:variant>
        <vt:i4>1572918</vt:i4>
      </vt:variant>
      <vt:variant>
        <vt:i4>644</vt:i4>
      </vt:variant>
      <vt:variant>
        <vt:i4>0</vt:i4>
      </vt:variant>
      <vt:variant>
        <vt:i4>5</vt:i4>
      </vt:variant>
      <vt:variant>
        <vt:lpwstr/>
      </vt:variant>
      <vt:variant>
        <vt:lpwstr>_Toc227840754</vt:lpwstr>
      </vt:variant>
      <vt:variant>
        <vt:i4>1572918</vt:i4>
      </vt:variant>
      <vt:variant>
        <vt:i4>638</vt:i4>
      </vt:variant>
      <vt:variant>
        <vt:i4>0</vt:i4>
      </vt:variant>
      <vt:variant>
        <vt:i4>5</vt:i4>
      </vt:variant>
      <vt:variant>
        <vt:lpwstr/>
      </vt:variant>
      <vt:variant>
        <vt:lpwstr>_Toc227840753</vt:lpwstr>
      </vt:variant>
      <vt:variant>
        <vt:i4>1572918</vt:i4>
      </vt:variant>
      <vt:variant>
        <vt:i4>632</vt:i4>
      </vt:variant>
      <vt:variant>
        <vt:i4>0</vt:i4>
      </vt:variant>
      <vt:variant>
        <vt:i4>5</vt:i4>
      </vt:variant>
      <vt:variant>
        <vt:lpwstr/>
      </vt:variant>
      <vt:variant>
        <vt:lpwstr>_Toc227840752</vt:lpwstr>
      </vt:variant>
      <vt:variant>
        <vt:i4>1572918</vt:i4>
      </vt:variant>
      <vt:variant>
        <vt:i4>626</vt:i4>
      </vt:variant>
      <vt:variant>
        <vt:i4>0</vt:i4>
      </vt:variant>
      <vt:variant>
        <vt:i4>5</vt:i4>
      </vt:variant>
      <vt:variant>
        <vt:lpwstr/>
      </vt:variant>
      <vt:variant>
        <vt:lpwstr>_Toc227840751</vt:lpwstr>
      </vt:variant>
      <vt:variant>
        <vt:i4>1572918</vt:i4>
      </vt:variant>
      <vt:variant>
        <vt:i4>620</vt:i4>
      </vt:variant>
      <vt:variant>
        <vt:i4>0</vt:i4>
      </vt:variant>
      <vt:variant>
        <vt:i4>5</vt:i4>
      </vt:variant>
      <vt:variant>
        <vt:lpwstr/>
      </vt:variant>
      <vt:variant>
        <vt:lpwstr>_Toc227840750</vt:lpwstr>
      </vt:variant>
      <vt:variant>
        <vt:i4>1638454</vt:i4>
      </vt:variant>
      <vt:variant>
        <vt:i4>614</vt:i4>
      </vt:variant>
      <vt:variant>
        <vt:i4>0</vt:i4>
      </vt:variant>
      <vt:variant>
        <vt:i4>5</vt:i4>
      </vt:variant>
      <vt:variant>
        <vt:lpwstr/>
      </vt:variant>
      <vt:variant>
        <vt:lpwstr>_Toc227840749</vt:lpwstr>
      </vt:variant>
      <vt:variant>
        <vt:i4>1638454</vt:i4>
      </vt:variant>
      <vt:variant>
        <vt:i4>608</vt:i4>
      </vt:variant>
      <vt:variant>
        <vt:i4>0</vt:i4>
      </vt:variant>
      <vt:variant>
        <vt:i4>5</vt:i4>
      </vt:variant>
      <vt:variant>
        <vt:lpwstr/>
      </vt:variant>
      <vt:variant>
        <vt:lpwstr>_Toc227840748</vt:lpwstr>
      </vt:variant>
      <vt:variant>
        <vt:i4>1638454</vt:i4>
      </vt:variant>
      <vt:variant>
        <vt:i4>602</vt:i4>
      </vt:variant>
      <vt:variant>
        <vt:i4>0</vt:i4>
      </vt:variant>
      <vt:variant>
        <vt:i4>5</vt:i4>
      </vt:variant>
      <vt:variant>
        <vt:lpwstr/>
      </vt:variant>
      <vt:variant>
        <vt:lpwstr>_Toc227840747</vt:lpwstr>
      </vt:variant>
      <vt:variant>
        <vt:i4>1638454</vt:i4>
      </vt:variant>
      <vt:variant>
        <vt:i4>596</vt:i4>
      </vt:variant>
      <vt:variant>
        <vt:i4>0</vt:i4>
      </vt:variant>
      <vt:variant>
        <vt:i4>5</vt:i4>
      </vt:variant>
      <vt:variant>
        <vt:lpwstr/>
      </vt:variant>
      <vt:variant>
        <vt:lpwstr>_Toc227840746</vt:lpwstr>
      </vt:variant>
      <vt:variant>
        <vt:i4>1638454</vt:i4>
      </vt:variant>
      <vt:variant>
        <vt:i4>590</vt:i4>
      </vt:variant>
      <vt:variant>
        <vt:i4>0</vt:i4>
      </vt:variant>
      <vt:variant>
        <vt:i4>5</vt:i4>
      </vt:variant>
      <vt:variant>
        <vt:lpwstr/>
      </vt:variant>
      <vt:variant>
        <vt:lpwstr>_Toc227840745</vt:lpwstr>
      </vt:variant>
      <vt:variant>
        <vt:i4>1638454</vt:i4>
      </vt:variant>
      <vt:variant>
        <vt:i4>584</vt:i4>
      </vt:variant>
      <vt:variant>
        <vt:i4>0</vt:i4>
      </vt:variant>
      <vt:variant>
        <vt:i4>5</vt:i4>
      </vt:variant>
      <vt:variant>
        <vt:lpwstr/>
      </vt:variant>
      <vt:variant>
        <vt:lpwstr>_Toc227840744</vt:lpwstr>
      </vt:variant>
      <vt:variant>
        <vt:i4>1638454</vt:i4>
      </vt:variant>
      <vt:variant>
        <vt:i4>578</vt:i4>
      </vt:variant>
      <vt:variant>
        <vt:i4>0</vt:i4>
      </vt:variant>
      <vt:variant>
        <vt:i4>5</vt:i4>
      </vt:variant>
      <vt:variant>
        <vt:lpwstr/>
      </vt:variant>
      <vt:variant>
        <vt:lpwstr>_Toc227840743</vt:lpwstr>
      </vt:variant>
      <vt:variant>
        <vt:i4>1638454</vt:i4>
      </vt:variant>
      <vt:variant>
        <vt:i4>572</vt:i4>
      </vt:variant>
      <vt:variant>
        <vt:i4>0</vt:i4>
      </vt:variant>
      <vt:variant>
        <vt:i4>5</vt:i4>
      </vt:variant>
      <vt:variant>
        <vt:lpwstr/>
      </vt:variant>
      <vt:variant>
        <vt:lpwstr>_Toc227840742</vt:lpwstr>
      </vt:variant>
      <vt:variant>
        <vt:i4>1966134</vt:i4>
      </vt:variant>
      <vt:variant>
        <vt:i4>566</vt:i4>
      </vt:variant>
      <vt:variant>
        <vt:i4>0</vt:i4>
      </vt:variant>
      <vt:variant>
        <vt:i4>5</vt:i4>
      </vt:variant>
      <vt:variant>
        <vt:lpwstr/>
      </vt:variant>
      <vt:variant>
        <vt:lpwstr>_Toc227840737</vt:lpwstr>
      </vt:variant>
      <vt:variant>
        <vt:i4>1966134</vt:i4>
      </vt:variant>
      <vt:variant>
        <vt:i4>560</vt:i4>
      </vt:variant>
      <vt:variant>
        <vt:i4>0</vt:i4>
      </vt:variant>
      <vt:variant>
        <vt:i4>5</vt:i4>
      </vt:variant>
      <vt:variant>
        <vt:lpwstr/>
      </vt:variant>
      <vt:variant>
        <vt:lpwstr>_Toc227840736</vt:lpwstr>
      </vt:variant>
      <vt:variant>
        <vt:i4>1966134</vt:i4>
      </vt:variant>
      <vt:variant>
        <vt:i4>554</vt:i4>
      </vt:variant>
      <vt:variant>
        <vt:i4>0</vt:i4>
      </vt:variant>
      <vt:variant>
        <vt:i4>5</vt:i4>
      </vt:variant>
      <vt:variant>
        <vt:lpwstr/>
      </vt:variant>
      <vt:variant>
        <vt:lpwstr>_Toc227840735</vt:lpwstr>
      </vt:variant>
      <vt:variant>
        <vt:i4>1966134</vt:i4>
      </vt:variant>
      <vt:variant>
        <vt:i4>548</vt:i4>
      </vt:variant>
      <vt:variant>
        <vt:i4>0</vt:i4>
      </vt:variant>
      <vt:variant>
        <vt:i4>5</vt:i4>
      </vt:variant>
      <vt:variant>
        <vt:lpwstr/>
      </vt:variant>
      <vt:variant>
        <vt:lpwstr>_Toc227840734</vt:lpwstr>
      </vt:variant>
      <vt:variant>
        <vt:i4>1966134</vt:i4>
      </vt:variant>
      <vt:variant>
        <vt:i4>542</vt:i4>
      </vt:variant>
      <vt:variant>
        <vt:i4>0</vt:i4>
      </vt:variant>
      <vt:variant>
        <vt:i4>5</vt:i4>
      </vt:variant>
      <vt:variant>
        <vt:lpwstr/>
      </vt:variant>
      <vt:variant>
        <vt:lpwstr>_Toc227840733</vt:lpwstr>
      </vt:variant>
      <vt:variant>
        <vt:i4>1966134</vt:i4>
      </vt:variant>
      <vt:variant>
        <vt:i4>536</vt:i4>
      </vt:variant>
      <vt:variant>
        <vt:i4>0</vt:i4>
      </vt:variant>
      <vt:variant>
        <vt:i4>5</vt:i4>
      </vt:variant>
      <vt:variant>
        <vt:lpwstr/>
      </vt:variant>
      <vt:variant>
        <vt:lpwstr>_Toc227840732</vt:lpwstr>
      </vt:variant>
      <vt:variant>
        <vt:i4>1966134</vt:i4>
      </vt:variant>
      <vt:variant>
        <vt:i4>530</vt:i4>
      </vt:variant>
      <vt:variant>
        <vt:i4>0</vt:i4>
      </vt:variant>
      <vt:variant>
        <vt:i4>5</vt:i4>
      </vt:variant>
      <vt:variant>
        <vt:lpwstr/>
      </vt:variant>
      <vt:variant>
        <vt:lpwstr>_Toc227840731</vt:lpwstr>
      </vt:variant>
      <vt:variant>
        <vt:i4>1966134</vt:i4>
      </vt:variant>
      <vt:variant>
        <vt:i4>524</vt:i4>
      </vt:variant>
      <vt:variant>
        <vt:i4>0</vt:i4>
      </vt:variant>
      <vt:variant>
        <vt:i4>5</vt:i4>
      </vt:variant>
      <vt:variant>
        <vt:lpwstr/>
      </vt:variant>
      <vt:variant>
        <vt:lpwstr>_Toc227840730</vt:lpwstr>
      </vt:variant>
      <vt:variant>
        <vt:i4>2031670</vt:i4>
      </vt:variant>
      <vt:variant>
        <vt:i4>518</vt:i4>
      </vt:variant>
      <vt:variant>
        <vt:i4>0</vt:i4>
      </vt:variant>
      <vt:variant>
        <vt:i4>5</vt:i4>
      </vt:variant>
      <vt:variant>
        <vt:lpwstr/>
      </vt:variant>
      <vt:variant>
        <vt:lpwstr>_Toc227840729</vt:lpwstr>
      </vt:variant>
      <vt:variant>
        <vt:i4>2031670</vt:i4>
      </vt:variant>
      <vt:variant>
        <vt:i4>512</vt:i4>
      </vt:variant>
      <vt:variant>
        <vt:i4>0</vt:i4>
      </vt:variant>
      <vt:variant>
        <vt:i4>5</vt:i4>
      </vt:variant>
      <vt:variant>
        <vt:lpwstr/>
      </vt:variant>
      <vt:variant>
        <vt:lpwstr>_Toc227840728</vt:lpwstr>
      </vt:variant>
      <vt:variant>
        <vt:i4>2031670</vt:i4>
      </vt:variant>
      <vt:variant>
        <vt:i4>506</vt:i4>
      </vt:variant>
      <vt:variant>
        <vt:i4>0</vt:i4>
      </vt:variant>
      <vt:variant>
        <vt:i4>5</vt:i4>
      </vt:variant>
      <vt:variant>
        <vt:lpwstr/>
      </vt:variant>
      <vt:variant>
        <vt:lpwstr>_Toc227840727</vt:lpwstr>
      </vt:variant>
      <vt:variant>
        <vt:i4>2031670</vt:i4>
      </vt:variant>
      <vt:variant>
        <vt:i4>500</vt:i4>
      </vt:variant>
      <vt:variant>
        <vt:i4>0</vt:i4>
      </vt:variant>
      <vt:variant>
        <vt:i4>5</vt:i4>
      </vt:variant>
      <vt:variant>
        <vt:lpwstr/>
      </vt:variant>
      <vt:variant>
        <vt:lpwstr>_Toc227840725</vt:lpwstr>
      </vt:variant>
      <vt:variant>
        <vt:i4>2031670</vt:i4>
      </vt:variant>
      <vt:variant>
        <vt:i4>494</vt:i4>
      </vt:variant>
      <vt:variant>
        <vt:i4>0</vt:i4>
      </vt:variant>
      <vt:variant>
        <vt:i4>5</vt:i4>
      </vt:variant>
      <vt:variant>
        <vt:lpwstr/>
      </vt:variant>
      <vt:variant>
        <vt:lpwstr>_Toc227840724</vt:lpwstr>
      </vt:variant>
      <vt:variant>
        <vt:i4>2031670</vt:i4>
      </vt:variant>
      <vt:variant>
        <vt:i4>488</vt:i4>
      </vt:variant>
      <vt:variant>
        <vt:i4>0</vt:i4>
      </vt:variant>
      <vt:variant>
        <vt:i4>5</vt:i4>
      </vt:variant>
      <vt:variant>
        <vt:lpwstr/>
      </vt:variant>
      <vt:variant>
        <vt:lpwstr>_Toc227840723</vt:lpwstr>
      </vt:variant>
      <vt:variant>
        <vt:i4>2031670</vt:i4>
      </vt:variant>
      <vt:variant>
        <vt:i4>482</vt:i4>
      </vt:variant>
      <vt:variant>
        <vt:i4>0</vt:i4>
      </vt:variant>
      <vt:variant>
        <vt:i4>5</vt:i4>
      </vt:variant>
      <vt:variant>
        <vt:lpwstr/>
      </vt:variant>
      <vt:variant>
        <vt:lpwstr>_Toc227840722</vt:lpwstr>
      </vt:variant>
      <vt:variant>
        <vt:i4>2031670</vt:i4>
      </vt:variant>
      <vt:variant>
        <vt:i4>476</vt:i4>
      </vt:variant>
      <vt:variant>
        <vt:i4>0</vt:i4>
      </vt:variant>
      <vt:variant>
        <vt:i4>5</vt:i4>
      </vt:variant>
      <vt:variant>
        <vt:lpwstr/>
      </vt:variant>
      <vt:variant>
        <vt:lpwstr>_Toc227840721</vt:lpwstr>
      </vt:variant>
      <vt:variant>
        <vt:i4>2031670</vt:i4>
      </vt:variant>
      <vt:variant>
        <vt:i4>470</vt:i4>
      </vt:variant>
      <vt:variant>
        <vt:i4>0</vt:i4>
      </vt:variant>
      <vt:variant>
        <vt:i4>5</vt:i4>
      </vt:variant>
      <vt:variant>
        <vt:lpwstr/>
      </vt:variant>
      <vt:variant>
        <vt:lpwstr>_Toc227840720</vt:lpwstr>
      </vt:variant>
      <vt:variant>
        <vt:i4>1835062</vt:i4>
      </vt:variant>
      <vt:variant>
        <vt:i4>464</vt:i4>
      </vt:variant>
      <vt:variant>
        <vt:i4>0</vt:i4>
      </vt:variant>
      <vt:variant>
        <vt:i4>5</vt:i4>
      </vt:variant>
      <vt:variant>
        <vt:lpwstr/>
      </vt:variant>
      <vt:variant>
        <vt:lpwstr>_Toc227840719</vt:lpwstr>
      </vt:variant>
      <vt:variant>
        <vt:i4>1835062</vt:i4>
      </vt:variant>
      <vt:variant>
        <vt:i4>458</vt:i4>
      </vt:variant>
      <vt:variant>
        <vt:i4>0</vt:i4>
      </vt:variant>
      <vt:variant>
        <vt:i4>5</vt:i4>
      </vt:variant>
      <vt:variant>
        <vt:lpwstr/>
      </vt:variant>
      <vt:variant>
        <vt:lpwstr>_Toc227840718</vt:lpwstr>
      </vt:variant>
      <vt:variant>
        <vt:i4>1835062</vt:i4>
      </vt:variant>
      <vt:variant>
        <vt:i4>452</vt:i4>
      </vt:variant>
      <vt:variant>
        <vt:i4>0</vt:i4>
      </vt:variant>
      <vt:variant>
        <vt:i4>5</vt:i4>
      </vt:variant>
      <vt:variant>
        <vt:lpwstr/>
      </vt:variant>
      <vt:variant>
        <vt:lpwstr>_Toc227840717</vt:lpwstr>
      </vt:variant>
      <vt:variant>
        <vt:i4>1835062</vt:i4>
      </vt:variant>
      <vt:variant>
        <vt:i4>446</vt:i4>
      </vt:variant>
      <vt:variant>
        <vt:i4>0</vt:i4>
      </vt:variant>
      <vt:variant>
        <vt:i4>5</vt:i4>
      </vt:variant>
      <vt:variant>
        <vt:lpwstr/>
      </vt:variant>
      <vt:variant>
        <vt:lpwstr>_Toc227840716</vt:lpwstr>
      </vt:variant>
      <vt:variant>
        <vt:i4>1835062</vt:i4>
      </vt:variant>
      <vt:variant>
        <vt:i4>440</vt:i4>
      </vt:variant>
      <vt:variant>
        <vt:i4>0</vt:i4>
      </vt:variant>
      <vt:variant>
        <vt:i4>5</vt:i4>
      </vt:variant>
      <vt:variant>
        <vt:lpwstr/>
      </vt:variant>
      <vt:variant>
        <vt:lpwstr>_Toc227840715</vt:lpwstr>
      </vt:variant>
      <vt:variant>
        <vt:i4>1835062</vt:i4>
      </vt:variant>
      <vt:variant>
        <vt:i4>434</vt:i4>
      </vt:variant>
      <vt:variant>
        <vt:i4>0</vt:i4>
      </vt:variant>
      <vt:variant>
        <vt:i4>5</vt:i4>
      </vt:variant>
      <vt:variant>
        <vt:lpwstr/>
      </vt:variant>
      <vt:variant>
        <vt:lpwstr>_Toc227840714</vt:lpwstr>
      </vt:variant>
      <vt:variant>
        <vt:i4>1835062</vt:i4>
      </vt:variant>
      <vt:variant>
        <vt:i4>428</vt:i4>
      </vt:variant>
      <vt:variant>
        <vt:i4>0</vt:i4>
      </vt:variant>
      <vt:variant>
        <vt:i4>5</vt:i4>
      </vt:variant>
      <vt:variant>
        <vt:lpwstr/>
      </vt:variant>
      <vt:variant>
        <vt:lpwstr>_Toc227840713</vt:lpwstr>
      </vt:variant>
      <vt:variant>
        <vt:i4>1835062</vt:i4>
      </vt:variant>
      <vt:variant>
        <vt:i4>422</vt:i4>
      </vt:variant>
      <vt:variant>
        <vt:i4>0</vt:i4>
      </vt:variant>
      <vt:variant>
        <vt:i4>5</vt:i4>
      </vt:variant>
      <vt:variant>
        <vt:lpwstr/>
      </vt:variant>
      <vt:variant>
        <vt:lpwstr>_Toc227840712</vt:lpwstr>
      </vt:variant>
      <vt:variant>
        <vt:i4>1835062</vt:i4>
      </vt:variant>
      <vt:variant>
        <vt:i4>416</vt:i4>
      </vt:variant>
      <vt:variant>
        <vt:i4>0</vt:i4>
      </vt:variant>
      <vt:variant>
        <vt:i4>5</vt:i4>
      </vt:variant>
      <vt:variant>
        <vt:lpwstr/>
      </vt:variant>
      <vt:variant>
        <vt:lpwstr>_Toc227840711</vt:lpwstr>
      </vt:variant>
      <vt:variant>
        <vt:i4>1835062</vt:i4>
      </vt:variant>
      <vt:variant>
        <vt:i4>410</vt:i4>
      </vt:variant>
      <vt:variant>
        <vt:i4>0</vt:i4>
      </vt:variant>
      <vt:variant>
        <vt:i4>5</vt:i4>
      </vt:variant>
      <vt:variant>
        <vt:lpwstr/>
      </vt:variant>
      <vt:variant>
        <vt:lpwstr>_Toc227840710</vt:lpwstr>
      </vt:variant>
      <vt:variant>
        <vt:i4>1900598</vt:i4>
      </vt:variant>
      <vt:variant>
        <vt:i4>404</vt:i4>
      </vt:variant>
      <vt:variant>
        <vt:i4>0</vt:i4>
      </vt:variant>
      <vt:variant>
        <vt:i4>5</vt:i4>
      </vt:variant>
      <vt:variant>
        <vt:lpwstr/>
      </vt:variant>
      <vt:variant>
        <vt:lpwstr>_Toc227840709</vt:lpwstr>
      </vt:variant>
      <vt:variant>
        <vt:i4>1900598</vt:i4>
      </vt:variant>
      <vt:variant>
        <vt:i4>398</vt:i4>
      </vt:variant>
      <vt:variant>
        <vt:i4>0</vt:i4>
      </vt:variant>
      <vt:variant>
        <vt:i4>5</vt:i4>
      </vt:variant>
      <vt:variant>
        <vt:lpwstr/>
      </vt:variant>
      <vt:variant>
        <vt:lpwstr>_Toc227840708</vt:lpwstr>
      </vt:variant>
      <vt:variant>
        <vt:i4>1900598</vt:i4>
      </vt:variant>
      <vt:variant>
        <vt:i4>392</vt:i4>
      </vt:variant>
      <vt:variant>
        <vt:i4>0</vt:i4>
      </vt:variant>
      <vt:variant>
        <vt:i4>5</vt:i4>
      </vt:variant>
      <vt:variant>
        <vt:lpwstr/>
      </vt:variant>
      <vt:variant>
        <vt:lpwstr>_Toc227840707</vt:lpwstr>
      </vt:variant>
      <vt:variant>
        <vt:i4>1900598</vt:i4>
      </vt:variant>
      <vt:variant>
        <vt:i4>386</vt:i4>
      </vt:variant>
      <vt:variant>
        <vt:i4>0</vt:i4>
      </vt:variant>
      <vt:variant>
        <vt:i4>5</vt:i4>
      </vt:variant>
      <vt:variant>
        <vt:lpwstr/>
      </vt:variant>
      <vt:variant>
        <vt:lpwstr>_Toc227840706</vt:lpwstr>
      </vt:variant>
      <vt:variant>
        <vt:i4>1900598</vt:i4>
      </vt:variant>
      <vt:variant>
        <vt:i4>380</vt:i4>
      </vt:variant>
      <vt:variant>
        <vt:i4>0</vt:i4>
      </vt:variant>
      <vt:variant>
        <vt:i4>5</vt:i4>
      </vt:variant>
      <vt:variant>
        <vt:lpwstr/>
      </vt:variant>
      <vt:variant>
        <vt:lpwstr>_Toc227840705</vt:lpwstr>
      </vt:variant>
      <vt:variant>
        <vt:i4>1900598</vt:i4>
      </vt:variant>
      <vt:variant>
        <vt:i4>374</vt:i4>
      </vt:variant>
      <vt:variant>
        <vt:i4>0</vt:i4>
      </vt:variant>
      <vt:variant>
        <vt:i4>5</vt:i4>
      </vt:variant>
      <vt:variant>
        <vt:lpwstr/>
      </vt:variant>
      <vt:variant>
        <vt:lpwstr>_Toc227840704</vt:lpwstr>
      </vt:variant>
      <vt:variant>
        <vt:i4>1900598</vt:i4>
      </vt:variant>
      <vt:variant>
        <vt:i4>368</vt:i4>
      </vt:variant>
      <vt:variant>
        <vt:i4>0</vt:i4>
      </vt:variant>
      <vt:variant>
        <vt:i4>5</vt:i4>
      </vt:variant>
      <vt:variant>
        <vt:lpwstr/>
      </vt:variant>
      <vt:variant>
        <vt:lpwstr>_Toc227840703</vt:lpwstr>
      </vt:variant>
      <vt:variant>
        <vt:i4>1900598</vt:i4>
      </vt:variant>
      <vt:variant>
        <vt:i4>362</vt:i4>
      </vt:variant>
      <vt:variant>
        <vt:i4>0</vt:i4>
      </vt:variant>
      <vt:variant>
        <vt:i4>5</vt:i4>
      </vt:variant>
      <vt:variant>
        <vt:lpwstr/>
      </vt:variant>
      <vt:variant>
        <vt:lpwstr>_Toc227840702</vt:lpwstr>
      </vt:variant>
      <vt:variant>
        <vt:i4>1900598</vt:i4>
      </vt:variant>
      <vt:variant>
        <vt:i4>356</vt:i4>
      </vt:variant>
      <vt:variant>
        <vt:i4>0</vt:i4>
      </vt:variant>
      <vt:variant>
        <vt:i4>5</vt:i4>
      </vt:variant>
      <vt:variant>
        <vt:lpwstr/>
      </vt:variant>
      <vt:variant>
        <vt:lpwstr>_Toc227840701</vt:lpwstr>
      </vt:variant>
      <vt:variant>
        <vt:i4>1900598</vt:i4>
      </vt:variant>
      <vt:variant>
        <vt:i4>350</vt:i4>
      </vt:variant>
      <vt:variant>
        <vt:i4>0</vt:i4>
      </vt:variant>
      <vt:variant>
        <vt:i4>5</vt:i4>
      </vt:variant>
      <vt:variant>
        <vt:lpwstr/>
      </vt:variant>
      <vt:variant>
        <vt:lpwstr>_Toc227840700</vt:lpwstr>
      </vt:variant>
      <vt:variant>
        <vt:i4>1310775</vt:i4>
      </vt:variant>
      <vt:variant>
        <vt:i4>344</vt:i4>
      </vt:variant>
      <vt:variant>
        <vt:i4>0</vt:i4>
      </vt:variant>
      <vt:variant>
        <vt:i4>5</vt:i4>
      </vt:variant>
      <vt:variant>
        <vt:lpwstr/>
      </vt:variant>
      <vt:variant>
        <vt:lpwstr>_Toc227840699</vt:lpwstr>
      </vt:variant>
      <vt:variant>
        <vt:i4>1310775</vt:i4>
      </vt:variant>
      <vt:variant>
        <vt:i4>338</vt:i4>
      </vt:variant>
      <vt:variant>
        <vt:i4>0</vt:i4>
      </vt:variant>
      <vt:variant>
        <vt:i4>5</vt:i4>
      </vt:variant>
      <vt:variant>
        <vt:lpwstr/>
      </vt:variant>
      <vt:variant>
        <vt:lpwstr>_Toc227840698</vt:lpwstr>
      </vt:variant>
      <vt:variant>
        <vt:i4>1310775</vt:i4>
      </vt:variant>
      <vt:variant>
        <vt:i4>332</vt:i4>
      </vt:variant>
      <vt:variant>
        <vt:i4>0</vt:i4>
      </vt:variant>
      <vt:variant>
        <vt:i4>5</vt:i4>
      </vt:variant>
      <vt:variant>
        <vt:lpwstr/>
      </vt:variant>
      <vt:variant>
        <vt:lpwstr>_Toc227840697</vt:lpwstr>
      </vt:variant>
      <vt:variant>
        <vt:i4>1310775</vt:i4>
      </vt:variant>
      <vt:variant>
        <vt:i4>326</vt:i4>
      </vt:variant>
      <vt:variant>
        <vt:i4>0</vt:i4>
      </vt:variant>
      <vt:variant>
        <vt:i4>5</vt:i4>
      </vt:variant>
      <vt:variant>
        <vt:lpwstr/>
      </vt:variant>
      <vt:variant>
        <vt:lpwstr>_Toc227840696</vt:lpwstr>
      </vt:variant>
      <vt:variant>
        <vt:i4>1310775</vt:i4>
      </vt:variant>
      <vt:variant>
        <vt:i4>320</vt:i4>
      </vt:variant>
      <vt:variant>
        <vt:i4>0</vt:i4>
      </vt:variant>
      <vt:variant>
        <vt:i4>5</vt:i4>
      </vt:variant>
      <vt:variant>
        <vt:lpwstr/>
      </vt:variant>
      <vt:variant>
        <vt:lpwstr>_Toc227840695</vt:lpwstr>
      </vt:variant>
      <vt:variant>
        <vt:i4>1310775</vt:i4>
      </vt:variant>
      <vt:variant>
        <vt:i4>314</vt:i4>
      </vt:variant>
      <vt:variant>
        <vt:i4>0</vt:i4>
      </vt:variant>
      <vt:variant>
        <vt:i4>5</vt:i4>
      </vt:variant>
      <vt:variant>
        <vt:lpwstr/>
      </vt:variant>
      <vt:variant>
        <vt:lpwstr>_Toc227840694</vt:lpwstr>
      </vt:variant>
      <vt:variant>
        <vt:i4>1310775</vt:i4>
      </vt:variant>
      <vt:variant>
        <vt:i4>308</vt:i4>
      </vt:variant>
      <vt:variant>
        <vt:i4>0</vt:i4>
      </vt:variant>
      <vt:variant>
        <vt:i4>5</vt:i4>
      </vt:variant>
      <vt:variant>
        <vt:lpwstr/>
      </vt:variant>
      <vt:variant>
        <vt:lpwstr>_Toc227840693</vt:lpwstr>
      </vt:variant>
      <vt:variant>
        <vt:i4>1310775</vt:i4>
      </vt:variant>
      <vt:variant>
        <vt:i4>302</vt:i4>
      </vt:variant>
      <vt:variant>
        <vt:i4>0</vt:i4>
      </vt:variant>
      <vt:variant>
        <vt:i4>5</vt:i4>
      </vt:variant>
      <vt:variant>
        <vt:lpwstr/>
      </vt:variant>
      <vt:variant>
        <vt:lpwstr>_Toc227840692</vt:lpwstr>
      </vt:variant>
      <vt:variant>
        <vt:i4>1310775</vt:i4>
      </vt:variant>
      <vt:variant>
        <vt:i4>296</vt:i4>
      </vt:variant>
      <vt:variant>
        <vt:i4>0</vt:i4>
      </vt:variant>
      <vt:variant>
        <vt:i4>5</vt:i4>
      </vt:variant>
      <vt:variant>
        <vt:lpwstr/>
      </vt:variant>
      <vt:variant>
        <vt:lpwstr>_Toc227840691</vt:lpwstr>
      </vt:variant>
      <vt:variant>
        <vt:i4>1310775</vt:i4>
      </vt:variant>
      <vt:variant>
        <vt:i4>290</vt:i4>
      </vt:variant>
      <vt:variant>
        <vt:i4>0</vt:i4>
      </vt:variant>
      <vt:variant>
        <vt:i4>5</vt:i4>
      </vt:variant>
      <vt:variant>
        <vt:lpwstr/>
      </vt:variant>
      <vt:variant>
        <vt:lpwstr>_Toc227840690</vt:lpwstr>
      </vt:variant>
      <vt:variant>
        <vt:i4>1376311</vt:i4>
      </vt:variant>
      <vt:variant>
        <vt:i4>284</vt:i4>
      </vt:variant>
      <vt:variant>
        <vt:i4>0</vt:i4>
      </vt:variant>
      <vt:variant>
        <vt:i4>5</vt:i4>
      </vt:variant>
      <vt:variant>
        <vt:lpwstr/>
      </vt:variant>
      <vt:variant>
        <vt:lpwstr>_Toc227840689</vt:lpwstr>
      </vt:variant>
      <vt:variant>
        <vt:i4>1376311</vt:i4>
      </vt:variant>
      <vt:variant>
        <vt:i4>278</vt:i4>
      </vt:variant>
      <vt:variant>
        <vt:i4>0</vt:i4>
      </vt:variant>
      <vt:variant>
        <vt:i4>5</vt:i4>
      </vt:variant>
      <vt:variant>
        <vt:lpwstr/>
      </vt:variant>
      <vt:variant>
        <vt:lpwstr>_Toc227840688</vt:lpwstr>
      </vt:variant>
      <vt:variant>
        <vt:i4>1376311</vt:i4>
      </vt:variant>
      <vt:variant>
        <vt:i4>272</vt:i4>
      </vt:variant>
      <vt:variant>
        <vt:i4>0</vt:i4>
      </vt:variant>
      <vt:variant>
        <vt:i4>5</vt:i4>
      </vt:variant>
      <vt:variant>
        <vt:lpwstr/>
      </vt:variant>
      <vt:variant>
        <vt:lpwstr>_Toc227840687</vt:lpwstr>
      </vt:variant>
      <vt:variant>
        <vt:i4>1376311</vt:i4>
      </vt:variant>
      <vt:variant>
        <vt:i4>266</vt:i4>
      </vt:variant>
      <vt:variant>
        <vt:i4>0</vt:i4>
      </vt:variant>
      <vt:variant>
        <vt:i4>5</vt:i4>
      </vt:variant>
      <vt:variant>
        <vt:lpwstr/>
      </vt:variant>
      <vt:variant>
        <vt:lpwstr>_Toc227840686</vt:lpwstr>
      </vt:variant>
      <vt:variant>
        <vt:i4>1376311</vt:i4>
      </vt:variant>
      <vt:variant>
        <vt:i4>260</vt:i4>
      </vt:variant>
      <vt:variant>
        <vt:i4>0</vt:i4>
      </vt:variant>
      <vt:variant>
        <vt:i4>5</vt:i4>
      </vt:variant>
      <vt:variant>
        <vt:lpwstr/>
      </vt:variant>
      <vt:variant>
        <vt:lpwstr>_Toc227840685</vt:lpwstr>
      </vt:variant>
      <vt:variant>
        <vt:i4>1376311</vt:i4>
      </vt:variant>
      <vt:variant>
        <vt:i4>254</vt:i4>
      </vt:variant>
      <vt:variant>
        <vt:i4>0</vt:i4>
      </vt:variant>
      <vt:variant>
        <vt:i4>5</vt:i4>
      </vt:variant>
      <vt:variant>
        <vt:lpwstr/>
      </vt:variant>
      <vt:variant>
        <vt:lpwstr>_Toc227840684</vt:lpwstr>
      </vt:variant>
      <vt:variant>
        <vt:i4>1376311</vt:i4>
      </vt:variant>
      <vt:variant>
        <vt:i4>248</vt:i4>
      </vt:variant>
      <vt:variant>
        <vt:i4>0</vt:i4>
      </vt:variant>
      <vt:variant>
        <vt:i4>5</vt:i4>
      </vt:variant>
      <vt:variant>
        <vt:lpwstr/>
      </vt:variant>
      <vt:variant>
        <vt:lpwstr>_Toc227840683</vt:lpwstr>
      </vt:variant>
      <vt:variant>
        <vt:i4>1376311</vt:i4>
      </vt:variant>
      <vt:variant>
        <vt:i4>242</vt:i4>
      </vt:variant>
      <vt:variant>
        <vt:i4>0</vt:i4>
      </vt:variant>
      <vt:variant>
        <vt:i4>5</vt:i4>
      </vt:variant>
      <vt:variant>
        <vt:lpwstr/>
      </vt:variant>
      <vt:variant>
        <vt:lpwstr>_Toc227840682</vt:lpwstr>
      </vt:variant>
      <vt:variant>
        <vt:i4>1376311</vt:i4>
      </vt:variant>
      <vt:variant>
        <vt:i4>236</vt:i4>
      </vt:variant>
      <vt:variant>
        <vt:i4>0</vt:i4>
      </vt:variant>
      <vt:variant>
        <vt:i4>5</vt:i4>
      </vt:variant>
      <vt:variant>
        <vt:lpwstr/>
      </vt:variant>
      <vt:variant>
        <vt:lpwstr>_Toc227840681</vt:lpwstr>
      </vt:variant>
      <vt:variant>
        <vt:i4>1376311</vt:i4>
      </vt:variant>
      <vt:variant>
        <vt:i4>230</vt:i4>
      </vt:variant>
      <vt:variant>
        <vt:i4>0</vt:i4>
      </vt:variant>
      <vt:variant>
        <vt:i4>5</vt:i4>
      </vt:variant>
      <vt:variant>
        <vt:lpwstr/>
      </vt:variant>
      <vt:variant>
        <vt:lpwstr>_Toc227840680</vt:lpwstr>
      </vt:variant>
      <vt:variant>
        <vt:i4>1703991</vt:i4>
      </vt:variant>
      <vt:variant>
        <vt:i4>224</vt:i4>
      </vt:variant>
      <vt:variant>
        <vt:i4>0</vt:i4>
      </vt:variant>
      <vt:variant>
        <vt:i4>5</vt:i4>
      </vt:variant>
      <vt:variant>
        <vt:lpwstr/>
      </vt:variant>
      <vt:variant>
        <vt:lpwstr>_Toc227840679</vt:lpwstr>
      </vt:variant>
      <vt:variant>
        <vt:i4>1703991</vt:i4>
      </vt:variant>
      <vt:variant>
        <vt:i4>218</vt:i4>
      </vt:variant>
      <vt:variant>
        <vt:i4>0</vt:i4>
      </vt:variant>
      <vt:variant>
        <vt:i4>5</vt:i4>
      </vt:variant>
      <vt:variant>
        <vt:lpwstr/>
      </vt:variant>
      <vt:variant>
        <vt:lpwstr>_Toc227840678</vt:lpwstr>
      </vt:variant>
      <vt:variant>
        <vt:i4>1703991</vt:i4>
      </vt:variant>
      <vt:variant>
        <vt:i4>212</vt:i4>
      </vt:variant>
      <vt:variant>
        <vt:i4>0</vt:i4>
      </vt:variant>
      <vt:variant>
        <vt:i4>5</vt:i4>
      </vt:variant>
      <vt:variant>
        <vt:lpwstr/>
      </vt:variant>
      <vt:variant>
        <vt:lpwstr>_Toc227840677</vt:lpwstr>
      </vt:variant>
      <vt:variant>
        <vt:i4>1703991</vt:i4>
      </vt:variant>
      <vt:variant>
        <vt:i4>206</vt:i4>
      </vt:variant>
      <vt:variant>
        <vt:i4>0</vt:i4>
      </vt:variant>
      <vt:variant>
        <vt:i4>5</vt:i4>
      </vt:variant>
      <vt:variant>
        <vt:lpwstr/>
      </vt:variant>
      <vt:variant>
        <vt:lpwstr>_Toc227840676</vt:lpwstr>
      </vt:variant>
      <vt:variant>
        <vt:i4>1703991</vt:i4>
      </vt:variant>
      <vt:variant>
        <vt:i4>200</vt:i4>
      </vt:variant>
      <vt:variant>
        <vt:i4>0</vt:i4>
      </vt:variant>
      <vt:variant>
        <vt:i4>5</vt:i4>
      </vt:variant>
      <vt:variant>
        <vt:lpwstr/>
      </vt:variant>
      <vt:variant>
        <vt:lpwstr>_Toc227840675</vt:lpwstr>
      </vt:variant>
      <vt:variant>
        <vt:i4>1703991</vt:i4>
      </vt:variant>
      <vt:variant>
        <vt:i4>194</vt:i4>
      </vt:variant>
      <vt:variant>
        <vt:i4>0</vt:i4>
      </vt:variant>
      <vt:variant>
        <vt:i4>5</vt:i4>
      </vt:variant>
      <vt:variant>
        <vt:lpwstr/>
      </vt:variant>
      <vt:variant>
        <vt:lpwstr>_Toc227840674</vt:lpwstr>
      </vt:variant>
      <vt:variant>
        <vt:i4>1703991</vt:i4>
      </vt:variant>
      <vt:variant>
        <vt:i4>188</vt:i4>
      </vt:variant>
      <vt:variant>
        <vt:i4>0</vt:i4>
      </vt:variant>
      <vt:variant>
        <vt:i4>5</vt:i4>
      </vt:variant>
      <vt:variant>
        <vt:lpwstr/>
      </vt:variant>
      <vt:variant>
        <vt:lpwstr>_Toc227840673</vt:lpwstr>
      </vt:variant>
      <vt:variant>
        <vt:i4>1703991</vt:i4>
      </vt:variant>
      <vt:variant>
        <vt:i4>182</vt:i4>
      </vt:variant>
      <vt:variant>
        <vt:i4>0</vt:i4>
      </vt:variant>
      <vt:variant>
        <vt:i4>5</vt:i4>
      </vt:variant>
      <vt:variant>
        <vt:lpwstr/>
      </vt:variant>
      <vt:variant>
        <vt:lpwstr>_Toc227840672</vt:lpwstr>
      </vt:variant>
      <vt:variant>
        <vt:i4>1703991</vt:i4>
      </vt:variant>
      <vt:variant>
        <vt:i4>176</vt:i4>
      </vt:variant>
      <vt:variant>
        <vt:i4>0</vt:i4>
      </vt:variant>
      <vt:variant>
        <vt:i4>5</vt:i4>
      </vt:variant>
      <vt:variant>
        <vt:lpwstr/>
      </vt:variant>
      <vt:variant>
        <vt:lpwstr>_Toc227840671</vt:lpwstr>
      </vt:variant>
      <vt:variant>
        <vt:i4>1703991</vt:i4>
      </vt:variant>
      <vt:variant>
        <vt:i4>170</vt:i4>
      </vt:variant>
      <vt:variant>
        <vt:i4>0</vt:i4>
      </vt:variant>
      <vt:variant>
        <vt:i4>5</vt:i4>
      </vt:variant>
      <vt:variant>
        <vt:lpwstr/>
      </vt:variant>
      <vt:variant>
        <vt:lpwstr>_Toc227840670</vt:lpwstr>
      </vt:variant>
      <vt:variant>
        <vt:i4>1769527</vt:i4>
      </vt:variant>
      <vt:variant>
        <vt:i4>164</vt:i4>
      </vt:variant>
      <vt:variant>
        <vt:i4>0</vt:i4>
      </vt:variant>
      <vt:variant>
        <vt:i4>5</vt:i4>
      </vt:variant>
      <vt:variant>
        <vt:lpwstr/>
      </vt:variant>
      <vt:variant>
        <vt:lpwstr>_Toc227840669</vt:lpwstr>
      </vt:variant>
      <vt:variant>
        <vt:i4>1769527</vt:i4>
      </vt:variant>
      <vt:variant>
        <vt:i4>158</vt:i4>
      </vt:variant>
      <vt:variant>
        <vt:i4>0</vt:i4>
      </vt:variant>
      <vt:variant>
        <vt:i4>5</vt:i4>
      </vt:variant>
      <vt:variant>
        <vt:lpwstr/>
      </vt:variant>
      <vt:variant>
        <vt:lpwstr>_Toc227840668</vt:lpwstr>
      </vt:variant>
      <vt:variant>
        <vt:i4>1769527</vt:i4>
      </vt:variant>
      <vt:variant>
        <vt:i4>152</vt:i4>
      </vt:variant>
      <vt:variant>
        <vt:i4>0</vt:i4>
      </vt:variant>
      <vt:variant>
        <vt:i4>5</vt:i4>
      </vt:variant>
      <vt:variant>
        <vt:lpwstr/>
      </vt:variant>
      <vt:variant>
        <vt:lpwstr>_Toc227840667</vt:lpwstr>
      </vt:variant>
      <vt:variant>
        <vt:i4>1769527</vt:i4>
      </vt:variant>
      <vt:variant>
        <vt:i4>146</vt:i4>
      </vt:variant>
      <vt:variant>
        <vt:i4>0</vt:i4>
      </vt:variant>
      <vt:variant>
        <vt:i4>5</vt:i4>
      </vt:variant>
      <vt:variant>
        <vt:lpwstr/>
      </vt:variant>
      <vt:variant>
        <vt:lpwstr>_Toc227840666</vt:lpwstr>
      </vt:variant>
      <vt:variant>
        <vt:i4>1769527</vt:i4>
      </vt:variant>
      <vt:variant>
        <vt:i4>140</vt:i4>
      </vt:variant>
      <vt:variant>
        <vt:i4>0</vt:i4>
      </vt:variant>
      <vt:variant>
        <vt:i4>5</vt:i4>
      </vt:variant>
      <vt:variant>
        <vt:lpwstr/>
      </vt:variant>
      <vt:variant>
        <vt:lpwstr>_Toc227840665</vt:lpwstr>
      </vt:variant>
      <vt:variant>
        <vt:i4>1769527</vt:i4>
      </vt:variant>
      <vt:variant>
        <vt:i4>134</vt:i4>
      </vt:variant>
      <vt:variant>
        <vt:i4>0</vt:i4>
      </vt:variant>
      <vt:variant>
        <vt:i4>5</vt:i4>
      </vt:variant>
      <vt:variant>
        <vt:lpwstr/>
      </vt:variant>
      <vt:variant>
        <vt:lpwstr>_Toc227840664</vt:lpwstr>
      </vt:variant>
      <vt:variant>
        <vt:i4>1769527</vt:i4>
      </vt:variant>
      <vt:variant>
        <vt:i4>128</vt:i4>
      </vt:variant>
      <vt:variant>
        <vt:i4>0</vt:i4>
      </vt:variant>
      <vt:variant>
        <vt:i4>5</vt:i4>
      </vt:variant>
      <vt:variant>
        <vt:lpwstr/>
      </vt:variant>
      <vt:variant>
        <vt:lpwstr>_Toc227840663</vt:lpwstr>
      </vt:variant>
      <vt:variant>
        <vt:i4>1769527</vt:i4>
      </vt:variant>
      <vt:variant>
        <vt:i4>122</vt:i4>
      </vt:variant>
      <vt:variant>
        <vt:i4>0</vt:i4>
      </vt:variant>
      <vt:variant>
        <vt:i4>5</vt:i4>
      </vt:variant>
      <vt:variant>
        <vt:lpwstr/>
      </vt:variant>
      <vt:variant>
        <vt:lpwstr>_Toc227840662</vt:lpwstr>
      </vt:variant>
      <vt:variant>
        <vt:i4>1769527</vt:i4>
      </vt:variant>
      <vt:variant>
        <vt:i4>116</vt:i4>
      </vt:variant>
      <vt:variant>
        <vt:i4>0</vt:i4>
      </vt:variant>
      <vt:variant>
        <vt:i4>5</vt:i4>
      </vt:variant>
      <vt:variant>
        <vt:lpwstr/>
      </vt:variant>
      <vt:variant>
        <vt:lpwstr>_Toc227840661</vt:lpwstr>
      </vt:variant>
      <vt:variant>
        <vt:i4>1769527</vt:i4>
      </vt:variant>
      <vt:variant>
        <vt:i4>110</vt:i4>
      </vt:variant>
      <vt:variant>
        <vt:i4>0</vt:i4>
      </vt:variant>
      <vt:variant>
        <vt:i4>5</vt:i4>
      </vt:variant>
      <vt:variant>
        <vt:lpwstr/>
      </vt:variant>
      <vt:variant>
        <vt:lpwstr>_Toc227840660</vt:lpwstr>
      </vt:variant>
      <vt:variant>
        <vt:i4>1572919</vt:i4>
      </vt:variant>
      <vt:variant>
        <vt:i4>104</vt:i4>
      </vt:variant>
      <vt:variant>
        <vt:i4>0</vt:i4>
      </vt:variant>
      <vt:variant>
        <vt:i4>5</vt:i4>
      </vt:variant>
      <vt:variant>
        <vt:lpwstr/>
      </vt:variant>
      <vt:variant>
        <vt:lpwstr>_Toc227840659</vt:lpwstr>
      </vt:variant>
      <vt:variant>
        <vt:i4>1572919</vt:i4>
      </vt:variant>
      <vt:variant>
        <vt:i4>98</vt:i4>
      </vt:variant>
      <vt:variant>
        <vt:i4>0</vt:i4>
      </vt:variant>
      <vt:variant>
        <vt:i4>5</vt:i4>
      </vt:variant>
      <vt:variant>
        <vt:lpwstr/>
      </vt:variant>
      <vt:variant>
        <vt:lpwstr>_Toc227840658</vt:lpwstr>
      </vt:variant>
      <vt:variant>
        <vt:i4>1572919</vt:i4>
      </vt:variant>
      <vt:variant>
        <vt:i4>92</vt:i4>
      </vt:variant>
      <vt:variant>
        <vt:i4>0</vt:i4>
      </vt:variant>
      <vt:variant>
        <vt:i4>5</vt:i4>
      </vt:variant>
      <vt:variant>
        <vt:lpwstr/>
      </vt:variant>
      <vt:variant>
        <vt:lpwstr>_Toc227840657</vt:lpwstr>
      </vt:variant>
      <vt:variant>
        <vt:i4>1572919</vt:i4>
      </vt:variant>
      <vt:variant>
        <vt:i4>86</vt:i4>
      </vt:variant>
      <vt:variant>
        <vt:i4>0</vt:i4>
      </vt:variant>
      <vt:variant>
        <vt:i4>5</vt:i4>
      </vt:variant>
      <vt:variant>
        <vt:lpwstr/>
      </vt:variant>
      <vt:variant>
        <vt:lpwstr>_Toc227840656</vt:lpwstr>
      </vt:variant>
      <vt:variant>
        <vt:i4>1572919</vt:i4>
      </vt:variant>
      <vt:variant>
        <vt:i4>80</vt:i4>
      </vt:variant>
      <vt:variant>
        <vt:i4>0</vt:i4>
      </vt:variant>
      <vt:variant>
        <vt:i4>5</vt:i4>
      </vt:variant>
      <vt:variant>
        <vt:lpwstr/>
      </vt:variant>
      <vt:variant>
        <vt:lpwstr>_Toc227840655</vt:lpwstr>
      </vt:variant>
      <vt:variant>
        <vt:i4>1572919</vt:i4>
      </vt:variant>
      <vt:variant>
        <vt:i4>74</vt:i4>
      </vt:variant>
      <vt:variant>
        <vt:i4>0</vt:i4>
      </vt:variant>
      <vt:variant>
        <vt:i4>5</vt:i4>
      </vt:variant>
      <vt:variant>
        <vt:lpwstr/>
      </vt:variant>
      <vt:variant>
        <vt:lpwstr>_Toc227840654</vt:lpwstr>
      </vt:variant>
      <vt:variant>
        <vt:i4>1572919</vt:i4>
      </vt:variant>
      <vt:variant>
        <vt:i4>68</vt:i4>
      </vt:variant>
      <vt:variant>
        <vt:i4>0</vt:i4>
      </vt:variant>
      <vt:variant>
        <vt:i4>5</vt:i4>
      </vt:variant>
      <vt:variant>
        <vt:lpwstr/>
      </vt:variant>
      <vt:variant>
        <vt:lpwstr>_Toc227840653</vt:lpwstr>
      </vt:variant>
      <vt:variant>
        <vt:i4>1572919</vt:i4>
      </vt:variant>
      <vt:variant>
        <vt:i4>62</vt:i4>
      </vt:variant>
      <vt:variant>
        <vt:i4>0</vt:i4>
      </vt:variant>
      <vt:variant>
        <vt:i4>5</vt:i4>
      </vt:variant>
      <vt:variant>
        <vt:lpwstr/>
      </vt:variant>
      <vt:variant>
        <vt:lpwstr>_Toc227840652</vt:lpwstr>
      </vt:variant>
      <vt:variant>
        <vt:i4>1572919</vt:i4>
      </vt:variant>
      <vt:variant>
        <vt:i4>56</vt:i4>
      </vt:variant>
      <vt:variant>
        <vt:i4>0</vt:i4>
      </vt:variant>
      <vt:variant>
        <vt:i4>5</vt:i4>
      </vt:variant>
      <vt:variant>
        <vt:lpwstr/>
      </vt:variant>
      <vt:variant>
        <vt:lpwstr>_Toc227840651</vt:lpwstr>
      </vt:variant>
      <vt:variant>
        <vt:i4>1572919</vt:i4>
      </vt:variant>
      <vt:variant>
        <vt:i4>50</vt:i4>
      </vt:variant>
      <vt:variant>
        <vt:i4>0</vt:i4>
      </vt:variant>
      <vt:variant>
        <vt:i4>5</vt:i4>
      </vt:variant>
      <vt:variant>
        <vt:lpwstr/>
      </vt:variant>
      <vt:variant>
        <vt:lpwstr>_Toc227840650</vt:lpwstr>
      </vt:variant>
      <vt:variant>
        <vt:i4>1638455</vt:i4>
      </vt:variant>
      <vt:variant>
        <vt:i4>44</vt:i4>
      </vt:variant>
      <vt:variant>
        <vt:i4>0</vt:i4>
      </vt:variant>
      <vt:variant>
        <vt:i4>5</vt:i4>
      </vt:variant>
      <vt:variant>
        <vt:lpwstr/>
      </vt:variant>
      <vt:variant>
        <vt:lpwstr>_Toc227840649</vt:lpwstr>
      </vt:variant>
      <vt:variant>
        <vt:i4>1638455</vt:i4>
      </vt:variant>
      <vt:variant>
        <vt:i4>38</vt:i4>
      </vt:variant>
      <vt:variant>
        <vt:i4>0</vt:i4>
      </vt:variant>
      <vt:variant>
        <vt:i4>5</vt:i4>
      </vt:variant>
      <vt:variant>
        <vt:lpwstr/>
      </vt:variant>
      <vt:variant>
        <vt:lpwstr>_Toc227840648</vt:lpwstr>
      </vt:variant>
      <vt:variant>
        <vt:i4>1638455</vt:i4>
      </vt:variant>
      <vt:variant>
        <vt:i4>32</vt:i4>
      </vt:variant>
      <vt:variant>
        <vt:i4>0</vt:i4>
      </vt:variant>
      <vt:variant>
        <vt:i4>5</vt:i4>
      </vt:variant>
      <vt:variant>
        <vt:lpwstr/>
      </vt:variant>
      <vt:variant>
        <vt:lpwstr>_Toc227840647</vt:lpwstr>
      </vt:variant>
      <vt:variant>
        <vt:i4>1638455</vt:i4>
      </vt:variant>
      <vt:variant>
        <vt:i4>26</vt:i4>
      </vt:variant>
      <vt:variant>
        <vt:i4>0</vt:i4>
      </vt:variant>
      <vt:variant>
        <vt:i4>5</vt:i4>
      </vt:variant>
      <vt:variant>
        <vt:lpwstr/>
      </vt:variant>
      <vt:variant>
        <vt:lpwstr>_Toc227840646</vt:lpwstr>
      </vt:variant>
      <vt:variant>
        <vt:i4>1638455</vt:i4>
      </vt:variant>
      <vt:variant>
        <vt:i4>20</vt:i4>
      </vt:variant>
      <vt:variant>
        <vt:i4>0</vt:i4>
      </vt:variant>
      <vt:variant>
        <vt:i4>5</vt:i4>
      </vt:variant>
      <vt:variant>
        <vt:lpwstr/>
      </vt:variant>
      <vt:variant>
        <vt:lpwstr>_Toc227840645</vt:lpwstr>
      </vt:variant>
      <vt:variant>
        <vt:i4>1638455</vt:i4>
      </vt:variant>
      <vt:variant>
        <vt:i4>14</vt:i4>
      </vt:variant>
      <vt:variant>
        <vt:i4>0</vt:i4>
      </vt:variant>
      <vt:variant>
        <vt:i4>5</vt:i4>
      </vt:variant>
      <vt:variant>
        <vt:lpwstr/>
      </vt:variant>
      <vt:variant>
        <vt:lpwstr>_Toc227840644</vt:lpwstr>
      </vt:variant>
      <vt:variant>
        <vt:i4>1638455</vt:i4>
      </vt:variant>
      <vt:variant>
        <vt:i4>8</vt:i4>
      </vt:variant>
      <vt:variant>
        <vt:i4>0</vt:i4>
      </vt:variant>
      <vt:variant>
        <vt:i4>5</vt:i4>
      </vt:variant>
      <vt:variant>
        <vt:lpwstr/>
      </vt:variant>
      <vt:variant>
        <vt:lpwstr>_Toc227840643</vt:lpwstr>
      </vt:variant>
      <vt:variant>
        <vt:i4>1638455</vt:i4>
      </vt:variant>
      <vt:variant>
        <vt:i4>2</vt:i4>
      </vt:variant>
      <vt:variant>
        <vt:i4>0</vt:i4>
      </vt:variant>
      <vt:variant>
        <vt:i4>5</vt:i4>
      </vt:variant>
      <vt:variant>
        <vt:lpwstr/>
      </vt:variant>
      <vt:variant>
        <vt:lpwstr>_Toc227840642</vt:lpwstr>
      </vt:variant>
      <vt:variant>
        <vt:i4>5308456</vt:i4>
      </vt:variant>
      <vt:variant>
        <vt:i4>3</vt:i4>
      </vt:variant>
      <vt:variant>
        <vt:i4>0</vt:i4>
      </vt:variant>
      <vt:variant>
        <vt:i4>5</vt:i4>
      </vt:variant>
      <vt:variant>
        <vt:lpwstr>mailto:X2TDMACK@southernco.com</vt:lpwstr>
      </vt:variant>
      <vt:variant>
        <vt:lpwstr/>
      </vt:variant>
      <vt:variant>
        <vt:i4>5308456</vt:i4>
      </vt:variant>
      <vt:variant>
        <vt:i4>0</vt:i4>
      </vt:variant>
      <vt:variant>
        <vt:i4>0</vt:i4>
      </vt:variant>
      <vt:variant>
        <vt:i4>5</vt:i4>
      </vt:variant>
      <vt:variant>
        <vt:lpwstr>mailto:X2TDMACK@southernco.com</vt:lpwstr>
      </vt:variant>
      <vt:variant>
        <vt:lpwstr/>
      </vt:variant>
    </vt:vector>
  </ap:HLinks>
</ap:Properties>
</file>

<file path=docProps/core.xml><?xml version="1.0" encoding="utf-8"?>
<coreProperties xmlns:dc="http://purl.org/dc/elements/1.1/" xmlns:dcterms="http://purl.org/dc/terms/" xmlns:xsi="http://www.w3.org/2001/XMLSchema-instance" xmlns="http://schemas.openxmlformats.org/package/2006/metadata/core-properties">
  <dcterms:created xsi:type="dcterms:W3CDTF">1900-01-01T05:00:00.0000000Z</dcterms:created>
  <dcterms:modified xsi:type="dcterms:W3CDTF">1900-01-01T05:00:00.0000000Z</dcterms:modified>
</coreProperties>
</file>

<file path=docProps/custom.xml><?xml version="1.0" encoding="utf-8"?>
<op:Properties xmlns:vt="http://schemas.openxmlformats.org/officeDocument/2006/docPropsVTypes" xmlns:op="http://schemas.openxmlformats.org/officeDocument/2006/custom-properties">
  <op:property fmtid="{D5CDD505-2E9C-101B-9397-08002B2CF9AE}" pid="7" name="MSIP_Label_ed3826ce-7c18-471d-9596-93de5bae332e_Tag">
    <vt:lpwstr>10, 3, 0, 2</vt:lpwstr>
  </op:property>
  <op:property fmtid="{D5CDD505-2E9C-101B-9397-08002B2CF9AE}" pid="10" name="MSIP_Label_ed3826ce-7c18-471d-9596-93de5bae332e_Method">
    <vt:lpwstr>Standard</vt:lpwstr>
  </op:property>
  <op:property fmtid="{D5CDD505-2E9C-101B-9397-08002B2CF9AE}" pid="11" name="MSIP_Label_ed3826ce-7c18-471d-9596-93de5bae332e_SiteId">
    <vt:lpwstr>c0a02e2d-1186-410a-8895-0a4a252ebf17</vt:lpwstr>
  </op:property>
  <op:property fmtid="{D5CDD505-2E9C-101B-9397-08002B2CF9AE}" pid="14" name="MSIP_Label_ed3826ce-7c18-471d-9596-93de5bae332e_ActionId">
    <vt:lpwstr>f2dc6466-230a-464f-9929-4515adc27503</vt:lpwstr>
  </op:property>
  <op:property fmtid="{D5CDD505-2E9C-101B-9397-08002B2CF9AE}" pid="15" name="MSIP_Label_ed3826ce-7c18-471d-9596-93de5bae332e_Name">
    <vt:lpwstr>Internal</vt:lpwstr>
  </op:property>
  <op:property fmtid="{D5CDD505-2E9C-101B-9397-08002B2CF9AE}" pid="17" name="MSIP_Label_ed3826ce-7c18-471d-9596-93de5bae332e_ContentBits">
    <vt:lpwstr>0</vt:lpwstr>
  </op:property>
  <op:property fmtid="{D5CDD505-2E9C-101B-9397-08002B2CF9AE}" pid="19" name="MSIP_Label_ed3826ce-7c18-471d-9596-93de5bae332e_Enabled">
    <vt:lpwstr>true</vt:lpwstr>
  </op:property>
  <op:property fmtid="{D5CDD505-2E9C-101B-9397-08002B2CF9AE}" pid="21" name="MSIP_Label_ed3826ce-7c18-471d-9596-93de5bae332e_SetDate">
    <vt:lpwstr>2025-06-18T15:10:20Z</vt:lpwstr>
  </op:property>
</op:Properties>
</file>